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F9F3" w14:textId="10904DE7" w:rsidR="00EB40E7" w:rsidRPr="00D47386" w:rsidRDefault="00EB40E7" w:rsidP="00EB40E7">
      <w:pPr>
        <w:jc w:val="both"/>
        <w:rPr>
          <w:color w:val="000000"/>
        </w:rPr>
      </w:pPr>
      <w:r w:rsidRPr="00D47386">
        <w:rPr>
          <w:color w:val="000000"/>
        </w:rPr>
        <w:t xml:space="preserve">Na temelju članka 1021. stavka 3. </w:t>
      </w:r>
      <w:r w:rsidR="00CB3AD8" w:rsidRPr="00D47386">
        <w:rPr>
          <w:color w:val="000000"/>
        </w:rPr>
        <w:t xml:space="preserve">podstavka 7. </w:t>
      </w:r>
      <w:r w:rsidRPr="00D47386">
        <w:rPr>
          <w:color w:val="000000"/>
        </w:rPr>
        <w:t xml:space="preserve">Pomorskog zakonika (»Narodne novine«, br. </w:t>
      </w:r>
      <w:r w:rsidR="008013A5" w:rsidRPr="008013A5">
        <w:rPr>
          <w:color w:val="000000"/>
        </w:rPr>
        <w:t>181/04, 76/</w:t>
      </w:r>
      <w:r w:rsidR="00654F11">
        <w:rPr>
          <w:color w:val="000000"/>
        </w:rPr>
        <w:t>07, 146/08, 61/11, 56/13, 26/15 i</w:t>
      </w:r>
      <w:r w:rsidR="008013A5" w:rsidRPr="008013A5">
        <w:rPr>
          <w:color w:val="000000"/>
        </w:rPr>
        <w:t xml:space="preserve"> 17/19</w:t>
      </w:r>
      <w:r w:rsidRPr="00D47386">
        <w:rPr>
          <w:color w:val="000000"/>
        </w:rPr>
        <w:t>) ministar mora, prometa i infrastrukture donosi</w:t>
      </w:r>
    </w:p>
    <w:p w14:paraId="56A8F9AC" w14:textId="77777777" w:rsidR="00EB40E7" w:rsidRPr="00D47386" w:rsidRDefault="00EB40E7" w:rsidP="00EB40E7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B7F195F" w14:textId="35B4AF29" w:rsidR="00EB40E7" w:rsidRPr="00D47386" w:rsidRDefault="00CB3AD8" w:rsidP="00EB40E7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D47386">
        <w:rPr>
          <w:b/>
          <w:bCs/>
          <w:color w:val="000000"/>
        </w:rPr>
        <w:t>PRAVILNIK</w:t>
      </w:r>
    </w:p>
    <w:p w14:paraId="45FD1BD7" w14:textId="77777777" w:rsidR="00EB40E7" w:rsidRPr="00D47386" w:rsidRDefault="00EB40E7" w:rsidP="00EB40E7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1A21E824" w14:textId="087FB460" w:rsidR="00EB40E7" w:rsidRPr="00D47386" w:rsidRDefault="00CB3AD8" w:rsidP="00EB40E7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D47386">
        <w:rPr>
          <w:b/>
          <w:bCs/>
          <w:color w:val="000000"/>
        </w:rPr>
        <w:t>O DOPUNAMA PRAVILNIKA O BRODICAMA I JAHTAMA</w:t>
      </w:r>
    </w:p>
    <w:p w14:paraId="21D3692C" w14:textId="77777777" w:rsidR="00EB40E7" w:rsidRPr="00D47386" w:rsidRDefault="00EB40E7" w:rsidP="00EB40E7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6768A63" w14:textId="77777777" w:rsidR="00EB40E7" w:rsidRPr="00D47386" w:rsidRDefault="00EB40E7" w:rsidP="00EB40E7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4525D69" w14:textId="77777777" w:rsidR="00CB3AD8" w:rsidRPr="00D47386" w:rsidRDefault="00EB40E7" w:rsidP="00CB3AD8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47386">
        <w:rPr>
          <w:b/>
          <w:color w:val="000000"/>
        </w:rPr>
        <w:t>Članak 1.</w:t>
      </w:r>
    </w:p>
    <w:p w14:paraId="3351EEDB" w14:textId="7A0EB857" w:rsidR="00FC75C2" w:rsidRPr="00D47386" w:rsidRDefault="00CB3AD8" w:rsidP="00FC75C2">
      <w:pPr>
        <w:pStyle w:val="clanak-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D47386">
        <w:rPr>
          <w:color w:val="231F20"/>
          <w:shd w:val="clear" w:color="auto" w:fill="FFFFFF"/>
        </w:rPr>
        <w:t xml:space="preserve">U Pravilniku o brodicama i jahtama (»Narodne novine« broj </w:t>
      </w:r>
      <w:r w:rsidRPr="00D47386">
        <w:t>27/05, 57/06, 80/07, 3/08, 18/09, 56/10, 97/12, 137/13, 18/16 i 72/17</w:t>
      </w:r>
      <w:r w:rsidR="00654F11">
        <w:rPr>
          <w:color w:val="231F20"/>
          <w:shd w:val="clear" w:color="auto" w:fill="FFFFFF"/>
        </w:rPr>
        <w:t>) u članku 1.a stavku 1. iza podstavka 4. dodaje se podstavka 5</w:t>
      </w:r>
      <w:r w:rsidRPr="00D47386">
        <w:rPr>
          <w:color w:val="231F20"/>
          <w:shd w:val="clear" w:color="auto" w:fill="FFFFFF"/>
        </w:rPr>
        <w:t>. koji glasi:</w:t>
      </w:r>
      <w:r w:rsidRPr="00D47386">
        <w:rPr>
          <w:color w:val="000000"/>
        </w:rPr>
        <w:t xml:space="preserve"> </w:t>
      </w:r>
    </w:p>
    <w:p w14:paraId="18D4DD9F" w14:textId="77777777" w:rsidR="00FC75C2" w:rsidRPr="00D47386" w:rsidRDefault="00FC75C2" w:rsidP="00FC75C2">
      <w:pPr>
        <w:pStyle w:val="clanak-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09760F5B" w14:textId="32395B29" w:rsidR="00CB3AD8" w:rsidRPr="00D47386" w:rsidRDefault="00FC75C2" w:rsidP="00FC75C2">
      <w:pPr>
        <w:pStyle w:val="clanak-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D47386">
        <w:rPr>
          <w:b/>
          <w:color w:val="000000"/>
        </w:rPr>
        <w:t>„</w:t>
      </w:r>
      <w:r w:rsidRPr="00D47386">
        <w:rPr>
          <w:color w:val="000000"/>
        </w:rPr>
        <w:t>- Direktiva Vijeća (EU) 2017/159 od 19. prosinca 2016. o provedbi Sporazuma o provedbi Konvencije o radu u ribolovu iz 2007. Međunarodne organizacije rada sklopljenog 21. svibnja 2012. između Općeg udruženja poljoprivrednih zadruga u Europskoj uniji (COGECA), Europskog saveza transportnih radnika (ETF) i Udruženja nacionalnih organizacija ribolovnih poduzeća u Europskoj uniji (</w:t>
      </w:r>
      <w:proofErr w:type="spellStart"/>
      <w:r w:rsidRPr="00D47386">
        <w:rPr>
          <w:color w:val="000000"/>
        </w:rPr>
        <w:t>Europêche</w:t>
      </w:r>
      <w:proofErr w:type="spellEnd"/>
      <w:r w:rsidRPr="00D47386">
        <w:rPr>
          <w:color w:val="000000"/>
        </w:rPr>
        <w:t>) (Tekst značajan za EGP).“.</w:t>
      </w:r>
    </w:p>
    <w:p w14:paraId="014BF4E4" w14:textId="77777777" w:rsidR="00EB40E7" w:rsidRPr="00D47386" w:rsidRDefault="00EB40E7" w:rsidP="00EB40E7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FE8227" w14:textId="77777777" w:rsidR="00EB40E7" w:rsidRPr="00D47386" w:rsidRDefault="00EB40E7" w:rsidP="00EB40E7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47386">
        <w:rPr>
          <w:b/>
          <w:color w:val="000000"/>
        </w:rPr>
        <w:t>Članak 2.</w:t>
      </w:r>
    </w:p>
    <w:p w14:paraId="1771C9CE" w14:textId="4CC50F4A" w:rsidR="00C37E2B" w:rsidRPr="00D47386" w:rsidRDefault="00654F11" w:rsidP="00C37E2B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Iza Glave II. d</w:t>
      </w:r>
      <w:r w:rsidR="00C37E2B" w:rsidRPr="00D47386">
        <w:rPr>
          <w:color w:val="000000"/>
        </w:rPr>
        <w:t xml:space="preserve">odaje se Glava </w:t>
      </w:r>
      <w:proofErr w:type="spellStart"/>
      <w:r w:rsidR="00C37E2B" w:rsidRPr="00D47386">
        <w:rPr>
          <w:color w:val="000000"/>
        </w:rPr>
        <w:t>II.a</w:t>
      </w:r>
      <w:proofErr w:type="spellEnd"/>
      <w:r w:rsidR="00C37E2B" w:rsidRPr="00D47386">
        <w:rPr>
          <w:color w:val="000000"/>
        </w:rPr>
        <w:t xml:space="preserve"> </w:t>
      </w:r>
      <w:r w:rsidR="000F10CB" w:rsidRPr="00D47386">
        <w:rPr>
          <w:color w:val="000000"/>
        </w:rPr>
        <w:t>i članci 8.a do 8.c</w:t>
      </w:r>
      <w:r w:rsidR="007F68E8" w:rsidRPr="00D47386">
        <w:rPr>
          <w:color w:val="000000"/>
        </w:rPr>
        <w:t xml:space="preserve"> koji glase</w:t>
      </w:r>
      <w:r w:rsidR="00C37E2B" w:rsidRPr="00D47386">
        <w:rPr>
          <w:color w:val="000000"/>
        </w:rPr>
        <w:t>:</w:t>
      </w:r>
    </w:p>
    <w:p w14:paraId="02EA0F74" w14:textId="77777777" w:rsidR="00C37E2B" w:rsidRPr="00D47386" w:rsidRDefault="00C37E2B" w:rsidP="00C37E2B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04CB72C" w14:textId="6F1671EE" w:rsidR="00C37E2B" w:rsidRPr="00D47386" w:rsidRDefault="00C37E2B" w:rsidP="00C37E2B">
      <w:pPr>
        <w:shd w:val="clear" w:color="auto" w:fill="FFFFFF"/>
        <w:spacing w:line="312" w:lineRule="atLeast"/>
        <w:jc w:val="center"/>
        <w:rPr>
          <w:b/>
          <w:bCs/>
          <w:color w:val="444444"/>
        </w:rPr>
      </w:pPr>
      <w:r w:rsidRPr="00D47386">
        <w:rPr>
          <w:color w:val="000000"/>
        </w:rPr>
        <w:t>„</w:t>
      </w:r>
      <w:r w:rsidR="007D68D5" w:rsidRPr="007D68D5">
        <w:rPr>
          <w:b/>
          <w:color w:val="000000"/>
        </w:rPr>
        <w:t>II.  PRAVA I OBVEZE VLASNIKA, VODITELJA I ČLANOVA POSADE RIBARSKIH BRODICA</w:t>
      </w:r>
      <w:r w:rsidR="007D68D5">
        <w:rPr>
          <w:color w:val="000000"/>
        </w:rPr>
        <w:t xml:space="preserve"> </w:t>
      </w:r>
    </w:p>
    <w:p w14:paraId="142D601E" w14:textId="77777777" w:rsidR="00C37E2B" w:rsidRPr="00D47386" w:rsidRDefault="00C37E2B" w:rsidP="00C37E2B">
      <w:pPr>
        <w:shd w:val="clear" w:color="auto" w:fill="FFFFFF"/>
        <w:spacing w:line="312" w:lineRule="atLeast"/>
        <w:jc w:val="center"/>
        <w:rPr>
          <w:b/>
          <w:bCs/>
          <w:color w:val="444444"/>
        </w:rPr>
      </w:pPr>
    </w:p>
    <w:p w14:paraId="3A38206E" w14:textId="5270AA2F" w:rsidR="007F68E8" w:rsidRPr="00381CE0" w:rsidRDefault="007F68E8" w:rsidP="00C37E2B">
      <w:pPr>
        <w:shd w:val="clear" w:color="auto" w:fill="FFFFFF"/>
        <w:spacing w:line="312" w:lineRule="atLeast"/>
        <w:jc w:val="center"/>
        <w:rPr>
          <w:bCs/>
        </w:rPr>
      </w:pPr>
      <w:r w:rsidRPr="00381CE0">
        <w:rPr>
          <w:bCs/>
        </w:rPr>
        <w:t>Članak 8.a</w:t>
      </w:r>
    </w:p>
    <w:p w14:paraId="0406A952" w14:textId="07E1AB35" w:rsidR="00C37E2B" w:rsidRPr="00381CE0" w:rsidRDefault="00E174DA" w:rsidP="00C37E2B">
      <w:pPr>
        <w:shd w:val="clear" w:color="auto" w:fill="FFFFFF"/>
        <w:spacing w:line="312" w:lineRule="atLeast"/>
        <w:jc w:val="both"/>
      </w:pPr>
      <w:r w:rsidRPr="00381CE0">
        <w:t xml:space="preserve">(1) </w:t>
      </w:r>
      <w:r w:rsidR="00E7677E" w:rsidRPr="00381CE0">
        <w:t>Za potrebe ove G</w:t>
      </w:r>
      <w:r w:rsidRPr="00381CE0">
        <w:t xml:space="preserve">lave Pravilnika, voditelj ribarske brodice </w:t>
      </w:r>
      <w:r w:rsidR="00654F11" w:rsidRPr="00381CE0">
        <w:t xml:space="preserve">je voditelj brodice kako je definiran Glavom </w:t>
      </w:r>
      <w:r w:rsidR="00C921ED">
        <w:t>I</w:t>
      </w:r>
      <w:r w:rsidR="00E7677E" w:rsidRPr="00381CE0">
        <w:t xml:space="preserve">X. ovog Pravilnika. </w:t>
      </w:r>
    </w:p>
    <w:p w14:paraId="0E9A6FD5" w14:textId="633C6321" w:rsidR="00C37E2B" w:rsidRPr="00381CE0" w:rsidRDefault="00E174DA" w:rsidP="00C37E2B">
      <w:pPr>
        <w:shd w:val="clear" w:color="auto" w:fill="FFFFFF"/>
        <w:spacing w:line="312" w:lineRule="atLeast"/>
        <w:jc w:val="both"/>
      </w:pPr>
      <w:r w:rsidRPr="00381CE0">
        <w:t>(2)</w:t>
      </w:r>
      <w:r w:rsidR="00C37E2B" w:rsidRPr="00381CE0">
        <w:t xml:space="preserve">   Kako bi se osigurala sigurnost </w:t>
      </w:r>
      <w:r w:rsidR="00456DCA" w:rsidRPr="00381CE0">
        <w:t>članova posade</w:t>
      </w:r>
      <w:r w:rsidR="00C37E2B" w:rsidRPr="00381CE0">
        <w:t xml:space="preserve"> i siguran rad na ribarskoj brodici, odgovornosti </w:t>
      </w:r>
      <w:r w:rsidRPr="00381CE0">
        <w:t>voditelja</w:t>
      </w:r>
      <w:r w:rsidR="00C37E2B" w:rsidRPr="00381CE0">
        <w:t xml:space="preserve"> ribarske brodice uključuju: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547"/>
      </w:tblGrid>
      <w:tr w:rsidR="00381CE0" w:rsidRPr="00381CE0" w14:paraId="3EF6FBA1" w14:textId="77777777" w:rsidTr="00F97DDB">
        <w:tc>
          <w:tcPr>
            <w:tcW w:w="245" w:type="dxa"/>
            <w:shd w:val="clear" w:color="auto" w:fill="auto"/>
            <w:hideMark/>
          </w:tcPr>
          <w:p w14:paraId="55C0E4F7" w14:textId="4312F09C" w:rsidR="00C37E2B" w:rsidRPr="00381CE0" w:rsidRDefault="00C37E2B" w:rsidP="00C37E2B">
            <w:pPr>
              <w:spacing w:line="312" w:lineRule="atLeast"/>
              <w:jc w:val="both"/>
            </w:pPr>
            <w:r w:rsidRPr="00381CE0">
              <w:t>-</w:t>
            </w:r>
          </w:p>
        </w:tc>
        <w:tc>
          <w:tcPr>
            <w:tcW w:w="4005" w:type="dxa"/>
            <w:shd w:val="clear" w:color="auto" w:fill="auto"/>
            <w:hideMark/>
          </w:tcPr>
          <w:p w14:paraId="641CC679" w14:textId="45E819E9" w:rsidR="00C37E2B" w:rsidRPr="00381CE0" w:rsidRDefault="00C37E2B" w:rsidP="007D68D5">
            <w:pPr>
              <w:spacing w:line="312" w:lineRule="atLeast"/>
              <w:jc w:val="both"/>
            </w:pPr>
            <w:r w:rsidRPr="00381CE0">
              <w:t xml:space="preserve">pružanje takvog nadzora i osiguravanje da, koliko je moguće, </w:t>
            </w:r>
            <w:r w:rsidR="007D68D5" w:rsidRPr="00381CE0">
              <w:t>članovi posade</w:t>
            </w:r>
            <w:r w:rsidRPr="00381CE0">
              <w:t xml:space="preserve"> obavljaju svoj posao u najboljim uvjetima koji se odnose na sigurnost i zdravlje</w:t>
            </w:r>
          </w:p>
        </w:tc>
      </w:tr>
    </w:tbl>
    <w:p w14:paraId="24202A01" w14:textId="77777777" w:rsidR="00C37E2B" w:rsidRPr="00381CE0" w:rsidRDefault="00C37E2B" w:rsidP="00C37E2B">
      <w:pPr>
        <w:shd w:val="clear" w:color="auto" w:fill="FFFFFF"/>
        <w:rPr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522"/>
      </w:tblGrid>
      <w:tr w:rsidR="00381CE0" w:rsidRPr="00381CE0" w14:paraId="49027C11" w14:textId="77777777" w:rsidTr="00F97DDB">
        <w:tc>
          <w:tcPr>
            <w:tcW w:w="257" w:type="dxa"/>
            <w:shd w:val="clear" w:color="auto" w:fill="auto"/>
            <w:hideMark/>
          </w:tcPr>
          <w:p w14:paraId="00F82C07" w14:textId="209D1B39" w:rsidR="00C37E2B" w:rsidRPr="00381CE0" w:rsidRDefault="00C37E2B" w:rsidP="00C37E2B">
            <w:pPr>
              <w:spacing w:line="312" w:lineRule="atLeast"/>
              <w:jc w:val="both"/>
            </w:pPr>
            <w:r w:rsidRPr="00381CE0">
              <w:t>-</w:t>
            </w:r>
          </w:p>
        </w:tc>
        <w:tc>
          <w:tcPr>
            <w:tcW w:w="3993" w:type="dxa"/>
            <w:shd w:val="clear" w:color="auto" w:fill="auto"/>
            <w:hideMark/>
          </w:tcPr>
          <w:p w14:paraId="4BBDBCD8" w14:textId="7240256F" w:rsidR="00C37E2B" w:rsidRPr="00381CE0" w:rsidRDefault="00C37E2B" w:rsidP="00456DCA">
            <w:pPr>
              <w:spacing w:line="312" w:lineRule="atLeast"/>
              <w:jc w:val="both"/>
            </w:pPr>
            <w:r w:rsidRPr="00381CE0">
              <w:t xml:space="preserve">vođenje </w:t>
            </w:r>
            <w:r w:rsidR="00456DCA" w:rsidRPr="00381CE0">
              <w:t>članova posade</w:t>
            </w:r>
            <w:r w:rsidRPr="00381CE0">
              <w:t xml:space="preserve"> na način kojim se ispunjavaju uvjeti sigurnosti i zdravlja, uključujući spr</w:t>
            </w:r>
            <w:r w:rsidR="007D68D5" w:rsidRPr="00381CE0">
              <w:t>j</w:t>
            </w:r>
            <w:r w:rsidRPr="00381CE0">
              <w:t>ečavanje umora</w:t>
            </w:r>
          </w:p>
        </w:tc>
      </w:tr>
    </w:tbl>
    <w:p w14:paraId="7F5E760F" w14:textId="77777777" w:rsidR="00C37E2B" w:rsidRPr="00381CE0" w:rsidRDefault="00C37E2B" w:rsidP="00C37E2B">
      <w:pPr>
        <w:shd w:val="clear" w:color="auto" w:fill="FFFFFF"/>
        <w:rPr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547"/>
      </w:tblGrid>
      <w:tr w:rsidR="00C37E2B" w:rsidRPr="00381CE0" w14:paraId="777D80A0" w14:textId="77777777" w:rsidTr="00E174DA">
        <w:trPr>
          <w:trHeight w:val="622"/>
        </w:trPr>
        <w:tc>
          <w:tcPr>
            <w:tcW w:w="523" w:type="dxa"/>
            <w:shd w:val="clear" w:color="auto" w:fill="auto"/>
            <w:hideMark/>
          </w:tcPr>
          <w:p w14:paraId="65E40E24" w14:textId="27A1D5ED" w:rsidR="00C37E2B" w:rsidRPr="00381CE0" w:rsidRDefault="00C37E2B" w:rsidP="00C37E2B">
            <w:pPr>
              <w:spacing w:line="312" w:lineRule="atLeast"/>
              <w:jc w:val="both"/>
            </w:pPr>
            <w:r w:rsidRPr="00381CE0">
              <w:t>-</w:t>
            </w:r>
          </w:p>
        </w:tc>
        <w:tc>
          <w:tcPr>
            <w:tcW w:w="8547" w:type="dxa"/>
            <w:shd w:val="clear" w:color="auto" w:fill="auto"/>
            <w:hideMark/>
          </w:tcPr>
          <w:p w14:paraId="78FF5C1B" w14:textId="0A835E47" w:rsidR="00C37E2B" w:rsidRPr="00381CE0" w:rsidRDefault="00C37E2B" w:rsidP="00C37E2B">
            <w:pPr>
              <w:spacing w:line="312" w:lineRule="atLeast"/>
              <w:jc w:val="both"/>
            </w:pPr>
            <w:r w:rsidRPr="00381CE0">
              <w:t>omogućavanje osposobljavanja na ribarskoj brodici koje se odnosi na sigurnost i zdravlje na radu i</w:t>
            </w:r>
          </w:p>
        </w:tc>
      </w:tr>
    </w:tbl>
    <w:p w14:paraId="24BC6E0B" w14:textId="77777777" w:rsidR="00C37E2B" w:rsidRPr="00381CE0" w:rsidRDefault="00C37E2B" w:rsidP="00C37E2B">
      <w:pPr>
        <w:shd w:val="clear" w:color="auto" w:fill="FFFFFF"/>
        <w:rPr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522"/>
      </w:tblGrid>
      <w:tr w:rsidR="00381CE0" w:rsidRPr="00381CE0" w14:paraId="620C4807" w14:textId="77777777" w:rsidTr="00F97DDB">
        <w:tc>
          <w:tcPr>
            <w:tcW w:w="257" w:type="dxa"/>
            <w:shd w:val="clear" w:color="auto" w:fill="auto"/>
            <w:hideMark/>
          </w:tcPr>
          <w:p w14:paraId="6BD64F78" w14:textId="4A141D1B" w:rsidR="00C37E2B" w:rsidRPr="00381CE0" w:rsidRDefault="00C37E2B" w:rsidP="00C37E2B">
            <w:pPr>
              <w:spacing w:line="312" w:lineRule="atLeast"/>
              <w:jc w:val="both"/>
            </w:pPr>
            <w:r w:rsidRPr="00381CE0">
              <w:t>-</w:t>
            </w:r>
          </w:p>
        </w:tc>
        <w:tc>
          <w:tcPr>
            <w:tcW w:w="3993" w:type="dxa"/>
            <w:shd w:val="clear" w:color="auto" w:fill="auto"/>
            <w:hideMark/>
          </w:tcPr>
          <w:p w14:paraId="17B3A6A2" w14:textId="3DE16F74" w:rsidR="00C37E2B" w:rsidRPr="00381CE0" w:rsidRDefault="00C37E2B" w:rsidP="00063452">
            <w:pPr>
              <w:spacing w:line="312" w:lineRule="atLeast"/>
              <w:jc w:val="both"/>
            </w:pPr>
            <w:r w:rsidRPr="00381CE0">
              <w:t>osiguranje usklađenosti sa standard</w:t>
            </w:r>
            <w:r w:rsidR="00E174DA" w:rsidRPr="00381CE0">
              <w:t xml:space="preserve">ima sigurnosti plovidbe </w:t>
            </w:r>
            <w:r w:rsidR="007D68D5" w:rsidRPr="00381CE0">
              <w:t>i povezanim standardima</w:t>
            </w:r>
            <w:r w:rsidRPr="00381CE0">
              <w:t xml:space="preserve"> dobre pomorske prakse.</w:t>
            </w:r>
          </w:p>
        </w:tc>
      </w:tr>
    </w:tbl>
    <w:p w14:paraId="3CC45048" w14:textId="3E7F30FB" w:rsidR="00D47386" w:rsidRPr="00381CE0" w:rsidRDefault="00E174DA" w:rsidP="00C37E2B">
      <w:pPr>
        <w:shd w:val="clear" w:color="auto" w:fill="FFFFFF"/>
        <w:spacing w:line="312" w:lineRule="atLeast"/>
        <w:jc w:val="both"/>
      </w:pPr>
      <w:r w:rsidRPr="00381CE0">
        <w:t>(3)</w:t>
      </w:r>
      <w:r w:rsidR="00C37E2B" w:rsidRPr="00381CE0">
        <w:t>   </w:t>
      </w:r>
      <w:r w:rsidR="00E7677E" w:rsidRPr="00381CE0">
        <w:t xml:space="preserve">Radi ispunjavanja obveza iz </w:t>
      </w:r>
      <w:r w:rsidR="00A85F1E" w:rsidRPr="00381CE0">
        <w:t>stavka 2.</w:t>
      </w:r>
      <w:r w:rsidR="00E7677E" w:rsidRPr="00381CE0">
        <w:t xml:space="preserve"> ovog članka, v</w:t>
      </w:r>
      <w:r w:rsidR="00C37E2B" w:rsidRPr="00381CE0">
        <w:t xml:space="preserve">lasnik </w:t>
      </w:r>
      <w:r w:rsidRPr="00381CE0">
        <w:t>ribarske brodice</w:t>
      </w:r>
      <w:r w:rsidR="00C37E2B" w:rsidRPr="00381CE0">
        <w:t xml:space="preserve"> </w:t>
      </w:r>
      <w:r w:rsidR="00E7677E" w:rsidRPr="00381CE0">
        <w:t>dužan je voditelju ribarsk</w:t>
      </w:r>
      <w:r w:rsidR="00D47386" w:rsidRPr="00381CE0">
        <w:t>e brodice osigurati potrebna sredstva i</w:t>
      </w:r>
      <w:r w:rsidR="00E7677E" w:rsidRPr="00381CE0">
        <w:t xml:space="preserve"> infrastrukturu</w:t>
      </w:r>
      <w:r w:rsidR="00D47386" w:rsidRPr="00381CE0">
        <w:t>.</w:t>
      </w:r>
    </w:p>
    <w:p w14:paraId="24787D72" w14:textId="674DEA7D" w:rsidR="00D47386" w:rsidRPr="00381CE0" w:rsidRDefault="00D47386" w:rsidP="00C37E2B">
      <w:pPr>
        <w:shd w:val="clear" w:color="auto" w:fill="FFFFFF"/>
        <w:spacing w:line="312" w:lineRule="atLeast"/>
        <w:jc w:val="both"/>
      </w:pPr>
      <w:r w:rsidRPr="00381CE0">
        <w:t>(4)</w:t>
      </w:r>
      <w:r w:rsidR="000F10CB" w:rsidRPr="00381CE0">
        <w:t xml:space="preserve"> </w:t>
      </w:r>
      <w:r w:rsidRPr="00381CE0">
        <w:t xml:space="preserve">Vlasnik ribarske brodice dužan je </w:t>
      </w:r>
      <w:r w:rsidR="000F10CB" w:rsidRPr="00381CE0">
        <w:t>osigura</w:t>
      </w:r>
      <w:r w:rsidRPr="00381CE0">
        <w:t>ti</w:t>
      </w:r>
      <w:r w:rsidR="000F10CB" w:rsidRPr="00381CE0">
        <w:t xml:space="preserve"> </w:t>
      </w:r>
      <w:r w:rsidRPr="00381CE0">
        <w:t xml:space="preserve">i da je </w:t>
      </w:r>
      <w:r w:rsidR="000F10CB" w:rsidRPr="00381CE0">
        <w:t xml:space="preserve">svaki </w:t>
      </w:r>
      <w:r w:rsidRPr="00381CE0">
        <w:t>član posade</w:t>
      </w:r>
      <w:r w:rsidR="008013A5" w:rsidRPr="00381CE0">
        <w:t xml:space="preserve"> na ribarskoj brodici </w:t>
      </w:r>
      <w:r w:rsidR="00063452" w:rsidRPr="00381CE0">
        <w:t xml:space="preserve">upoznat s osnovnim postupcima sigurnosti na brodici. </w:t>
      </w:r>
    </w:p>
    <w:p w14:paraId="51AB2953" w14:textId="0390EB63" w:rsidR="00E7677E" w:rsidRPr="00381CE0" w:rsidRDefault="00D47386" w:rsidP="00E7677E">
      <w:pPr>
        <w:shd w:val="clear" w:color="auto" w:fill="FFFFFF"/>
        <w:spacing w:line="312" w:lineRule="atLeast"/>
        <w:jc w:val="both"/>
      </w:pPr>
      <w:r w:rsidRPr="00381CE0">
        <w:t>(5</w:t>
      </w:r>
      <w:r w:rsidR="00E7677E" w:rsidRPr="00381CE0">
        <w:t xml:space="preserve">) Vlasnik ribarskog broda ne </w:t>
      </w:r>
      <w:r w:rsidR="00315714" w:rsidRPr="00381CE0">
        <w:t xml:space="preserve">smije </w:t>
      </w:r>
      <w:r w:rsidR="00E7677E" w:rsidRPr="00381CE0">
        <w:t>ograničava</w:t>
      </w:r>
      <w:r w:rsidR="00315714" w:rsidRPr="00381CE0">
        <w:t>ti</w:t>
      </w:r>
      <w:r w:rsidR="00E7677E" w:rsidRPr="00381CE0">
        <w:t xml:space="preserve"> </w:t>
      </w:r>
      <w:r w:rsidR="00315714" w:rsidRPr="00381CE0">
        <w:t>voditelja ribarske brodice</w:t>
      </w:r>
      <w:r w:rsidR="00E7677E" w:rsidRPr="00381CE0">
        <w:t xml:space="preserve"> u donošenju bilo koje odluke koja je, prema stručnoj procjeni </w:t>
      </w:r>
      <w:r w:rsidR="00315714" w:rsidRPr="00381CE0">
        <w:t>voditelja ribarske brodice</w:t>
      </w:r>
      <w:r w:rsidR="00E7677E" w:rsidRPr="00381CE0">
        <w:t xml:space="preserve">, potrebna za </w:t>
      </w:r>
      <w:r w:rsidR="00315714" w:rsidRPr="00381CE0">
        <w:t>sigurnost</w:t>
      </w:r>
      <w:r w:rsidR="00E7677E" w:rsidRPr="00381CE0">
        <w:t xml:space="preserve"> </w:t>
      </w:r>
      <w:r w:rsidR="00456DCA" w:rsidRPr="00381CE0">
        <w:t>članova posade</w:t>
      </w:r>
      <w:r w:rsidR="00315714" w:rsidRPr="00381CE0">
        <w:t>,</w:t>
      </w:r>
      <w:r w:rsidR="00E7677E" w:rsidRPr="00381CE0">
        <w:t xml:space="preserve"> </w:t>
      </w:r>
      <w:r w:rsidR="00315714" w:rsidRPr="00381CE0">
        <w:t>siguran rad i sigurnu plovidbu</w:t>
      </w:r>
      <w:r w:rsidR="00E7677E" w:rsidRPr="00381CE0">
        <w:t xml:space="preserve"> </w:t>
      </w:r>
      <w:r w:rsidR="00315714" w:rsidRPr="00381CE0">
        <w:t>ribarske brodice</w:t>
      </w:r>
      <w:r w:rsidR="00E7677E" w:rsidRPr="00381CE0">
        <w:t>.</w:t>
      </w:r>
    </w:p>
    <w:p w14:paraId="0D5BB2DD" w14:textId="4DC234F9" w:rsidR="007F68E8" w:rsidRPr="00381CE0" w:rsidRDefault="00D47386" w:rsidP="00E7677E">
      <w:pPr>
        <w:shd w:val="clear" w:color="auto" w:fill="FFFFFF"/>
        <w:spacing w:line="312" w:lineRule="atLeast"/>
        <w:jc w:val="both"/>
      </w:pPr>
      <w:r w:rsidRPr="00381CE0">
        <w:t>(6</w:t>
      </w:r>
      <w:r w:rsidR="00860741" w:rsidRPr="00381CE0">
        <w:t xml:space="preserve">) </w:t>
      </w:r>
      <w:r w:rsidR="00456DCA" w:rsidRPr="00381CE0">
        <w:t>Članovi posade</w:t>
      </w:r>
      <w:r w:rsidR="00E7677E" w:rsidRPr="00381CE0">
        <w:t xml:space="preserve"> </w:t>
      </w:r>
      <w:r w:rsidR="00860741" w:rsidRPr="00381CE0">
        <w:t>su dužni postupati</w:t>
      </w:r>
      <w:r w:rsidR="00E7677E" w:rsidRPr="00381CE0">
        <w:t xml:space="preserve"> u skladu sa zakonitim naredbama </w:t>
      </w:r>
      <w:r w:rsidR="00315714" w:rsidRPr="00381CE0">
        <w:t>voditelja ribarske brodice</w:t>
      </w:r>
      <w:r w:rsidR="00E7677E" w:rsidRPr="00381CE0">
        <w:t xml:space="preserve"> i </w:t>
      </w:r>
      <w:r w:rsidR="008013A5" w:rsidRPr="00381CE0">
        <w:t>mjerama</w:t>
      </w:r>
      <w:r w:rsidR="00E7677E" w:rsidRPr="00381CE0">
        <w:t xml:space="preserve"> koje se odnose na </w:t>
      </w:r>
      <w:r w:rsidR="00860741" w:rsidRPr="00381CE0">
        <w:t xml:space="preserve">njihovu </w:t>
      </w:r>
      <w:r w:rsidR="00E7677E" w:rsidRPr="00381CE0">
        <w:t>sigurnost i zdravlje.</w:t>
      </w:r>
    </w:p>
    <w:p w14:paraId="11E97F6F" w14:textId="5FC15858" w:rsidR="007F68E8" w:rsidRPr="00381CE0" w:rsidRDefault="007F68E8" w:rsidP="007F68E8">
      <w:pPr>
        <w:shd w:val="clear" w:color="auto" w:fill="FFFFFF"/>
        <w:spacing w:line="312" w:lineRule="atLeast"/>
        <w:jc w:val="center"/>
      </w:pPr>
      <w:r w:rsidRPr="00381CE0">
        <w:lastRenderedPageBreak/>
        <w:t>Članak 8.b</w:t>
      </w:r>
    </w:p>
    <w:p w14:paraId="7B2DB1BC" w14:textId="546F56A3" w:rsidR="00A85F1E" w:rsidRPr="00381CE0" w:rsidRDefault="00A36672" w:rsidP="00CF3CCB">
      <w:pPr>
        <w:pStyle w:val="T-98-2"/>
        <w:spacing w:after="0" w:line="214" w:lineRule="atLeast"/>
        <w:rPr>
          <w:rFonts w:ascii="Times New Roman" w:hAnsi="Times New Roman"/>
          <w:sz w:val="24"/>
          <w:szCs w:val="24"/>
        </w:rPr>
      </w:pPr>
      <w:r w:rsidRPr="00381CE0">
        <w:rPr>
          <w:rFonts w:ascii="Times New Roman" w:hAnsi="Times New Roman"/>
          <w:sz w:val="24"/>
          <w:szCs w:val="24"/>
        </w:rPr>
        <w:t xml:space="preserve">(1) </w:t>
      </w:r>
      <w:r w:rsidR="00A85F1E" w:rsidRPr="00381CE0">
        <w:rPr>
          <w:rFonts w:ascii="Times New Roman" w:hAnsi="Times New Roman"/>
          <w:sz w:val="24"/>
          <w:szCs w:val="24"/>
        </w:rPr>
        <w:t>Članu</w:t>
      </w:r>
      <w:r w:rsidR="00CF3CCB" w:rsidRPr="00381CE0">
        <w:rPr>
          <w:rFonts w:ascii="Times New Roman" w:hAnsi="Times New Roman"/>
          <w:sz w:val="24"/>
          <w:szCs w:val="24"/>
        </w:rPr>
        <w:t xml:space="preserve"> posade ribarske brodice </w:t>
      </w:r>
      <w:r w:rsidR="00396F4B" w:rsidRPr="00381CE0">
        <w:rPr>
          <w:rFonts w:ascii="Times New Roman" w:hAnsi="Times New Roman"/>
          <w:sz w:val="24"/>
          <w:szCs w:val="24"/>
        </w:rPr>
        <w:t>koja uplovljava u stranu luku</w:t>
      </w:r>
      <w:r w:rsidR="00A85F1E" w:rsidRPr="00381CE0">
        <w:rPr>
          <w:rFonts w:ascii="Times New Roman" w:hAnsi="Times New Roman"/>
          <w:sz w:val="24"/>
          <w:szCs w:val="24"/>
        </w:rPr>
        <w:t>,</w:t>
      </w:r>
      <w:r w:rsidR="00396F4B" w:rsidRPr="00381CE0">
        <w:rPr>
          <w:rFonts w:ascii="Times New Roman" w:hAnsi="Times New Roman"/>
          <w:sz w:val="24"/>
          <w:szCs w:val="24"/>
        </w:rPr>
        <w:t xml:space="preserve"> </w:t>
      </w:r>
      <w:r w:rsidR="00A85F1E" w:rsidRPr="00381CE0">
        <w:rPr>
          <w:rFonts w:ascii="Times New Roman" w:hAnsi="Times New Roman"/>
          <w:sz w:val="24"/>
          <w:szCs w:val="24"/>
        </w:rPr>
        <w:t>a kojem je</w:t>
      </w:r>
      <w:r w:rsidR="00396F4B" w:rsidRPr="00381CE0">
        <w:rPr>
          <w:rFonts w:ascii="Times New Roman" w:hAnsi="Times New Roman"/>
          <w:sz w:val="24"/>
          <w:szCs w:val="24"/>
        </w:rPr>
        <w:t xml:space="preserve"> </w:t>
      </w:r>
      <w:r w:rsidR="00CF3CCB" w:rsidRPr="00381CE0">
        <w:rPr>
          <w:rFonts w:ascii="Times New Roman" w:hAnsi="Times New Roman"/>
          <w:sz w:val="24"/>
          <w:szCs w:val="24"/>
        </w:rPr>
        <w:t>zbog isteka ili</w:t>
      </w:r>
      <w:r w:rsidR="00A85F1E" w:rsidRPr="00381CE0">
        <w:rPr>
          <w:rFonts w:ascii="Times New Roman" w:hAnsi="Times New Roman"/>
          <w:sz w:val="24"/>
          <w:szCs w:val="24"/>
        </w:rPr>
        <w:t xml:space="preserve"> drugog opravdanog razloga ugovor</w:t>
      </w:r>
      <w:r w:rsidR="00CF3CCB" w:rsidRPr="00381CE0">
        <w:rPr>
          <w:rFonts w:ascii="Times New Roman" w:hAnsi="Times New Roman"/>
          <w:sz w:val="24"/>
          <w:szCs w:val="24"/>
        </w:rPr>
        <w:t xml:space="preserve"> o radu </w:t>
      </w:r>
      <w:r w:rsidR="00A85F1E" w:rsidRPr="00381CE0">
        <w:rPr>
          <w:rFonts w:ascii="Times New Roman" w:hAnsi="Times New Roman"/>
          <w:sz w:val="24"/>
          <w:szCs w:val="24"/>
        </w:rPr>
        <w:t>prestao</w:t>
      </w:r>
      <w:r w:rsidR="00CF3CCB" w:rsidRPr="00381CE0">
        <w:rPr>
          <w:rFonts w:ascii="Times New Roman" w:hAnsi="Times New Roman"/>
          <w:sz w:val="24"/>
          <w:szCs w:val="24"/>
        </w:rPr>
        <w:t xml:space="preserve"> </w:t>
      </w:r>
      <w:r w:rsidR="00396F4B" w:rsidRPr="00381CE0">
        <w:rPr>
          <w:rFonts w:ascii="Times New Roman" w:hAnsi="Times New Roman"/>
          <w:sz w:val="24"/>
          <w:szCs w:val="24"/>
        </w:rPr>
        <w:t xml:space="preserve">ili koji više nije u mogućnosti obavljati dužnosti definirane ugovorom o radu ili od kojeg se ne može očekivati da će ih obavljati zbog posebnih okolnosti, </w:t>
      </w:r>
      <w:r w:rsidR="00A85F1E" w:rsidRPr="00381CE0">
        <w:rPr>
          <w:rFonts w:ascii="Times New Roman" w:hAnsi="Times New Roman"/>
          <w:sz w:val="24"/>
          <w:szCs w:val="24"/>
        </w:rPr>
        <w:t xml:space="preserve">vlasnik ribarske brodice dužan je osigurati povratno putovanje u </w:t>
      </w:r>
      <w:r w:rsidR="00C71EB4" w:rsidRPr="00381CE0">
        <w:rPr>
          <w:rFonts w:ascii="Times New Roman" w:hAnsi="Times New Roman"/>
          <w:sz w:val="24"/>
          <w:szCs w:val="24"/>
        </w:rPr>
        <w:t>mjesto njegova prebivališta.</w:t>
      </w:r>
    </w:p>
    <w:p w14:paraId="68A306BD" w14:textId="3CAAB1CC" w:rsidR="00A85F1E" w:rsidRPr="00381CE0" w:rsidRDefault="00A85F1E" w:rsidP="00CF3CCB">
      <w:pPr>
        <w:pStyle w:val="T-98-2"/>
        <w:spacing w:after="0" w:line="214" w:lineRule="atLeast"/>
        <w:rPr>
          <w:rFonts w:ascii="Times New Roman" w:hAnsi="Times New Roman"/>
          <w:sz w:val="24"/>
          <w:szCs w:val="24"/>
        </w:rPr>
      </w:pPr>
      <w:r w:rsidRPr="00381CE0">
        <w:rPr>
          <w:rFonts w:ascii="Times New Roman" w:hAnsi="Times New Roman"/>
          <w:sz w:val="24"/>
          <w:szCs w:val="24"/>
        </w:rPr>
        <w:t xml:space="preserve">(2) Povratno putovanje iz stavka 1. ovog članka, vlasnik ribarske brodice dužan je osigurati i onom članu posade ribarske brodice koji je iz razloga navedenih u stavku 1. ovog članka već iskrcan u stranu luku. </w:t>
      </w:r>
    </w:p>
    <w:p w14:paraId="7ACAECDC" w14:textId="4E5B7D7C" w:rsidR="00C71EB4" w:rsidRPr="00381CE0" w:rsidRDefault="00C71EB4" w:rsidP="00CF3CCB">
      <w:pPr>
        <w:pStyle w:val="T-98-2"/>
        <w:spacing w:after="0" w:line="214" w:lineRule="atLeast"/>
        <w:rPr>
          <w:rFonts w:ascii="Times New Roman" w:hAnsi="Times New Roman"/>
          <w:sz w:val="24"/>
          <w:szCs w:val="24"/>
        </w:rPr>
      </w:pPr>
      <w:r w:rsidRPr="00381CE0">
        <w:rPr>
          <w:rFonts w:ascii="Times New Roman" w:hAnsi="Times New Roman"/>
          <w:sz w:val="24"/>
          <w:szCs w:val="24"/>
        </w:rPr>
        <w:t xml:space="preserve">(3) Ako vlasnik ribarske brodice ne osigura povratno putovanje iz stavaka 1. i 2. ovog članka, povratno putovanje članu ribarske brodice dužno je osigurati diplomatsko, odnosno konzularno predstavništvo Republike Hrvatske </w:t>
      </w:r>
      <w:r w:rsidR="00381CE0" w:rsidRPr="00381CE0">
        <w:rPr>
          <w:rFonts w:ascii="Times New Roman" w:hAnsi="Times New Roman"/>
          <w:sz w:val="24"/>
          <w:szCs w:val="24"/>
        </w:rPr>
        <w:t xml:space="preserve">u toj zemlji </w:t>
      </w:r>
      <w:r w:rsidRPr="00381CE0">
        <w:rPr>
          <w:rFonts w:ascii="Times New Roman" w:hAnsi="Times New Roman"/>
          <w:sz w:val="24"/>
          <w:szCs w:val="24"/>
        </w:rPr>
        <w:t>na teret vlasnika ribarske brodice.</w:t>
      </w:r>
    </w:p>
    <w:p w14:paraId="15D02EEA" w14:textId="0AFAE54A" w:rsidR="00C71EB4" w:rsidRPr="00381CE0" w:rsidRDefault="00381CE0" w:rsidP="00A85F1E">
      <w:pPr>
        <w:pStyle w:val="T-98-2"/>
        <w:spacing w:after="0" w:line="214" w:lineRule="atLeast"/>
        <w:rPr>
          <w:rFonts w:ascii="Times New Roman" w:hAnsi="Times New Roman"/>
          <w:sz w:val="24"/>
          <w:szCs w:val="24"/>
        </w:rPr>
      </w:pPr>
      <w:r w:rsidRPr="00381CE0">
        <w:rPr>
          <w:rFonts w:ascii="Times New Roman" w:hAnsi="Times New Roman"/>
          <w:sz w:val="24"/>
          <w:szCs w:val="24"/>
        </w:rPr>
        <w:t>(4</w:t>
      </w:r>
      <w:r w:rsidR="00A85F1E" w:rsidRPr="00381CE0">
        <w:rPr>
          <w:rFonts w:ascii="Times New Roman" w:hAnsi="Times New Roman"/>
          <w:sz w:val="24"/>
          <w:szCs w:val="24"/>
        </w:rPr>
        <w:t>) Trošak povratnog putovanja iz stavaka 1. i 2. ovog članka snosi vlasnik ribarske brodice</w:t>
      </w:r>
      <w:r w:rsidR="00C71EB4" w:rsidRPr="00381CE0">
        <w:rPr>
          <w:rFonts w:ascii="Times New Roman" w:hAnsi="Times New Roman"/>
          <w:sz w:val="24"/>
          <w:szCs w:val="24"/>
        </w:rPr>
        <w:t>.</w:t>
      </w:r>
    </w:p>
    <w:p w14:paraId="51A6449B" w14:textId="309E8086" w:rsidR="00A85F1E" w:rsidRPr="00381CE0" w:rsidRDefault="00381CE0" w:rsidP="00A85F1E">
      <w:pPr>
        <w:pStyle w:val="T-98-2"/>
        <w:spacing w:after="0" w:line="214" w:lineRule="atLeast"/>
        <w:rPr>
          <w:rFonts w:ascii="Times New Roman" w:hAnsi="Times New Roman"/>
          <w:sz w:val="24"/>
          <w:szCs w:val="24"/>
        </w:rPr>
      </w:pPr>
      <w:r w:rsidRPr="00381CE0">
        <w:rPr>
          <w:rFonts w:ascii="Times New Roman" w:hAnsi="Times New Roman"/>
          <w:sz w:val="24"/>
          <w:szCs w:val="24"/>
        </w:rPr>
        <w:t>(5</w:t>
      </w:r>
      <w:r w:rsidR="00C71EB4" w:rsidRPr="00381CE0">
        <w:rPr>
          <w:rFonts w:ascii="Times New Roman" w:hAnsi="Times New Roman"/>
          <w:sz w:val="24"/>
          <w:szCs w:val="24"/>
        </w:rPr>
        <w:t>) Radi namirenja troškova povratnog putovanja, vlasnik ribarske brodice</w:t>
      </w:r>
      <w:r w:rsidR="00A85F1E" w:rsidRPr="00381CE0">
        <w:rPr>
          <w:rFonts w:ascii="Times New Roman" w:hAnsi="Times New Roman"/>
          <w:sz w:val="24"/>
          <w:szCs w:val="24"/>
        </w:rPr>
        <w:t xml:space="preserve"> ne smije </w:t>
      </w:r>
      <w:r w:rsidR="00C71EB4" w:rsidRPr="00381CE0">
        <w:rPr>
          <w:rFonts w:ascii="Times New Roman" w:hAnsi="Times New Roman"/>
          <w:sz w:val="24"/>
          <w:szCs w:val="24"/>
        </w:rPr>
        <w:t xml:space="preserve">se </w:t>
      </w:r>
      <w:r w:rsidR="00A85F1E" w:rsidRPr="00381CE0">
        <w:rPr>
          <w:rFonts w:ascii="Times New Roman" w:hAnsi="Times New Roman"/>
          <w:sz w:val="24"/>
          <w:szCs w:val="24"/>
        </w:rPr>
        <w:t xml:space="preserve">naplatiti od člana posade </w:t>
      </w:r>
      <w:r w:rsidR="00C71EB4" w:rsidRPr="00381CE0">
        <w:rPr>
          <w:rFonts w:ascii="Times New Roman" w:hAnsi="Times New Roman"/>
          <w:sz w:val="24"/>
          <w:szCs w:val="24"/>
        </w:rPr>
        <w:t>ribarske brodice</w:t>
      </w:r>
      <w:r w:rsidR="00A85F1E" w:rsidRPr="00381CE0">
        <w:rPr>
          <w:rFonts w:ascii="Times New Roman" w:hAnsi="Times New Roman"/>
          <w:sz w:val="24"/>
          <w:szCs w:val="24"/>
        </w:rPr>
        <w:t xml:space="preserve"> </w:t>
      </w:r>
      <w:r w:rsidR="00C71EB4" w:rsidRPr="00381CE0">
        <w:rPr>
          <w:rFonts w:ascii="Times New Roman" w:hAnsi="Times New Roman"/>
          <w:sz w:val="24"/>
          <w:szCs w:val="24"/>
        </w:rPr>
        <w:t xml:space="preserve">ni </w:t>
      </w:r>
      <w:r w:rsidR="00A85F1E" w:rsidRPr="00381CE0">
        <w:rPr>
          <w:rFonts w:ascii="Times New Roman" w:hAnsi="Times New Roman"/>
          <w:sz w:val="24"/>
          <w:szCs w:val="24"/>
        </w:rPr>
        <w:t xml:space="preserve">u obliku predujma na početku zaposlenja </w:t>
      </w:r>
      <w:r w:rsidR="00C71EB4" w:rsidRPr="00381CE0">
        <w:rPr>
          <w:rFonts w:ascii="Times New Roman" w:hAnsi="Times New Roman"/>
          <w:sz w:val="24"/>
          <w:szCs w:val="24"/>
        </w:rPr>
        <w:t xml:space="preserve">niti </w:t>
      </w:r>
      <w:r w:rsidR="00A85F1E" w:rsidRPr="00381CE0">
        <w:rPr>
          <w:rFonts w:ascii="Times New Roman" w:hAnsi="Times New Roman"/>
          <w:sz w:val="24"/>
          <w:szCs w:val="24"/>
        </w:rPr>
        <w:t xml:space="preserve">iz plaća koje </w:t>
      </w:r>
      <w:r w:rsidRPr="00381CE0">
        <w:rPr>
          <w:rFonts w:ascii="Times New Roman" w:hAnsi="Times New Roman"/>
          <w:sz w:val="24"/>
          <w:szCs w:val="24"/>
        </w:rPr>
        <w:t xml:space="preserve">mu je </w:t>
      </w:r>
      <w:r w:rsidR="00A85F1E" w:rsidRPr="00381CE0">
        <w:rPr>
          <w:rFonts w:ascii="Times New Roman" w:hAnsi="Times New Roman"/>
          <w:sz w:val="24"/>
          <w:szCs w:val="24"/>
        </w:rPr>
        <w:t xml:space="preserve">je dužan isplatiti, osim u slučaju težih povreda obveza iz ugovora o radu od strane </w:t>
      </w:r>
      <w:r w:rsidRPr="00381CE0">
        <w:rPr>
          <w:rFonts w:ascii="Times New Roman" w:hAnsi="Times New Roman"/>
          <w:sz w:val="24"/>
          <w:szCs w:val="24"/>
        </w:rPr>
        <w:t xml:space="preserve">tog </w:t>
      </w:r>
      <w:r w:rsidR="00A85F1E" w:rsidRPr="00381CE0">
        <w:rPr>
          <w:rFonts w:ascii="Times New Roman" w:hAnsi="Times New Roman"/>
          <w:sz w:val="24"/>
          <w:szCs w:val="24"/>
        </w:rPr>
        <w:t>člana posade broda.</w:t>
      </w:r>
    </w:p>
    <w:p w14:paraId="1AED9627" w14:textId="7E9BDFA8" w:rsidR="00FD1DB1" w:rsidRPr="00381CE0" w:rsidRDefault="00381CE0" w:rsidP="00FD1DB1">
      <w:pPr>
        <w:pStyle w:val="normal2"/>
        <w:shd w:val="clear" w:color="auto" w:fill="FFFFFF"/>
        <w:spacing w:before="0"/>
      </w:pPr>
      <w:r w:rsidRPr="00381CE0">
        <w:t>(6</w:t>
      </w:r>
      <w:r w:rsidR="00C71EB4" w:rsidRPr="00381CE0">
        <w:t>)</w:t>
      </w:r>
      <w:r w:rsidR="00FD1DB1" w:rsidRPr="00381CE0">
        <w:t xml:space="preserve"> Pravo na osiguranje povratnog putovanja iz ovog članka imaju samo oni članovi posade ribarske brodice čiji je razdoblje rada na odnosnoj ribarskoj brodici trajalo najmanje šest mjeseca do dana </w:t>
      </w:r>
      <w:r w:rsidR="00345CF0" w:rsidRPr="00381CE0">
        <w:t>povratnog putovanja</w:t>
      </w:r>
      <w:r w:rsidR="00FD1DB1" w:rsidRPr="00381CE0">
        <w:t xml:space="preserve">. </w:t>
      </w:r>
    </w:p>
    <w:p w14:paraId="5BAD4DBB" w14:textId="6B7145F4" w:rsidR="000F10CB" w:rsidRDefault="00381CE0" w:rsidP="00FD1DB1">
      <w:pPr>
        <w:pStyle w:val="normal2"/>
        <w:shd w:val="clear" w:color="auto" w:fill="FFFFFF"/>
        <w:spacing w:before="0"/>
      </w:pPr>
      <w:r w:rsidRPr="00381CE0">
        <w:t>(7</w:t>
      </w:r>
      <w:r w:rsidR="00345CF0" w:rsidRPr="00381CE0">
        <w:t>) Odredbe o povratnom putovanj</w:t>
      </w:r>
      <w:r w:rsidRPr="00381CE0">
        <w:t>u propisane Pomorskim zakonikom</w:t>
      </w:r>
      <w:r w:rsidR="00345CF0" w:rsidRPr="00381CE0">
        <w:t xml:space="preserve"> na odgovarajući se način primjenjuju i na ribarske brodice.</w:t>
      </w:r>
    </w:p>
    <w:p w14:paraId="73959D58" w14:textId="77777777" w:rsidR="00381CE0" w:rsidRPr="00381CE0" w:rsidRDefault="00381CE0" w:rsidP="00FD1DB1">
      <w:pPr>
        <w:pStyle w:val="normal2"/>
        <w:shd w:val="clear" w:color="auto" w:fill="FFFFFF"/>
        <w:spacing w:before="0"/>
      </w:pPr>
    </w:p>
    <w:p w14:paraId="6C387C61" w14:textId="534871B3" w:rsidR="000F10CB" w:rsidRPr="00381CE0" w:rsidRDefault="000F10CB" w:rsidP="000F10CB">
      <w:pPr>
        <w:pStyle w:val="ti-section-12"/>
        <w:shd w:val="clear" w:color="auto" w:fill="FFFFFF"/>
        <w:spacing w:before="0"/>
        <w:rPr>
          <w:b w:val="0"/>
        </w:rPr>
      </w:pPr>
      <w:r w:rsidRPr="00381CE0">
        <w:rPr>
          <w:b w:val="0"/>
        </w:rPr>
        <w:t>Članak 8.c</w:t>
      </w:r>
    </w:p>
    <w:p w14:paraId="4E089703" w14:textId="228C29F4" w:rsidR="000F10CB" w:rsidRPr="00381CE0" w:rsidRDefault="00381CE0" w:rsidP="000F10CB">
      <w:pPr>
        <w:pStyle w:val="ti-section-12"/>
        <w:shd w:val="clear" w:color="auto" w:fill="FFFFFF"/>
        <w:spacing w:before="0"/>
        <w:jc w:val="both"/>
        <w:rPr>
          <w:b w:val="0"/>
        </w:rPr>
      </w:pPr>
      <w:r>
        <w:rPr>
          <w:b w:val="0"/>
        </w:rPr>
        <w:t xml:space="preserve">(1) </w:t>
      </w:r>
      <w:r w:rsidR="000F10CB" w:rsidRPr="00381CE0">
        <w:rPr>
          <w:b w:val="0"/>
        </w:rPr>
        <w:t>Posrednici kako su definirani pravilnikom koji uređuje posredovanje pri zapošljavanju pomoraca ne smiju upotrebljavaju nikakva sredstva, mehanizm</w:t>
      </w:r>
      <w:r>
        <w:rPr>
          <w:b w:val="0"/>
        </w:rPr>
        <w:t>e ili popise čija je svrha sprječavanje zapošljavanja</w:t>
      </w:r>
      <w:r w:rsidR="000F10CB" w:rsidRPr="00381CE0">
        <w:rPr>
          <w:b w:val="0"/>
        </w:rPr>
        <w:t xml:space="preserve"> članova posade ribarske brodice.</w:t>
      </w:r>
    </w:p>
    <w:p w14:paraId="6C938936" w14:textId="1626D4BD" w:rsidR="00345CF0" w:rsidRPr="0016681F" w:rsidRDefault="00381CE0" w:rsidP="0016681F">
      <w:pPr>
        <w:pStyle w:val="ti-section-12"/>
        <w:shd w:val="clear" w:color="auto" w:fill="FFFFFF"/>
        <w:spacing w:before="0"/>
        <w:jc w:val="both"/>
        <w:rPr>
          <w:b w:val="0"/>
        </w:rPr>
      </w:pPr>
      <w:r>
        <w:rPr>
          <w:b w:val="0"/>
        </w:rPr>
        <w:t xml:space="preserve">(2) </w:t>
      </w:r>
      <w:r w:rsidR="000F10CB" w:rsidRPr="00381CE0">
        <w:rPr>
          <w:b w:val="0"/>
        </w:rPr>
        <w:t>Član ribarske brodice nije dužan</w:t>
      </w:r>
      <w:r>
        <w:rPr>
          <w:b w:val="0"/>
        </w:rPr>
        <w:t>,</w:t>
      </w:r>
      <w:r w:rsidRPr="00381CE0">
        <w:rPr>
          <w:b w:val="0"/>
        </w:rPr>
        <w:t xml:space="preserve"> posredno </w:t>
      </w:r>
      <w:r>
        <w:rPr>
          <w:b w:val="0"/>
        </w:rPr>
        <w:t>ni</w:t>
      </w:r>
      <w:r w:rsidRPr="00381CE0">
        <w:rPr>
          <w:b w:val="0"/>
        </w:rPr>
        <w:t xml:space="preserve"> neposredno</w:t>
      </w:r>
      <w:r>
        <w:rPr>
          <w:b w:val="0"/>
        </w:rPr>
        <w:t>,</w:t>
      </w:r>
      <w:r w:rsidRPr="00381CE0">
        <w:rPr>
          <w:b w:val="0"/>
        </w:rPr>
        <w:t xml:space="preserve"> u cijelosti </w:t>
      </w:r>
      <w:r w:rsidR="0016681F">
        <w:rPr>
          <w:b w:val="0"/>
        </w:rPr>
        <w:t>ni</w:t>
      </w:r>
      <w:r w:rsidRPr="00381CE0">
        <w:rPr>
          <w:b w:val="0"/>
        </w:rPr>
        <w:t xml:space="preserve"> djelomično</w:t>
      </w:r>
      <w:r w:rsidR="0016681F">
        <w:rPr>
          <w:b w:val="0"/>
        </w:rPr>
        <w:t>,</w:t>
      </w:r>
      <w:r w:rsidR="000F10CB" w:rsidRPr="00381CE0">
        <w:rPr>
          <w:b w:val="0"/>
        </w:rPr>
        <w:t xml:space="preserve"> snositi nikakve naknade ili druga davanja za </w:t>
      </w:r>
      <w:r>
        <w:rPr>
          <w:b w:val="0"/>
        </w:rPr>
        <w:t>usluge posrednika iz stavka 1. ovog članka</w:t>
      </w:r>
      <w:r w:rsidR="0016681F">
        <w:rPr>
          <w:b w:val="0"/>
        </w:rPr>
        <w:t>.“.</w:t>
      </w:r>
    </w:p>
    <w:p w14:paraId="58121310" w14:textId="77777777" w:rsidR="00814E47" w:rsidRPr="00D47386" w:rsidRDefault="00814E47" w:rsidP="00EB40E7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48722B99" w14:textId="77EC223E" w:rsidR="00814E47" w:rsidRPr="00D47386" w:rsidRDefault="00814E47" w:rsidP="00EB40E7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47386">
        <w:rPr>
          <w:b/>
          <w:color w:val="000000"/>
        </w:rPr>
        <w:t>Članak 3.</w:t>
      </w:r>
    </w:p>
    <w:p w14:paraId="05BE7DC8" w14:textId="6F86EAF6" w:rsidR="00814E47" w:rsidRDefault="00814E47" w:rsidP="00814E47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7386">
        <w:rPr>
          <w:color w:val="000000"/>
        </w:rPr>
        <w:t>U članka 49. iza stavka 3. dodaje se novi stavak 4. koji glasi:</w:t>
      </w:r>
    </w:p>
    <w:p w14:paraId="26E99D18" w14:textId="77777777" w:rsidR="00C921ED" w:rsidRPr="00D47386" w:rsidRDefault="00C921ED" w:rsidP="00814E47">
      <w:pPr>
        <w:pStyle w:val="clanak-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A406B8F" w14:textId="3B9D91A8" w:rsidR="00D47386" w:rsidRDefault="00814E47" w:rsidP="00814E47">
      <w:pPr>
        <w:pStyle w:val="ti-section-12"/>
        <w:shd w:val="clear" w:color="auto" w:fill="FFFFFF"/>
        <w:spacing w:before="0"/>
        <w:jc w:val="both"/>
        <w:rPr>
          <w:b w:val="0"/>
        </w:rPr>
      </w:pPr>
      <w:r w:rsidRPr="00D47386">
        <w:rPr>
          <w:b w:val="0"/>
        </w:rPr>
        <w:t xml:space="preserve">„(4) Na svakoj ribarskoj brodici mora se nalaziti popis članova posade, </w:t>
      </w:r>
      <w:r w:rsidR="007F68E8" w:rsidRPr="00D47386">
        <w:rPr>
          <w:b w:val="0"/>
        </w:rPr>
        <w:t>čiju se preslika</w:t>
      </w:r>
      <w:r w:rsidRPr="00D47386">
        <w:rPr>
          <w:b w:val="0"/>
        </w:rPr>
        <w:t xml:space="preserve"> predaje nadležnoj </w:t>
      </w:r>
      <w:r w:rsidRPr="00C921ED">
        <w:rPr>
          <w:b w:val="0"/>
        </w:rPr>
        <w:t>lučkoj kapetaniji prije</w:t>
      </w:r>
      <w:r w:rsidRPr="00D47386">
        <w:rPr>
          <w:b w:val="0"/>
        </w:rPr>
        <w:t xml:space="preserve"> isplovljavanja</w:t>
      </w:r>
      <w:r w:rsidR="004D2E55" w:rsidRPr="00D47386">
        <w:rPr>
          <w:b w:val="0"/>
        </w:rPr>
        <w:t xml:space="preserve"> ili </w:t>
      </w:r>
      <w:r w:rsidRPr="00D47386">
        <w:rPr>
          <w:b w:val="0"/>
        </w:rPr>
        <w:t xml:space="preserve">odmah nakon </w:t>
      </w:r>
      <w:r w:rsidR="004D2E55" w:rsidRPr="00D47386">
        <w:rPr>
          <w:b w:val="0"/>
        </w:rPr>
        <w:t>isplovljavanja</w:t>
      </w:r>
      <w:r w:rsidR="007F68E8" w:rsidRPr="00D47386">
        <w:rPr>
          <w:b w:val="0"/>
        </w:rPr>
        <w:t xml:space="preserve"> ribarske brodice</w:t>
      </w:r>
      <w:r w:rsidR="0016681F">
        <w:rPr>
          <w:b w:val="0"/>
        </w:rPr>
        <w:t xml:space="preserve"> koja sudjeluje u međunarodnoj plovidbi.“.</w:t>
      </w:r>
    </w:p>
    <w:p w14:paraId="0BCD0BB7" w14:textId="77777777" w:rsidR="0016681F" w:rsidRPr="00D47386" w:rsidRDefault="0016681F" w:rsidP="00814E47">
      <w:pPr>
        <w:pStyle w:val="ti-section-12"/>
        <w:shd w:val="clear" w:color="auto" w:fill="FFFFFF"/>
        <w:spacing w:before="0"/>
        <w:jc w:val="both"/>
        <w:rPr>
          <w:b w:val="0"/>
        </w:rPr>
      </w:pPr>
    </w:p>
    <w:p w14:paraId="546B17CD" w14:textId="57CF11E6" w:rsidR="00D47386" w:rsidRPr="00D47386" w:rsidRDefault="00D47386" w:rsidP="00D47386">
      <w:pPr>
        <w:pStyle w:val="ti-section-12"/>
        <w:shd w:val="clear" w:color="auto" w:fill="FFFFFF"/>
        <w:spacing w:before="0"/>
      </w:pPr>
      <w:r w:rsidRPr="00D47386">
        <w:t>Članak 4.</w:t>
      </w:r>
    </w:p>
    <w:p w14:paraId="7273995A" w14:textId="2F4024E3" w:rsidR="00D47386" w:rsidRPr="00D47386" w:rsidRDefault="00D47386" w:rsidP="00D47386">
      <w:pPr>
        <w:pStyle w:val="ti-section-12"/>
        <w:shd w:val="clear" w:color="auto" w:fill="FFFFFF"/>
        <w:spacing w:before="0"/>
        <w:jc w:val="both"/>
        <w:rPr>
          <w:b w:val="0"/>
        </w:rPr>
      </w:pPr>
      <w:r w:rsidRPr="00D47386">
        <w:rPr>
          <w:b w:val="0"/>
        </w:rPr>
        <w:t>Ovaj pravilnik stupa na snagu prvog dana od dana objave u „Narodnim novinama“.</w:t>
      </w:r>
    </w:p>
    <w:p w14:paraId="73022BD2" w14:textId="77777777" w:rsidR="0016681F" w:rsidRDefault="0016681F" w:rsidP="00EB40E7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7EE40CD" w14:textId="3632FBD3" w:rsidR="006C2AF5" w:rsidRDefault="006C2AF5" w:rsidP="006C2AF5">
      <w:pPr>
        <w:pStyle w:val="clanak-"/>
        <w:spacing w:before="0" w:beforeAutospacing="0" w:after="0" w:afterAutospacing="0"/>
        <w:ind w:left="6372"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Ministar </w:t>
      </w:r>
    </w:p>
    <w:p w14:paraId="331264A5" w14:textId="5CF39030" w:rsidR="006C2AF5" w:rsidRDefault="006C2AF5" w:rsidP="00EB40E7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color w:val="000000"/>
        </w:rPr>
        <w:t>Oleg Butković</w:t>
      </w:r>
    </w:p>
    <w:sectPr w:rsidR="006C2AF5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709C"/>
    <w:multiLevelType w:val="hybridMultilevel"/>
    <w:tmpl w:val="44B2E16A"/>
    <w:lvl w:ilvl="0" w:tplc="276A7D20"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hint="default"/>
      </w:rPr>
    </w:lvl>
    <w:lvl w:ilvl="1" w:tplc="041A0019">
      <w:start w:val="1"/>
      <w:numFmt w:val="bullet"/>
      <w:pStyle w:val="NNormal"/>
      <w:lvlText w:val="–"/>
      <w:lvlJc w:val="left"/>
      <w:pPr>
        <w:tabs>
          <w:tab w:val="num" w:pos="1422"/>
        </w:tabs>
        <w:ind w:left="1422" w:hanging="360"/>
      </w:pPr>
      <w:rPr>
        <w:rFonts w:ascii="Arial Narrow" w:hAnsi="Arial Narro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343A577A"/>
    <w:multiLevelType w:val="hybridMultilevel"/>
    <w:tmpl w:val="66F6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2CEE"/>
    <w:multiLevelType w:val="hybridMultilevel"/>
    <w:tmpl w:val="CCCAD6E0"/>
    <w:lvl w:ilvl="0" w:tplc="8FB22DA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8F56AF"/>
    <w:multiLevelType w:val="hybridMultilevel"/>
    <w:tmpl w:val="4C969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75C0"/>
    <w:multiLevelType w:val="hybridMultilevel"/>
    <w:tmpl w:val="C792A212"/>
    <w:lvl w:ilvl="0" w:tplc="F90AB15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E5479"/>
    <w:multiLevelType w:val="hybridMultilevel"/>
    <w:tmpl w:val="B8F2CE6E"/>
    <w:lvl w:ilvl="0" w:tplc="276A7D2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935ED"/>
    <w:multiLevelType w:val="hybridMultilevel"/>
    <w:tmpl w:val="E68060D6"/>
    <w:lvl w:ilvl="0" w:tplc="8FB22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pStyle w:val="D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475EA"/>
    <w:multiLevelType w:val="hybridMultilevel"/>
    <w:tmpl w:val="439AF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A665B"/>
    <w:multiLevelType w:val="hybridMultilevel"/>
    <w:tmpl w:val="0CEE8790"/>
    <w:lvl w:ilvl="0" w:tplc="F90AB15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F172F"/>
    <w:multiLevelType w:val="hybridMultilevel"/>
    <w:tmpl w:val="2BEE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63452"/>
    <w:rsid w:val="000F10CB"/>
    <w:rsid w:val="000F6291"/>
    <w:rsid w:val="0016681F"/>
    <w:rsid w:val="001866F3"/>
    <w:rsid w:val="002D11B3"/>
    <w:rsid w:val="00315714"/>
    <w:rsid w:val="00345CF0"/>
    <w:rsid w:val="00381CE0"/>
    <w:rsid w:val="00396F4B"/>
    <w:rsid w:val="00456DCA"/>
    <w:rsid w:val="004D2E55"/>
    <w:rsid w:val="00654F11"/>
    <w:rsid w:val="006C2AF5"/>
    <w:rsid w:val="007D68D5"/>
    <w:rsid w:val="007F68E8"/>
    <w:rsid w:val="008013A5"/>
    <w:rsid w:val="00814E47"/>
    <w:rsid w:val="00860741"/>
    <w:rsid w:val="00904A88"/>
    <w:rsid w:val="009755F9"/>
    <w:rsid w:val="00A36672"/>
    <w:rsid w:val="00A85F1E"/>
    <w:rsid w:val="00B84920"/>
    <w:rsid w:val="00C37E2B"/>
    <w:rsid w:val="00C71EB4"/>
    <w:rsid w:val="00C921ED"/>
    <w:rsid w:val="00CB3AD8"/>
    <w:rsid w:val="00CF3CCB"/>
    <w:rsid w:val="00D47386"/>
    <w:rsid w:val="00E174DA"/>
    <w:rsid w:val="00E7677E"/>
    <w:rsid w:val="00EB40E7"/>
    <w:rsid w:val="00FC75C2"/>
    <w:rsid w:val="00FD1DB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B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rsid w:val="00EB40E7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EB40E7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EB40E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EB40E7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EB40E7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EB40E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EB40E7"/>
    <w:pPr>
      <w:spacing w:before="100" w:beforeAutospacing="1" w:after="100" w:afterAutospacing="1"/>
    </w:pPr>
  </w:style>
  <w:style w:type="character" w:customStyle="1" w:styleId="kurziv">
    <w:name w:val="kurziv"/>
    <w:rsid w:val="00EB40E7"/>
  </w:style>
  <w:style w:type="character" w:customStyle="1" w:styleId="bold">
    <w:name w:val="bold"/>
    <w:rsid w:val="00EB40E7"/>
  </w:style>
  <w:style w:type="paragraph" w:styleId="BalloonText">
    <w:name w:val="Balloon Text"/>
    <w:basedOn w:val="Normal"/>
    <w:link w:val="BalloonTextChar"/>
    <w:uiPriority w:val="99"/>
    <w:unhideWhenUsed/>
    <w:rsid w:val="00EB40E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EB40E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EB4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0E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EB40E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B40E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B40E7"/>
    <w:rPr>
      <w:rFonts w:ascii="Calibri" w:eastAsia="Calibri" w:hAnsi="Calibri"/>
      <w:b/>
      <w:bCs/>
      <w:lang w:eastAsia="en-US"/>
    </w:rPr>
  </w:style>
  <w:style w:type="paragraph" w:customStyle="1" w:styleId="klasa2">
    <w:name w:val="klasa2"/>
    <w:basedOn w:val="Normal"/>
    <w:rsid w:val="00EB40E7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EB40E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B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B40E7"/>
    <w:rPr>
      <w:rFonts w:ascii="Courier New" w:hAnsi="Courier New" w:cs="Courier New"/>
    </w:rPr>
  </w:style>
  <w:style w:type="paragraph" w:customStyle="1" w:styleId="Article">
    <w:name w:val="Article"/>
    <w:basedOn w:val="Normal"/>
    <w:link w:val="ArticleChar"/>
    <w:rsid w:val="00EB40E7"/>
    <w:pPr>
      <w:keepNext/>
      <w:ind w:left="346" w:hanging="346"/>
      <w:jc w:val="center"/>
    </w:pPr>
    <w:rPr>
      <w:rFonts w:ascii="Arial Narrow" w:hAnsi="Arial Narrow" w:cs="Arial"/>
      <w:b/>
      <w:sz w:val="22"/>
      <w:szCs w:val="22"/>
    </w:rPr>
  </w:style>
  <w:style w:type="character" w:customStyle="1" w:styleId="ArticleChar">
    <w:name w:val="Article Char"/>
    <w:link w:val="Article"/>
    <w:locked/>
    <w:rsid w:val="00EB40E7"/>
    <w:rPr>
      <w:rFonts w:ascii="Arial Narrow" w:hAnsi="Arial Narrow" w:cs="Arial"/>
      <w:b/>
      <w:sz w:val="22"/>
      <w:szCs w:val="22"/>
    </w:rPr>
  </w:style>
  <w:style w:type="paragraph" w:customStyle="1" w:styleId="NNormal">
    <w:name w:val="NNormal"/>
    <w:basedOn w:val="Normal"/>
    <w:rsid w:val="00EB40E7"/>
    <w:pPr>
      <w:numPr>
        <w:ilvl w:val="1"/>
        <w:numId w:val="5"/>
      </w:numPr>
      <w:tabs>
        <w:tab w:val="clear" w:pos="1422"/>
      </w:tabs>
      <w:ind w:left="0" w:firstLine="0"/>
    </w:pPr>
    <w:rPr>
      <w:rFonts w:ascii="Arial Narrow" w:hAnsi="Arial Narrow" w:cs="Arial"/>
      <w:sz w:val="22"/>
      <w:szCs w:val="22"/>
    </w:rPr>
  </w:style>
  <w:style w:type="paragraph" w:customStyle="1" w:styleId="DList1">
    <w:name w:val="DList1"/>
    <w:basedOn w:val="Normal"/>
    <w:link w:val="DList1Char"/>
    <w:rsid w:val="00EB40E7"/>
    <w:pPr>
      <w:numPr>
        <w:ilvl w:val="1"/>
        <w:numId w:val="1"/>
      </w:numPr>
      <w:tabs>
        <w:tab w:val="num" w:pos="360"/>
      </w:tabs>
      <w:ind w:left="1788"/>
      <w:contextualSpacing/>
    </w:pPr>
    <w:rPr>
      <w:rFonts w:ascii="Arial Narrow" w:hAnsi="Arial Narrow" w:cs="Arial"/>
      <w:sz w:val="22"/>
      <w:szCs w:val="22"/>
    </w:rPr>
  </w:style>
  <w:style w:type="character" w:customStyle="1" w:styleId="DList1Char">
    <w:name w:val="DList1 Char"/>
    <w:link w:val="DList1"/>
    <w:locked/>
    <w:rsid w:val="00EB40E7"/>
    <w:rPr>
      <w:rFonts w:ascii="Arial Narrow" w:hAnsi="Arial Narrow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2"/>
    <w:basedOn w:val="Normal"/>
    <w:rsid w:val="00814E47"/>
    <w:pPr>
      <w:spacing w:before="120" w:line="312" w:lineRule="atLeast"/>
      <w:jc w:val="both"/>
    </w:pPr>
  </w:style>
  <w:style w:type="paragraph" w:customStyle="1" w:styleId="ti-art2">
    <w:name w:val="ti-art2"/>
    <w:basedOn w:val="Normal"/>
    <w:rsid w:val="00814E47"/>
    <w:pPr>
      <w:spacing w:before="360" w:after="120" w:line="312" w:lineRule="atLeast"/>
      <w:jc w:val="center"/>
    </w:pPr>
    <w:rPr>
      <w:i/>
      <w:iCs/>
    </w:rPr>
  </w:style>
  <w:style w:type="paragraph" w:customStyle="1" w:styleId="ti-section-12">
    <w:name w:val="ti-section-12"/>
    <w:basedOn w:val="Normal"/>
    <w:rsid w:val="00814E47"/>
    <w:pPr>
      <w:spacing w:before="480" w:line="312" w:lineRule="atLeast"/>
      <w:jc w:val="center"/>
    </w:pPr>
    <w:rPr>
      <w:b/>
      <w:bCs/>
    </w:rPr>
  </w:style>
  <w:style w:type="paragraph" w:customStyle="1" w:styleId="T-98-2">
    <w:name w:val="T-9/8-2"/>
    <w:rsid w:val="00A3667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0">
    <w:name w:val="Clanak"/>
    <w:next w:val="T-98-2"/>
    <w:rsid w:val="00A36672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rsid w:val="00EB40E7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EB40E7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EB40E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EB40E7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EB40E7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EB40E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EB40E7"/>
    <w:pPr>
      <w:spacing w:before="100" w:beforeAutospacing="1" w:after="100" w:afterAutospacing="1"/>
    </w:pPr>
  </w:style>
  <w:style w:type="character" w:customStyle="1" w:styleId="kurziv">
    <w:name w:val="kurziv"/>
    <w:rsid w:val="00EB40E7"/>
  </w:style>
  <w:style w:type="character" w:customStyle="1" w:styleId="bold">
    <w:name w:val="bold"/>
    <w:rsid w:val="00EB40E7"/>
  </w:style>
  <w:style w:type="paragraph" w:styleId="BalloonText">
    <w:name w:val="Balloon Text"/>
    <w:basedOn w:val="Normal"/>
    <w:link w:val="BalloonTextChar"/>
    <w:uiPriority w:val="99"/>
    <w:unhideWhenUsed/>
    <w:rsid w:val="00EB40E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EB40E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EB4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0E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EB40E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B40E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B40E7"/>
    <w:rPr>
      <w:rFonts w:ascii="Calibri" w:eastAsia="Calibri" w:hAnsi="Calibri"/>
      <w:b/>
      <w:bCs/>
      <w:lang w:eastAsia="en-US"/>
    </w:rPr>
  </w:style>
  <w:style w:type="paragraph" w:customStyle="1" w:styleId="klasa2">
    <w:name w:val="klasa2"/>
    <w:basedOn w:val="Normal"/>
    <w:rsid w:val="00EB40E7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EB40E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B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B40E7"/>
    <w:rPr>
      <w:rFonts w:ascii="Courier New" w:hAnsi="Courier New" w:cs="Courier New"/>
    </w:rPr>
  </w:style>
  <w:style w:type="paragraph" w:customStyle="1" w:styleId="Article">
    <w:name w:val="Article"/>
    <w:basedOn w:val="Normal"/>
    <w:link w:val="ArticleChar"/>
    <w:rsid w:val="00EB40E7"/>
    <w:pPr>
      <w:keepNext/>
      <w:ind w:left="346" w:hanging="346"/>
      <w:jc w:val="center"/>
    </w:pPr>
    <w:rPr>
      <w:rFonts w:ascii="Arial Narrow" w:hAnsi="Arial Narrow" w:cs="Arial"/>
      <w:b/>
      <w:sz w:val="22"/>
      <w:szCs w:val="22"/>
    </w:rPr>
  </w:style>
  <w:style w:type="character" w:customStyle="1" w:styleId="ArticleChar">
    <w:name w:val="Article Char"/>
    <w:link w:val="Article"/>
    <w:locked/>
    <w:rsid w:val="00EB40E7"/>
    <w:rPr>
      <w:rFonts w:ascii="Arial Narrow" w:hAnsi="Arial Narrow" w:cs="Arial"/>
      <w:b/>
      <w:sz w:val="22"/>
      <w:szCs w:val="22"/>
    </w:rPr>
  </w:style>
  <w:style w:type="paragraph" w:customStyle="1" w:styleId="NNormal">
    <w:name w:val="NNormal"/>
    <w:basedOn w:val="Normal"/>
    <w:rsid w:val="00EB40E7"/>
    <w:pPr>
      <w:numPr>
        <w:ilvl w:val="1"/>
        <w:numId w:val="5"/>
      </w:numPr>
      <w:tabs>
        <w:tab w:val="clear" w:pos="1422"/>
      </w:tabs>
      <w:ind w:left="0" w:firstLine="0"/>
    </w:pPr>
    <w:rPr>
      <w:rFonts w:ascii="Arial Narrow" w:hAnsi="Arial Narrow" w:cs="Arial"/>
      <w:sz w:val="22"/>
      <w:szCs w:val="22"/>
    </w:rPr>
  </w:style>
  <w:style w:type="paragraph" w:customStyle="1" w:styleId="DList1">
    <w:name w:val="DList1"/>
    <w:basedOn w:val="Normal"/>
    <w:link w:val="DList1Char"/>
    <w:rsid w:val="00EB40E7"/>
    <w:pPr>
      <w:numPr>
        <w:ilvl w:val="1"/>
        <w:numId w:val="1"/>
      </w:numPr>
      <w:tabs>
        <w:tab w:val="num" w:pos="360"/>
      </w:tabs>
      <w:ind w:left="1788"/>
      <w:contextualSpacing/>
    </w:pPr>
    <w:rPr>
      <w:rFonts w:ascii="Arial Narrow" w:hAnsi="Arial Narrow" w:cs="Arial"/>
      <w:sz w:val="22"/>
      <w:szCs w:val="22"/>
    </w:rPr>
  </w:style>
  <w:style w:type="character" w:customStyle="1" w:styleId="DList1Char">
    <w:name w:val="DList1 Char"/>
    <w:link w:val="DList1"/>
    <w:locked/>
    <w:rsid w:val="00EB40E7"/>
    <w:rPr>
      <w:rFonts w:ascii="Arial Narrow" w:hAnsi="Arial Narrow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2"/>
    <w:basedOn w:val="Normal"/>
    <w:rsid w:val="00814E47"/>
    <w:pPr>
      <w:spacing w:before="120" w:line="312" w:lineRule="atLeast"/>
      <w:jc w:val="both"/>
    </w:pPr>
  </w:style>
  <w:style w:type="paragraph" w:customStyle="1" w:styleId="ti-art2">
    <w:name w:val="ti-art2"/>
    <w:basedOn w:val="Normal"/>
    <w:rsid w:val="00814E47"/>
    <w:pPr>
      <w:spacing w:before="360" w:after="120" w:line="312" w:lineRule="atLeast"/>
      <w:jc w:val="center"/>
    </w:pPr>
    <w:rPr>
      <w:i/>
      <w:iCs/>
    </w:rPr>
  </w:style>
  <w:style w:type="paragraph" w:customStyle="1" w:styleId="ti-section-12">
    <w:name w:val="ti-section-12"/>
    <w:basedOn w:val="Normal"/>
    <w:rsid w:val="00814E47"/>
    <w:pPr>
      <w:spacing w:before="480" w:line="312" w:lineRule="atLeast"/>
      <w:jc w:val="center"/>
    </w:pPr>
    <w:rPr>
      <w:b/>
      <w:bCs/>
    </w:rPr>
  </w:style>
  <w:style w:type="paragraph" w:customStyle="1" w:styleId="T-98-2">
    <w:name w:val="T-9/8-2"/>
    <w:rsid w:val="00A3667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0">
    <w:name w:val="Clanak"/>
    <w:next w:val="T-98-2"/>
    <w:rsid w:val="00A36672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449279D1B746B3E777DD9F3548CA" ma:contentTypeVersion="0" ma:contentTypeDescription="Create a new document." ma:contentTypeScope="" ma:versionID="32a8602926c75a9b276db882dd131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0F447-FE75-4F07-80EE-71858E716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54F24-A50C-4C87-A6A3-13FDE696E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5BDBB-4530-4A3E-A093-27B2E2F5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hdesk</cp:lastModifiedBy>
  <cp:revision>2</cp:revision>
  <dcterms:created xsi:type="dcterms:W3CDTF">2019-10-28T15:12:00Z</dcterms:created>
  <dcterms:modified xsi:type="dcterms:W3CDTF">2019-10-28T15:12:00Z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0x0101004564449279D1B746B3E777DD9F3548CA</vt:lpwstr>
  </property>
</Properties>
</file>