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815A" w14:textId="77777777" w:rsidR="00DB4FDE" w:rsidRPr="00DB4FDE" w:rsidRDefault="00DB4FDE" w:rsidP="00DB4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FDE">
        <w:rPr>
          <w:rFonts w:ascii="Times New Roman" w:hAnsi="Times New Roman" w:cs="Times New Roman"/>
          <w:b/>
          <w:bCs/>
          <w:sz w:val="24"/>
          <w:szCs w:val="24"/>
        </w:rPr>
        <w:t>Razlozi za provedbu savjetovanja u trajanju od 15 dana su:</w:t>
      </w:r>
    </w:p>
    <w:p w14:paraId="38B223A6" w14:textId="77777777" w:rsidR="00DB4FDE" w:rsidRPr="00DB4FDE" w:rsidRDefault="00DB4FDE" w:rsidP="00DB4FDE">
      <w:pPr>
        <w:rPr>
          <w:rFonts w:ascii="Times New Roman" w:hAnsi="Times New Roman" w:cs="Times New Roman"/>
          <w:sz w:val="24"/>
          <w:szCs w:val="24"/>
        </w:rPr>
      </w:pPr>
      <w:r w:rsidRPr="00DB4FDE">
        <w:rPr>
          <w:rFonts w:ascii="Times New Roman" w:hAnsi="Times New Roman" w:cs="Times New Roman"/>
          <w:sz w:val="24"/>
          <w:szCs w:val="24"/>
        </w:rPr>
        <w:t xml:space="preserve">Nacionalni plan je srednjoročni strateški akt povezan s uvjetima koji omogućavaju provedbu fondova Europske unije u razdoblju od 2021. do 2027. godine, što znači da Republika Hrvatska neće moći prijavljivati rashode povezane s posebnim ciljevima sve dok se uvjet koji omogućuje provedbu ne ispuni. </w:t>
      </w:r>
    </w:p>
    <w:p w14:paraId="250E7BDC" w14:textId="77777777" w:rsidR="00DB4FDE" w:rsidRPr="00DB4FDE" w:rsidRDefault="00DB4FDE" w:rsidP="00DB4FDE">
      <w:pPr>
        <w:rPr>
          <w:rFonts w:ascii="Times New Roman" w:hAnsi="Times New Roman" w:cs="Times New Roman"/>
          <w:sz w:val="24"/>
          <w:szCs w:val="24"/>
        </w:rPr>
      </w:pPr>
      <w:r w:rsidRPr="00DB4FDE">
        <w:rPr>
          <w:rFonts w:ascii="Times New Roman" w:hAnsi="Times New Roman" w:cs="Times New Roman"/>
          <w:sz w:val="24"/>
          <w:szCs w:val="24"/>
        </w:rPr>
        <w:t>Time Europska komisija nastoji osigurati da su sve sufinancirane operacije u skladu s političkim okvirom EU-a.</w:t>
      </w:r>
    </w:p>
    <w:p w14:paraId="7F60B1FC" w14:textId="37B2779F" w:rsidR="00471F66" w:rsidRPr="00DB4FDE" w:rsidRDefault="00DB4FDE" w:rsidP="00DB4FDE">
      <w:pPr>
        <w:rPr>
          <w:rFonts w:ascii="Times New Roman" w:hAnsi="Times New Roman" w:cs="Times New Roman"/>
          <w:sz w:val="24"/>
          <w:szCs w:val="24"/>
        </w:rPr>
      </w:pPr>
      <w:r w:rsidRPr="00DB4FDE">
        <w:rPr>
          <w:rFonts w:ascii="Times New Roman" w:hAnsi="Times New Roman" w:cs="Times New Roman"/>
          <w:sz w:val="24"/>
          <w:szCs w:val="24"/>
        </w:rPr>
        <w:t>Osim uvjeta koji omogućavaju provedbu fondova EU u razdoblju od 2021. do 2027. godine, a koji su obuhvaćeni Nacionalnim planom, važnost donošenja Nacionalnog plana temelji se na potrebi kontinuiranog strateškog planiranja u području tržištu rada, obzirom da su strateški dokumenti u području zapošljavanja prestali važiti s 2020. godinom. Prema tome, kako bi se osigurao kontinuitet provedbe politika tržišta rada, važno je donijeti strateški dokument na kojem će se temeljiti provedba mjera i aktivnosti koje su u skladu s definiranim prioritetima javne politike. Prioriteti javne politike usmjereni su na učinkovito, razvijeno i uređeno tržište rada koje će omogućiti dostojanstven rad, ali i uvažiti posebne potrebe osoba koje su u nepovoljnom položaju na tržištu rada.</w:t>
      </w:r>
    </w:p>
    <w:sectPr w:rsidR="00471F66" w:rsidRPr="00DB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DE"/>
    <w:rsid w:val="00471F66"/>
    <w:rsid w:val="00D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4A69"/>
  <w15:chartTrackingRefBased/>
  <w15:docId w15:val="{E83ABE8A-8DB9-41CB-AE6F-A28BC0B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Ulamec</dc:creator>
  <cp:keywords/>
  <dc:description/>
  <cp:lastModifiedBy>Marina Ulamec</cp:lastModifiedBy>
  <cp:revision>1</cp:revision>
  <dcterms:created xsi:type="dcterms:W3CDTF">2021-10-15T08:30:00Z</dcterms:created>
  <dcterms:modified xsi:type="dcterms:W3CDTF">2021-10-15T08:31:00Z</dcterms:modified>
</cp:coreProperties>
</file>