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60BAD" w14:textId="77777777" w:rsidR="005E022F" w:rsidRPr="00BC1B5B" w:rsidRDefault="005E022F" w:rsidP="00B877A8">
      <w:pPr>
        <w:spacing w:after="0" w:line="240" w:lineRule="auto"/>
        <w:rPr>
          <w:rFonts w:ascii="Times New Roman" w:hAnsi="Times New Roman"/>
          <w:b/>
          <w:sz w:val="24"/>
          <w:szCs w:val="24"/>
          <w:lang w:eastAsia="hr-HR"/>
        </w:rPr>
      </w:pPr>
      <w:bookmarkStart w:id="0" w:name="_GoBack"/>
      <w:bookmarkEnd w:id="0"/>
      <w:r w:rsidRPr="00BC1B5B">
        <w:rPr>
          <w:rFonts w:ascii="Times New Roman" w:hAnsi="Times New Roman"/>
          <w:b/>
          <w:sz w:val="24"/>
          <w:szCs w:val="24"/>
          <w:lang w:eastAsia="hr-HR"/>
        </w:rPr>
        <w:t xml:space="preserve">PRILOG </w:t>
      </w:r>
      <w:r>
        <w:rPr>
          <w:rFonts w:ascii="Times New Roman" w:hAnsi="Times New Roman"/>
          <w:b/>
          <w:sz w:val="24"/>
          <w:szCs w:val="24"/>
          <w:lang w:eastAsia="hr-HR"/>
        </w:rPr>
        <w:t>I</w:t>
      </w:r>
    </w:p>
    <w:p w14:paraId="519ADE43" w14:textId="397AC7C7" w:rsidR="005E022F" w:rsidRDefault="005E022F" w:rsidP="00B877A8">
      <w:pPr>
        <w:spacing w:after="0" w:line="240" w:lineRule="auto"/>
        <w:jc w:val="both"/>
        <w:rPr>
          <w:rFonts w:ascii="Times New Roman" w:hAnsi="Times New Roman"/>
          <w:b/>
          <w:sz w:val="24"/>
          <w:szCs w:val="24"/>
          <w:lang w:eastAsia="hr-HR"/>
        </w:rPr>
      </w:pPr>
      <w:r w:rsidRPr="00BC1B5B">
        <w:rPr>
          <w:rFonts w:ascii="Times New Roman" w:hAnsi="Times New Roman"/>
          <w:b/>
          <w:sz w:val="24"/>
          <w:szCs w:val="24"/>
          <w:lang w:eastAsia="hr-HR"/>
        </w:rPr>
        <w:t xml:space="preserve">LISTA PRIHVATLJIVIH TROŠKOVA </w:t>
      </w:r>
      <w:r>
        <w:rPr>
          <w:rFonts w:ascii="Times New Roman" w:hAnsi="Times New Roman"/>
          <w:b/>
          <w:sz w:val="24"/>
          <w:szCs w:val="24"/>
          <w:lang w:eastAsia="hr-HR"/>
        </w:rPr>
        <w:t xml:space="preserve">- </w:t>
      </w:r>
      <w:r w:rsidRPr="00BC1B5B">
        <w:rPr>
          <w:rFonts w:ascii="Times New Roman" w:hAnsi="Times New Roman"/>
          <w:b/>
          <w:sz w:val="24"/>
          <w:szCs w:val="24"/>
          <w:lang w:eastAsia="hr-HR"/>
        </w:rPr>
        <w:t>MJER</w:t>
      </w:r>
      <w:r>
        <w:rPr>
          <w:rFonts w:ascii="Times New Roman" w:hAnsi="Times New Roman"/>
          <w:b/>
          <w:sz w:val="24"/>
          <w:szCs w:val="24"/>
          <w:lang w:eastAsia="hr-HR"/>
        </w:rPr>
        <w:t>A</w:t>
      </w:r>
      <w:r w:rsidRPr="00BC1B5B">
        <w:rPr>
          <w:rFonts w:ascii="Times New Roman" w:hAnsi="Times New Roman"/>
          <w:b/>
          <w:sz w:val="24"/>
          <w:szCs w:val="24"/>
          <w:lang w:eastAsia="hr-HR"/>
        </w:rPr>
        <w:t xml:space="preserve"> 19 LEADER</w:t>
      </w:r>
      <w:r>
        <w:rPr>
          <w:rFonts w:ascii="Times New Roman" w:hAnsi="Times New Roman"/>
          <w:b/>
          <w:sz w:val="24"/>
          <w:szCs w:val="24"/>
          <w:lang w:eastAsia="hr-HR"/>
        </w:rPr>
        <w:t xml:space="preserve"> </w:t>
      </w:r>
      <w:r w:rsidRPr="00BC1B5B">
        <w:rPr>
          <w:rFonts w:ascii="Times New Roman" w:hAnsi="Times New Roman"/>
          <w:b/>
          <w:sz w:val="24"/>
          <w:szCs w:val="24"/>
          <w:lang w:eastAsia="hr-HR"/>
        </w:rPr>
        <w:t>- CLLD, PODMJERA 19.</w:t>
      </w:r>
      <w:r w:rsidR="000B777B">
        <w:rPr>
          <w:rFonts w:ascii="Times New Roman" w:hAnsi="Times New Roman"/>
          <w:b/>
          <w:sz w:val="24"/>
          <w:szCs w:val="24"/>
          <w:lang w:eastAsia="hr-HR"/>
        </w:rPr>
        <w:t>1</w:t>
      </w:r>
      <w:r w:rsidRPr="00BC1B5B">
        <w:rPr>
          <w:rFonts w:ascii="Times New Roman" w:hAnsi="Times New Roman"/>
          <w:b/>
          <w:sz w:val="24"/>
          <w:szCs w:val="24"/>
          <w:lang w:eastAsia="hr-HR"/>
        </w:rPr>
        <w:t>. »</w:t>
      </w:r>
      <w:r w:rsidR="000B777B">
        <w:rPr>
          <w:rFonts w:ascii="Times New Roman" w:hAnsi="Times New Roman"/>
          <w:b/>
          <w:sz w:val="24"/>
          <w:szCs w:val="24"/>
          <w:lang w:eastAsia="hr-HR"/>
        </w:rPr>
        <w:t>PRIPREMNA POMOĆ</w:t>
      </w:r>
      <w:r w:rsidRPr="00BC1B5B">
        <w:rPr>
          <w:rFonts w:ascii="Times New Roman" w:hAnsi="Times New Roman"/>
          <w:b/>
          <w:sz w:val="24"/>
          <w:szCs w:val="24"/>
          <w:lang w:eastAsia="hr-HR"/>
        </w:rPr>
        <w:t>«, TIP OPERACIJE 19.</w:t>
      </w:r>
      <w:r w:rsidR="000B777B">
        <w:rPr>
          <w:rFonts w:ascii="Times New Roman" w:hAnsi="Times New Roman"/>
          <w:b/>
          <w:sz w:val="24"/>
          <w:szCs w:val="24"/>
          <w:lang w:eastAsia="hr-HR"/>
        </w:rPr>
        <w:t>1</w:t>
      </w:r>
      <w:r w:rsidRPr="00BC1B5B">
        <w:rPr>
          <w:rFonts w:ascii="Times New Roman" w:hAnsi="Times New Roman"/>
          <w:b/>
          <w:sz w:val="24"/>
          <w:szCs w:val="24"/>
          <w:lang w:eastAsia="hr-HR"/>
        </w:rPr>
        <w:t>.1. »</w:t>
      </w:r>
      <w:r w:rsidR="000B777B">
        <w:rPr>
          <w:rFonts w:ascii="Times New Roman" w:hAnsi="Times New Roman"/>
          <w:b/>
          <w:sz w:val="24"/>
          <w:szCs w:val="24"/>
          <w:lang w:eastAsia="hr-HR"/>
        </w:rPr>
        <w:t>PRIPREMNA POMOĆ</w:t>
      </w:r>
      <w:r w:rsidRPr="00BC1B5B">
        <w:rPr>
          <w:rFonts w:ascii="Times New Roman" w:hAnsi="Times New Roman"/>
          <w:b/>
          <w:sz w:val="24"/>
          <w:szCs w:val="24"/>
          <w:lang w:eastAsia="hr-HR"/>
        </w:rPr>
        <w:t>«</w:t>
      </w:r>
    </w:p>
    <w:p w14:paraId="3D4D9831" w14:textId="77777777" w:rsidR="005E022F" w:rsidRDefault="005E022F"/>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2693"/>
        <w:gridCol w:w="1843"/>
        <w:gridCol w:w="2268"/>
        <w:gridCol w:w="2126"/>
        <w:gridCol w:w="1985"/>
      </w:tblGrid>
      <w:tr w:rsidR="00B01CF0" w:rsidRPr="007B29EF" w14:paraId="427B5A8C" w14:textId="1DD4E4BB" w:rsidTr="00987970">
        <w:trPr>
          <w:trHeight w:val="306"/>
        </w:trPr>
        <w:tc>
          <w:tcPr>
            <w:tcW w:w="2547" w:type="dxa"/>
            <w:shd w:val="clear" w:color="auto" w:fill="BFBFBF"/>
          </w:tcPr>
          <w:p w14:paraId="2BC4A8DA" w14:textId="2D96D2C6" w:rsidR="00B01CF0" w:rsidRPr="007B29EF" w:rsidRDefault="00B01CF0" w:rsidP="00F5269B">
            <w:pPr>
              <w:spacing w:before="100" w:beforeAutospacing="1" w:after="100" w:afterAutospacing="1" w:line="240" w:lineRule="auto"/>
              <w:rPr>
                <w:rFonts w:ascii="Times New Roman" w:hAnsi="Times New Roman"/>
                <w:b/>
                <w:color w:val="000000"/>
                <w:sz w:val="18"/>
                <w:szCs w:val="18"/>
                <w:lang w:eastAsia="hr-HR"/>
              </w:rPr>
            </w:pPr>
            <w:r w:rsidRPr="007B29EF">
              <w:rPr>
                <w:rFonts w:ascii="Times New Roman" w:hAnsi="Times New Roman"/>
                <w:b/>
                <w:color w:val="000000"/>
                <w:sz w:val="18"/>
                <w:szCs w:val="18"/>
                <w:lang w:eastAsia="hr-HR"/>
              </w:rPr>
              <w:t>AKTIVNOST: 19.</w:t>
            </w:r>
            <w:r>
              <w:rPr>
                <w:rFonts w:ascii="Times New Roman" w:hAnsi="Times New Roman"/>
                <w:b/>
                <w:color w:val="000000"/>
                <w:sz w:val="18"/>
                <w:szCs w:val="18"/>
                <w:lang w:eastAsia="hr-HR"/>
              </w:rPr>
              <w:t>1</w:t>
            </w:r>
            <w:r w:rsidRPr="007B29EF">
              <w:rPr>
                <w:rFonts w:ascii="Times New Roman" w:hAnsi="Times New Roman"/>
                <w:b/>
                <w:color w:val="000000"/>
                <w:sz w:val="18"/>
                <w:szCs w:val="18"/>
                <w:lang w:eastAsia="hr-HR"/>
              </w:rPr>
              <w:t xml:space="preserve">.1. </w:t>
            </w:r>
            <w:r w:rsidR="00F84B03">
              <w:rPr>
                <w:rFonts w:ascii="Times New Roman" w:hAnsi="Times New Roman"/>
                <w:b/>
                <w:color w:val="000000"/>
                <w:sz w:val="18"/>
                <w:szCs w:val="18"/>
                <w:lang w:eastAsia="hr-HR"/>
              </w:rPr>
              <w:t xml:space="preserve">Pripremna pomoć </w:t>
            </w:r>
            <w:r>
              <w:rPr>
                <w:rFonts w:ascii="Times New Roman" w:hAnsi="Times New Roman"/>
                <w:b/>
                <w:color w:val="000000"/>
                <w:sz w:val="18"/>
                <w:szCs w:val="18"/>
                <w:lang w:eastAsia="hr-HR"/>
              </w:rPr>
              <w:t>2023. – 2027.</w:t>
            </w:r>
            <w:r>
              <w:rPr>
                <w:rStyle w:val="Referencafusnote"/>
                <w:rFonts w:ascii="Times New Roman" w:hAnsi="Times New Roman"/>
                <w:b/>
                <w:color w:val="000000"/>
                <w:sz w:val="18"/>
                <w:szCs w:val="18"/>
                <w:lang w:eastAsia="hr-HR"/>
              </w:rPr>
              <w:footnoteReference w:id="1"/>
            </w:r>
          </w:p>
        </w:tc>
        <w:tc>
          <w:tcPr>
            <w:tcW w:w="2693" w:type="dxa"/>
            <w:shd w:val="clear" w:color="auto" w:fill="BFBFBF" w:themeFill="background1" w:themeFillShade="BF"/>
          </w:tcPr>
          <w:p w14:paraId="3D1B9168" w14:textId="77777777" w:rsidR="00B01CF0" w:rsidRPr="007B29EF" w:rsidRDefault="00B01CF0" w:rsidP="007B29EF">
            <w:pPr>
              <w:spacing w:before="100" w:beforeAutospacing="1" w:after="100" w:afterAutospacing="1" w:line="240" w:lineRule="auto"/>
              <w:jc w:val="center"/>
              <w:rPr>
                <w:rFonts w:ascii="Times New Roman" w:hAnsi="Times New Roman"/>
                <w:b/>
                <w:color w:val="000000"/>
                <w:sz w:val="18"/>
                <w:szCs w:val="18"/>
                <w:lang w:eastAsia="hr-HR"/>
              </w:rPr>
            </w:pPr>
          </w:p>
        </w:tc>
        <w:tc>
          <w:tcPr>
            <w:tcW w:w="1843" w:type="dxa"/>
            <w:shd w:val="clear" w:color="auto" w:fill="BFBFBF"/>
          </w:tcPr>
          <w:p w14:paraId="328E76DB" w14:textId="05738E02" w:rsidR="00B01CF0" w:rsidRPr="007B29EF" w:rsidRDefault="00B01CF0" w:rsidP="007B29EF">
            <w:pPr>
              <w:spacing w:before="100" w:beforeAutospacing="1" w:after="100" w:afterAutospacing="1" w:line="240" w:lineRule="auto"/>
              <w:jc w:val="center"/>
              <w:rPr>
                <w:rFonts w:ascii="Times New Roman" w:hAnsi="Times New Roman"/>
                <w:b/>
                <w:color w:val="000000"/>
                <w:sz w:val="18"/>
                <w:szCs w:val="18"/>
                <w:lang w:eastAsia="hr-HR"/>
              </w:rPr>
            </w:pPr>
          </w:p>
        </w:tc>
        <w:tc>
          <w:tcPr>
            <w:tcW w:w="2268" w:type="dxa"/>
            <w:shd w:val="clear" w:color="auto" w:fill="BFBFBF"/>
          </w:tcPr>
          <w:p w14:paraId="1E728A39" w14:textId="77777777" w:rsidR="00B01CF0" w:rsidRPr="007B29EF" w:rsidRDefault="00B01CF0" w:rsidP="007B29EF">
            <w:pPr>
              <w:spacing w:before="100" w:beforeAutospacing="1" w:after="100" w:afterAutospacing="1" w:line="240" w:lineRule="auto"/>
              <w:jc w:val="center"/>
              <w:rPr>
                <w:rFonts w:ascii="Times New Roman" w:hAnsi="Times New Roman"/>
                <w:b/>
                <w:color w:val="000000"/>
                <w:sz w:val="18"/>
                <w:szCs w:val="18"/>
                <w:lang w:eastAsia="hr-HR"/>
              </w:rPr>
            </w:pPr>
          </w:p>
        </w:tc>
        <w:tc>
          <w:tcPr>
            <w:tcW w:w="2126" w:type="dxa"/>
            <w:shd w:val="clear" w:color="auto" w:fill="BFBFBF"/>
          </w:tcPr>
          <w:p w14:paraId="64D46032" w14:textId="689EB64D" w:rsidR="00B01CF0" w:rsidRPr="007B29EF" w:rsidRDefault="00B01CF0" w:rsidP="007B29EF">
            <w:pPr>
              <w:spacing w:before="100" w:beforeAutospacing="1" w:after="100" w:afterAutospacing="1" w:line="240" w:lineRule="auto"/>
              <w:jc w:val="center"/>
              <w:rPr>
                <w:rFonts w:ascii="Times New Roman" w:hAnsi="Times New Roman"/>
                <w:b/>
                <w:color w:val="000000"/>
                <w:sz w:val="18"/>
                <w:szCs w:val="18"/>
                <w:lang w:eastAsia="hr-HR"/>
              </w:rPr>
            </w:pPr>
          </w:p>
        </w:tc>
        <w:tc>
          <w:tcPr>
            <w:tcW w:w="1985" w:type="dxa"/>
            <w:shd w:val="clear" w:color="auto" w:fill="BFBFBF" w:themeFill="background1" w:themeFillShade="BF"/>
          </w:tcPr>
          <w:p w14:paraId="4D6E875B" w14:textId="77777777" w:rsidR="00B01CF0" w:rsidRPr="007B29EF" w:rsidRDefault="00B01CF0" w:rsidP="007B29EF">
            <w:pPr>
              <w:spacing w:before="100" w:beforeAutospacing="1" w:after="100" w:afterAutospacing="1" w:line="240" w:lineRule="auto"/>
              <w:jc w:val="center"/>
              <w:rPr>
                <w:rFonts w:ascii="Times New Roman" w:hAnsi="Times New Roman"/>
                <w:b/>
                <w:color w:val="000000"/>
                <w:sz w:val="18"/>
                <w:szCs w:val="18"/>
                <w:lang w:eastAsia="hr-HR"/>
              </w:rPr>
            </w:pPr>
          </w:p>
        </w:tc>
      </w:tr>
      <w:tr w:rsidR="00B01CF0" w:rsidRPr="007B29EF" w14:paraId="7AA369CA" w14:textId="3903E4E1" w:rsidTr="009106D4">
        <w:trPr>
          <w:trHeight w:val="1911"/>
        </w:trPr>
        <w:tc>
          <w:tcPr>
            <w:tcW w:w="2547" w:type="dxa"/>
          </w:tcPr>
          <w:p w14:paraId="114D746B" w14:textId="4BAC6069" w:rsidR="00B01CF0" w:rsidRPr="007B29EF" w:rsidRDefault="00B01CF0" w:rsidP="00B877A8">
            <w:pPr>
              <w:rPr>
                <w:rFonts w:ascii="Times New Roman" w:hAnsi="Times New Roman"/>
                <w:b/>
                <w:color w:val="000000"/>
                <w:sz w:val="18"/>
                <w:szCs w:val="18"/>
              </w:rPr>
            </w:pPr>
            <w:r w:rsidRPr="002E2C06">
              <w:rPr>
                <w:rFonts w:ascii="Times New Roman" w:hAnsi="Times New Roman"/>
                <w:b/>
                <w:color w:val="000000"/>
                <w:sz w:val="18"/>
                <w:szCs w:val="18"/>
              </w:rPr>
              <w:t xml:space="preserve">19.1.1.1. </w:t>
            </w:r>
            <w:r>
              <w:rPr>
                <w:rFonts w:ascii="Times New Roman" w:hAnsi="Times New Roman"/>
                <w:b/>
                <w:color w:val="000000"/>
                <w:sz w:val="18"/>
                <w:szCs w:val="18"/>
              </w:rPr>
              <w:t xml:space="preserve">                                  </w:t>
            </w:r>
            <w:r w:rsidRPr="002E2C06">
              <w:rPr>
                <w:rFonts w:ascii="Times New Roman" w:hAnsi="Times New Roman"/>
                <w:b/>
                <w:color w:val="000000"/>
                <w:sz w:val="18"/>
                <w:szCs w:val="18"/>
              </w:rPr>
              <w:t xml:space="preserve">Izravni troškovi za djelatnike LAG-a </w:t>
            </w:r>
            <w:r w:rsidR="005E14CF">
              <w:rPr>
                <w:rFonts w:ascii="Times New Roman" w:hAnsi="Times New Roman"/>
                <w:b/>
                <w:color w:val="000000"/>
                <w:sz w:val="18"/>
                <w:szCs w:val="18"/>
              </w:rPr>
              <w:t xml:space="preserve">tijekom provedbe pripremne pomoći: </w:t>
            </w:r>
            <w:r w:rsidRPr="002E2C06">
              <w:rPr>
                <w:rStyle w:val="Referencafusnote"/>
                <w:rFonts w:ascii="Times New Roman" w:hAnsi="Times New Roman"/>
                <w:b/>
                <w:color w:val="000000"/>
                <w:sz w:val="18"/>
                <w:szCs w:val="18"/>
              </w:rPr>
              <w:footnoteReference w:id="2"/>
            </w:r>
          </w:p>
          <w:p w14:paraId="6377F241" w14:textId="77777777" w:rsidR="00B01CF0" w:rsidRPr="007B29EF" w:rsidRDefault="00B01CF0" w:rsidP="007B29EF">
            <w:pPr>
              <w:pStyle w:val="Odlomakpopisa"/>
              <w:numPr>
                <w:ilvl w:val="0"/>
                <w:numId w:val="1"/>
              </w:numPr>
              <w:rPr>
                <w:rFonts w:ascii="Times New Roman" w:hAnsi="Times New Roman"/>
                <w:sz w:val="18"/>
                <w:szCs w:val="18"/>
              </w:rPr>
            </w:pPr>
            <w:r w:rsidRPr="007B29EF">
              <w:rPr>
                <w:rFonts w:ascii="Times New Roman" w:hAnsi="Times New Roman"/>
                <w:sz w:val="18"/>
                <w:szCs w:val="18"/>
              </w:rPr>
              <w:t xml:space="preserve">plaće temeljem ugovora o radu uključujući i doprinose iz i na plaće zaposlenika te pripadajuće poreze i prireze  </w:t>
            </w:r>
          </w:p>
          <w:p w14:paraId="0B958919" w14:textId="1A72CFD2" w:rsidR="00B01CF0" w:rsidRPr="007B29EF" w:rsidRDefault="00B01CF0" w:rsidP="007B29EF">
            <w:pPr>
              <w:pStyle w:val="Odlomakpopisa"/>
              <w:numPr>
                <w:ilvl w:val="0"/>
                <w:numId w:val="1"/>
              </w:numPr>
              <w:rPr>
                <w:rFonts w:ascii="Times New Roman" w:hAnsi="Times New Roman"/>
                <w:sz w:val="18"/>
                <w:szCs w:val="18"/>
              </w:rPr>
            </w:pPr>
            <w:r w:rsidRPr="007B29EF">
              <w:rPr>
                <w:rFonts w:ascii="Times New Roman" w:hAnsi="Times New Roman"/>
                <w:sz w:val="18"/>
                <w:szCs w:val="18"/>
              </w:rPr>
              <w:t>naknade</w:t>
            </w:r>
            <w:r>
              <w:rPr>
                <w:rFonts w:ascii="Times New Roman" w:hAnsi="Times New Roman"/>
                <w:sz w:val="18"/>
                <w:szCs w:val="18"/>
              </w:rPr>
              <w:t xml:space="preserve"> troškova</w:t>
            </w:r>
            <w:r w:rsidRPr="007B29EF">
              <w:rPr>
                <w:rFonts w:ascii="Times New Roman" w:hAnsi="Times New Roman"/>
                <w:sz w:val="18"/>
                <w:szCs w:val="18"/>
              </w:rPr>
              <w:t xml:space="preserve"> prijevoza na posao i s posla za zaposlenike LAG-a</w:t>
            </w:r>
          </w:p>
        </w:tc>
        <w:tc>
          <w:tcPr>
            <w:tcW w:w="2693" w:type="dxa"/>
          </w:tcPr>
          <w:p w14:paraId="7A948712" w14:textId="0E20CFC6" w:rsidR="00CB67DC" w:rsidRPr="00CB67DC" w:rsidRDefault="00CB67DC" w:rsidP="00987970">
            <w:pPr>
              <w:rPr>
                <w:rFonts w:ascii="Symbol" w:hAnsi="Symbol" w:cs="Symbol"/>
                <w:color w:val="000000"/>
                <w:sz w:val="24"/>
                <w:szCs w:val="24"/>
                <w:lang w:eastAsia="hr-HR"/>
              </w:rPr>
            </w:pPr>
            <w:r w:rsidRPr="00CB67DC">
              <w:rPr>
                <w:rFonts w:ascii="Times New Roman" w:hAnsi="Times New Roman"/>
                <w:b/>
                <w:color w:val="000000"/>
                <w:sz w:val="18"/>
                <w:szCs w:val="18"/>
              </w:rPr>
              <w:t>19.1.1.</w:t>
            </w:r>
            <w:r>
              <w:rPr>
                <w:rFonts w:ascii="Times New Roman" w:hAnsi="Times New Roman"/>
                <w:b/>
                <w:color w:val="000000"/>
                <w:sz w:val="18"/>
                <w:szCs w:val="18"/>
              </w:rPr>
              <w:t>2</w:t>
            </w:r>
            <w:r w:rsidRPr="00CB67DC">
              <w:rPr>
                <w:rFonts w:ascii="Times New Roman" w:hAnsi="Times New Roman"/>
                <w:b/>
                <w:color w:val="000000"/>
                <w:sz w:val="18"/>
                <w:szCs w:val="18"/>
              </w:rPr>
              <w:t xml:space="preserve">.                       </w:t>
            </w:r>
            <w:r w:rsidR="008E12ED">
              <w:rPr>
                <w:rFonts w:ascii="Times New Roman" w:hAnsi="Times New Roman"/>
                <w:b/>
                <w:color w:val="000000"/>
                <w:sz w:val="18"/>
                <w:szCs w:val="18"/>
              </w:rPr>
              <w:t xml:space="preserve">                </w:t>
            </w:r>
            <w:r w:rsidRPr="00CB67DC">
              <w:rPr>
                <w:rFonts w:ascii="Times New Roman" w:hAnsi="Times New Roman"/>
                <w:b/>
                <w:color w:val="000000"/>
                <w:sz w:val="18"/>
                <w:szCs w:val="18"/>
              </w:rPr>
              <w:t>Usavršavanje i obrazovanje zaposlenika, članova i volontera LAG-a u vezi rada LAG-a i/ili</w:t>
            </w:r>
            <w:r>
              <w:rPr>
                <w:rFonts w:ascii="Times New Roman" w:hAnsi="Times New Roman"/>
                <w:b/>
                <w:color w:val="000000"/>
                <w:sz w:val="18"/>
                <w:szCs w:val="18"/>
              </w:rPr>
              <w:t xml:space="preserve"> izrade LRS 2023. – 2027.</w:t>
            </w:r>
            <w:r w:rsidR="008E12ED">
              <w:rPr>
                <w:rFonts w:ascii="Times New Roman" w:hAnsi="Times New Roman"/>
                <w:b/>
                <w:color w:val="000000"/>
                <w:sz w:val="18"/>
                <w:szCs w:val="18"/>
              </w:rPr>
              <w:t xml:space="preserve"> u organizaciji LAG-a ili drugih subjekata</w:t>
            </w:r>
          </w:p>
          <w:p w14:paraId="296852B5" w14:textId="6532EDAE" w:rsidR="00CB67DC" w:rsidRDefault="008E12ED" w:rsidP="008E12ED">
            <w:pPr>
              <w:pStyle w:val="Odlomakpopisa"/>
              <w:numPr>
                <w:ilvl w:val="0"/>
                <w:numId w:val="17"/>
              </w:numPr>
              <w:rPr>
                <w:rFonts w:ascii="Times New Roman" w:hAnsi="Times New Roman"/>
                <w:color w:val="000000"/>
                <w:sz w:val="18"/>
                <w:szCs w:val="18"/>
              </w:rPr>
            </w:pPr>
            <w:r w:rsidRPr="00987970">
              <w:rPr>
                <w:rFonts w:ascii="Times New Roman" w:hAnsi="Times New Roman"/>
                <w:color w:val="000000"/>
                <w:sz w:val="18"/>
                <w:szCs w:val="18"/>
              </w:rPr>
              <w:t>kotizacija (samo u slučaju kada</w:t>
            </w:r>
            <w:r w:rsidR="00D47161">
              <w:rPr>
                <w:rFonts w:ascii="Times New Roman" w:hAnsi="Times New Roman"/>
                <w:color w:val="000000"/>
                <w:sz w:val="18"/>
                <w:szCs w:val="18"/>
              </w:rPr>
              <w:t xml:space="preserve">  organizator događaja nije LAG)</w:t>
            </w:r>
            <w:r w:rsidRPr="00987970">
              <w:rPr>
                <w:rFonts w:ascii="Times New Roman" w:hAnsi="Times New Roman"/>
                <w:color w:val="000000"/>
                <w:sz w:val="18"/>
                <w:szCs w:val="18"/>
              </w:rPr>
              <w:t xml:space="preserve"> </w:t>
            </w:r>
          </w:p>
          <w:p w14:paraId="532289B5" w14:textId="77777777" w:rsidR="008E12ED" w:rsidRDefault="008E12ED" w:rsidP="008E12ED">
            <w:pPr>
              <w:pStyle w:val="Odlomakpopisa"/>
              <w:numPr>
                <w:ilvl w:val="0"/>
                <w:numId w:val="17"/>
              </w:numPr>
              <w:rPr>
                <w:rFonts w:ascii="Times New Roman" w:hAnsi="Times New Roman"/>
                <w:color w:val="000000"/>
                <w:sz w:val="18"/>
                <w:szCs w:val="18"/>
              </w:rPr>
            </w:pPr>
            <w:r w:rsidRPr="008E12ED">
              <w:rPr>
                <w:rFonts w:ascii="Times New Roman" w:hAnsi="Times New Roman"/>
                <w:color w:val="000000"/>
                <w:sz w:val="18"/>
                <w:szCs w:val="18"/>
              </w:rPr>
              <w:t xml:space="preserve">troškovi usavršavanja i obrazovanja (računi subjekata koji pružaju usavršavanje i obrazovanje u vezi rada LAG-a i/ili </w:t>
            </w:r>
            <w:r>
              <w:rPr>
                <w:rFonts w:ascii="Times New Roman" w:hAnsi="Times New Roman"/>
                <w:color w:val="000000"/>
                <w:sz w:val="18"/>
                <w:szCs w:val="18"/>
              </w:rPr>
              <w:t>izradu LRS 2023. – 2027.)</w:t>
            </w:r>
          </w:p>
          <w:p w14:paraId="43D488E0" w14:textId="18A48A6D" w:rsidR="008E12ED" w:rsidRDefault="008E12ED" w:rsidP="008E12ED">
            <w:pPr>
              <w:pStyle w:val="Odlomakpopisa"/>
              <w:numPr>
                <w:ilvl w:val="0"/>
                <w:numId w:val="17"/>
              </w:numPr>
              <w:rPr>
                <w:rFonts w:ascii="Times New Roman" w:hAnsi="Times New Roman"/>
                <w:color w:val="000000"/>
                <w:sz w:val="18"/>
                <w:szCs w:val="18"/>
              </w:rPr>
            </w:pPr>
            <w:r w:rsidRPr="008E12ED">
              <w:rPr>
                <w:rFonts w:ascii="Times New Roman" w:hAnsi="Times New Roman"/>
                <w:color w:val="000000"/>
                <w:sz w:val="18"/>
                <w:szCs w:val="18"/>
              </w:rPr>
              <w:lastRenderedPageBreak/>
              <w:t>hrana i piće za sudionike</w:t>
            </w:r>
            <w:r>
              <w:rPr>
                <w:rFonts w:ascii="Times New Roman" w:hAnsi="Times New Roman"/>
                <w:color w:val="000000"/>
                <w:sz w:val="18"/>
                <w:szCs w:val="18"/>
              </w:rPr>
              <w:t xml:space="preserve"> (kada je organizator događaja LAG)</w:t>
            </w:r>
          </w:p>
          <w:p w14:paraId="319366B3" w14:textId="410D280E" w:rsidR="008E12ED" w:rsidRPr="00987970" w:rsidRDefault="008E12ED" w:rsidP="008E12ED">
            <w:pPr>
              <w:pStyle w:val="Odlomakpopisa"/>
              <w:numPr>
                <w:ilvl w:val="0"/>
                <w:numId w:val="17"/>
              </w:numPr>
              <w:rPr>
                <w:rFonts w:ascii="Times New Roman" w:hAnsi="Times New Roman"/>
                <w:color w:val="000000"/>
                <w:sz w:val="18"/>
                <w:szCs w:val="18"/>
              </w:rPr>
            </w:pPr>
            <w:r>
              <w:rPr>
                <w:rFonts w:ascii="Times New Roman" w:hAnsi="Times New Roman"/>
                <w:color w:val="000000"/>
                <w:sz w:val="18"/>
                <w:szCs w:val="18"/>
              </w:rPr>
              <w:t>putni troškovi (</w:t>
            </w:r>
            <w:r w:rsidRPr="008E12ED">
              <w:rPr>
                <w:rFonts w:ascii="Times New Roman" w:hAnsi="Times New Roman"/>
                <w:color w:val="000000"/>
                <w:sz w:val="18"/>
                <w:szCs w:val="18"/>
              </w:rPr>
              <w:t xml:space="preserve">troškovi </w:t>
            </w:r>
            <w:r>
              <w:rPr>
                <w:rFonts w:ascii="Times New Roman" w:hAnsi="Times New Roman"/>
                <w:color w:val="000000"/>
                <w:sz w:val="18"/>
                <w:szCs w:val="18"/>
              </w:rPr>
              <w:t xml:space="preserve">dnevnice, smještaja i putnih troškova </w:t>
            </w:r>
            <w:r w:rsidRPr="008E12ED">
              <w:rPr>
                <w:rFonts w:ascii="Times New Roman" w:hAnsi="Times New Roman"/>
                <w:color w:val="000000"/>
                <w:sz w:val="18"/>
                <w:szCs w:val="18"/>
              </w:rPr>
              <w:t>navedeni u putnom nalogu za zaposlenike, članove i volontere LAG-a)</w:t>
            </w:r>
            <w:r>
              <w:rPr>
                <w:rFonts w:ascii="Times New Roman" w:hAnsi="Times New Roman"/>
                <w:color w:val="000000"/>
                <w:sz w:val="18"/>
                <w:szCs w:val="18"/>
              </w:rPr>
              <w:t xml:space="preserve"> kada organizator događaja </w:t>
            </w:r>
            <w:r w:rsidR="00D47161">
              <w:rPr>
                <w:rFonts w:ascii="Times New Roman" w:hAnsi="Times New Roman"/>
                <w:color w:val="000000"/>
                <w:sz w:val="18"/>
                <w:szCs w:val="18"/>
              </w:rPr>
              <w:t>nije LAG</w:t>
            </w:r>
          </w:p>
        </w:tc>
        <w:tc>
          <w:tcPr>
            <w:tcW w:w="1843" w:type="dxa"/>
          </w:tcPr>
          <w:p w14:paraId="02B943A0" w14:textId="1BCF8A3E" w:rsidR="00B01CF0" w:rsidRPr="007B29EF" w:rsidRDefault="00B01CF0">
            <w:pPr>
              <w:rPr>
                <w:rFonts w:ascii="Times New Roman" w:hAnsi="Times New Roman"/>
                <w:b/>
                <w:color w:val="000000"/>
                <w:sz w:val="18"/>
                <w:szCs w:val="18"/>
              </w:rPr>
            </w:pPr>
            <w:r w:rsidRPr="007B29EF">
              <w:rPr>
                <w:rFonts w:ascii="Times New Roman" w:hAnsi="Times New Roman"/>
                <w:b/>
                <w:color w:val="000000"/>
                <w:sz w:val="18"/>
                <w:szCs w:val="18"/>
              </w:rPr>
              <w:lastRenderedPageBreak/>
              <w:t>19.</w:t>
            </w:r>
            <w:r>
              <w:rPr>
                <w:rFonts w:ascii="Times New Roman" w:hAnsi="Times New Roman"/>
                <w:b/>
                <w:color w:val="000000"/>
                <w:sz w:val="18"/>
                <w:szCs w:val="18"/>
              </w:rPr>
              <w:t>1</w:t>
            </w:r>
            <w:r w:rsidRPr="007B29EF">
              <w:rPr>
                <w:rFonts w:ascii="Times New Roman" w:hAnsi="Times New Roman"/>
                <w:b/>
                <w:color w:val="000000"/>
                <w:sz w:val="18"/>
                <w:szCs w:val="18"/>
              </w:rPr>
              <w:t>.1.</w:t>
            </w:r>
            <w:r w:rsidR="00CB67DC">
              <w:rPr>
                <w:rFonts w:ascii="Times New Roman" w:hAnsi="Times New Roman"/>
                <w:b/>
                <w:color w:val="000000"/>
                <w:sz w:val="18"/>
                <w:szCs w:val="18"/>
              </w:rPr>
              <w:t>3</w:t>
            </w:r>
            <w:r w:rsidRPr="007B29EF">
              <w:rPr>
                <w:rFonts w:ascii="Times New Roman" w:hAnsi="Times New Roman"/>
                <w:b/>
                <w:color w:val="000000"/>
                <w:sz w:val="18"/>
                <w:szCs w:val="18"/>
              </w:rPr>
              <w:t xml:space="preserve">. </w:t>
            </w:r>
            <w:r>
              <w:rPr>
                <w:rFonts w:ascii="Times New Roman" w:hAnsi="Times New Roman"/>
                <w:b/>
                <w:color w:val="000000"/>
                <w:sz w:val="18"/>
                <w:szCs w:val="18"/>
              </w:rPr>
              <w:t>Troškovi vanjskog stručnjaka za izradu LRS 2023. – 2027.:</w:t>
            </w:r>
            <w:r>
              <w:rPr>
                <w:rStyle w:val="Referencafusnote"/>
                <w:rFonts w:ascii="Times New Roman" w:hAnsi="Times New Roman"/>
                <w:b/>
                <w:color w:val="000000"/>
                <w:sz w:val="18"/>
                <w:szCs w:val="18"/>
              </w:rPr>
              <w:footnoteReference w:id="3"/>
            </w:r>
          </w:p>
          <w:p w14:paraId="409478C3" w14:textId="77777777" w:rsidR="00B01CF0" w:rsidRPr="007B29EF" w:rsidRDefault="00B01CF0" w:rsidP="007B29EF">
            <w:pPr>
              <w:ind w:left="360"/>
              <w:rPr>
                <w:rFonts w:ascii="Times New Roman" w:hAnsi="Times New Roman"/>
                <w:b/>
                <w:color w:val="000000"/>
                <w:sz w:val="18"/>
                <w:szCs w:val="18"/>
              </w:rPr>
            </w:pPr>
            <w:r w:rsidRPr="007B29EF">
              <w:rPr>
                <w:rFonts w:ascii="Times New Roman" w:hAnsi="Times New Roman"/>
                <w:b/>
                <w:color w:val="000000"/>
                <w:sz w:val="18"/>
                <w:szCs w:val="18"/>
              </w:rPr>
              <w:tab/>
            </w:r>
          </w:p>
        </w:tc>
        <w:tc>
          <w:tcPr>
            <w:tcW w:w="2268" w:type="dxa"/>
          </w:tcPr>
          <w:p w14:paraId="1AE9AC54" w14:textId="03F71F8E" w:rsidR="00B01CF0" w:rsidRPr="007B29EF" w:rsidRDefault="00B01CF0" w:rsidP="000B777B">
            <w:pPr>
              <w:rPr>
                <w:rFonts w:ascii="Times New Roman" w:hAnsi="Times New Roman"/>
                <w:b/>
                <w:color w:val="000000"/>
                <w:sz w:val="18"/>
                <w:szCs w:val="18"/>
              </w:rPr>
            </w:pPr>
            <w:r w:rsidRPr="007B29EF">
              <w:rPr>
                <w:rFonts w:ascii="Times New Roman" w:hAnsi="Times New Roman"/>
                <w:b/>
                <w:color w:val="000000"/>
                <w:sz w:val="18"/>
                <w:szCs w:val="18"/>
              </w:rPr>
              <w:t>19.</w:t>
            </w:r>
            <w:r>
              <w:rPr>
                <w:rFonts w:ascii="Times New Roman" w:hAnsi="Times New Roman"/>
                <w:b/>
                <w:color w:val="000000"/>
                <w:sz w:val="18"/>
                <w:szCs w:val="18"/>
              </w:rPr>
              <w:t>1</w:t>
            </w:r>
            <w:r w:rsidRPr="007B29EF">
              <w:rPr>
                <w:rFonts w:ascii="Times New Roman" w:hAnsi="Times New Roman"/>
                <w:b/>
                <w:color w:val="000000"/>
                <w:sz w:val="18"/>
                <w:szCs w:val="18"/>
              </w:rPr>
              <w:t>.1.</w:t>
            </w:r>
            <w:r w:rsidR="00CB67DC">
              <w:rPr>
                <w:rFonts w:ascii="Times New Roman" w:hAnsi="Times New Roman"/>
                <w:b/>
                <w:color w:val="000000"/>
                <w:sz w:val="18"/>
                <w:szCs w:val="18"/>
              </w:rPr>
              <w:t>4</w:t>
            </w:r>
            <w:r w:rsidRPr="007B29EF">
              <w:rPr>
                <w:rFonts w:ascii="Times New Roman" w:hAnsi="Times New Roman"/>
                <w:b/>
                <w:color w:val="000000"/>
                <w:sz w:val="18"/>
                <w:szCs w:val="18"/>
              </w:rPr>
              <w:t xml:space="preserve">. </w:t>
            </w:r>
            <w:r>
              <w:rPr>
                <w:rFonts w:ascii="Times New Roman" w:hAnsi="Times New Roman"/>
                <w:b/>
                <w:color w:val="000000"/>
                <w:sz w:val="18"/>
                <w:szCs w:val="18"/>
              </w:rPr>
              <w:t>Organizacija/suorganizacija događaja u vezi izrade LRS 2023. – 2027. i (radionica, sastanci i sl.):</w:t>
            </w:r>
            <w:r>
              <w:rPr>
                <w:rStyle w:val="Referencafusnote"/>
                <w:rFonts w:ascii="Times New Roman" w:hAnsi="Times New Roman"/>
                <w:b/>
                <w:color w:val="000000"/>
                <w:sz w:val="18"/>
                <w:szCs w:val="18"/>
              </w:rPr>
              <w:footnoteReference w:id="4"/>
            </w:r>
            <w:r w:rsidRPr="007B29EF">
              <w:rPr>
                <w:rFonts w:ascii="Times New Roman" w:hAnsi="Times New Roman"/>
                <w:b/>
                <w:color w:val="000000"/>
                <w:sz w:val="18"/>
                <w:szCs w:val="18"/>
              </w:rPr>
              <w:t xml:space="preserve">  </w:t>
            </w:r>
          </w:p>
          <w:p w14:paraId="1184E40A" w14:textId="08500B40" w:rsidR="00B01CF0" w:rsidRPr="007B29EF" w:rsidRDefault="00B01CF0" w:rsidP="007B29EF">
            <w:pPr>
              <w:pStyle w:val="Odlomakpopisa"/>
              <w:numPr>
                <w:ilvl w:val="0"/>
                <w:numId w:val="4"/>
              </w:numPr>
              <w:rPr>
                <w:rFonts w:ascii="Times New Roman" w:hAnsi="Times New Roman"/>
                <w:sz w:val="18"/>
                <w:szCs w:val="18"/>
              </w:rPr>
            </w:pPr>
            <w:r>
              <w:rPr>
                <w:rFonts w:ascii="Times New Roman" w:hAnsi="Times New Roman"/>
                <w:sz w:val="18"/>
                <w:szCs w:val="18"/>
              </w:rPr>
              <w:t>najam prostora i opreme za organizaciju/suorganizaciju događaja</w:t>
            </w:r>
          </w:p>
          <w:p w14:paraId="322D1F16" w14:textId="7C9DD975" w:rsidR="00B01CF0" w:rsidRPr="007B29EF" w:rsidRDefault="00B01CF0" w:rsidP="007B29EF">
            <w:pPr>
              <w:pStyle w:val="Odlomakpopisa"/>
              <w:numPr>
                <w:ilvl w:val="0"/>
                <w:numId w:val="4"/>
              </w:numPr>
              <w:rPr>
                <w:rFonts w:ascii="Times New Roman" w:hAnsi="Times New Roman"/>
                <w:sz w:val="18"/>
                <w:szCs w:val="18"/>
              </w:rPr>
            </w:pPr>
            <w:r>
              <w:rPr>
                <w:rFonts w:ascii="Times New Roman" w:hAnsi="Times New Roman"/>
                <w:sz w:val="18"/>
                <w:szCs w:val="18"/>
              </w:rPr>
              <w:t>hrana i piće za sudionike</w:t>
            </w:r>
          </w:p>
          <w:p w14:paraId="11E9B64A" w14:textId="77777777" w:rsidR="00B01CF0" w:rsidRDefault="00B01CF0" w:rsidP="007B29EF">
            <w:pPr>
              <w:pStyle w:val="Odlomakpopisa"/>
              <w:numPr>
                <w:ilvl w:val="0"/>
                <w:numId w:val="4"/>
              </w:numPr>
              <w:rPr>
                <w:rFonts w:ascii="Times New Roman" w:hAnsi="Times New Roman"/>
                <w:sz w:val="18"/>
                <w:szCs w:val="18"/>
              </w:rPr>
            </w:pPr>
            <w:r w:rsidRPr="007B29EF">
              <w:rPr>
                <w:rFonts w:ascii="Times New Roman" w:hAnsi="Times New Roman"/>
                <w:sz w:val="18"/>
                <w:szCs w:val="18"/>
              </w:rPr>
              <w:t>putni troškovi</w:t>
            </w:r>
            <w:r>
              <w:rPr>
                <w:rFonts w:ascii="Times New Roman" w:hAnsi="Times New Roman"/>
                <w:sz w:val="18"/>
                <w:szCs w:val="18"/>
              </w:rPr>
              <w:t xml:space="preserve"> za zaposlenike, članove i volontere LAG-a</w:t>
            </w:r>
            <w:r w:rsidRPr="007B29EF">
              <w:rPr>
                <w:rFonts w:ascii="Times New Roman" w:hAnsi="Times New Roman"/>
                <w:sz w:val="18"/>
                <w:szCs w:val="18"/>
              </w:rPr>
              <w:t xml:space="preserve"> (uključujući ostale troškove u skladu s </w:t>
            </w:r>
            <w:r w:rsidRPr="007B29EF">
              <w:rPr>
                <w:rFonts w:ascii="Times New Roman" w:hAnsi="Times New Roman"/>
                <w:sz w:val="18"/>
                <w:szCs w:val="18"/>
              </w:rPr>
              <w:lastRenderedPageBreak/>
              <w:t>pravilnikom o porezu na dohodak koji mogu biti prikazani kroz putni nalog)</w:t>
            </w:r>
          </w:p>
          <w:p w14:paraId="080E6577" w14:textId="6E57F52F" w:rsidR="00B01CF0" w:rsidRPr="007B29EF" w:rsidRDefault="00B01CF0" w:rsidP="007B29EF">
            <w:pPr>
              <w:pStyle w:val="Odlomakpopisa"/>
              <w:numPr>
                <w:ilvl w:val="0"/>
                <w:numId w:val="4"/>
              </w:numPr>
              <w:rPr>
                <w:rFonts w:ascii="Times New Roman" w:hAnsi="Times New Roman"/>
                <w:sz w:val="18"/>
                <w:szCs w:val="18"/>
              </w:rPr>
            </w:pPr>
            <w:r>
              <w:rPr>
                <w:rFonts w:ascii="Times New Roman" w:hAnsi="Times New Roman"/>
                <w:sz w:val="18"/>
                <w:szCs w:val="18"/>
              </w:rPr>
              <w:t>troškovi usluge prevođenja</w:t>
            </w:r>
            <w:r>
              <w:t xml:space="preserve"> </w:t>
            </w:r>
            <w:r w:rsidRPr="00687030">
              <w:rPr>
                <w:rFonts w:ascii="Times New Roman" w:hAnsi="Times New Roman"/>
                <w:sz w:val="18"/>
                <w:szCs w:val="18"/>
              </w:rPr>
              <w:t>(simultano i konsekutivno)</w:t>
            </w:r>
            <w:r>
              <w:rPr>
                <w:rFonts w:ascii="Times New Roman" w:hAnsi="Times New Roman"/>
                <w:sz w:val="18"/>
                <w:szCs w:val="18"/>
              </w:rPr>
              <w:t xml:space="preserve"> uključujući i trošak usluge tehničara i korištenja opreme</w:t>
            </w:r>
          </w:p>
        </w:tc>
        <w:tc>
          <w:tcPr>
            <w:tcW w:w="2126" w:type="dxa"/>
          </w:tcPr>
          <w:p w14:paraId="2B572ADF" w14:textId="3A823273" w:rsidR="00B01CF0" w:rsidRPr="007B29EF" w:rsidRDefault="00B01CF0" w:rsidP="00B877A8">
            <w:pPr>
              <w:rPr>
                <w:rFonts w:ascii="Times New Roman" w:hAnsi="Times New Roman"/>
                <w:b/>
                <w:color w:val="000000"/>
                <w:sz w:val="18"/>
                <w:szCs w:val="18"/>
              </w:rPr>
            </w:pPr>
            <w:r w:rsidRPr="007B29EF">
              <w:rPr>
                <w:rFonts w:ascii="Times New Roman" w:hAnsi="Times New Roman"/>
                <w:b/>
                <w:color w:val="000000"/>
                <w:sz w:val="18"/>
                <w:szCs w:val="18"/>
              </w:rPr>
              <w:lastRenderedPageBreak/>
              <w:t>19.</w:t>
            </w:r>
            <w:r>
              <w:rPr>
                <w:rFonts w:ascii="Times New Roman" w:hAnsi="Times New Roman"/>
                <w:b/>
                <w:color w:val="000000"/>
                <w:sz w:val="18"/>
                <w:szCs w:val="18"/>
              </w:rPr>
              <w:t>1</w:t>
            </w:r>
            <w:r w:rsidRPr="007B29EF">
              <w:rPr>
                <w:rFonts w:ascii="Times New Roman" w:hAnsi="Times New Roman"/>
                <w:b/>
                <w:color w:val="000000"/>
                <w:sz w:val="18"/>
                <w:szCs w:val="18"/>
              </w:rPr>
              <w:t>.1.</w:t>
            </w:r>
            <w:r w:rsidR="00CB67DC">
              <w:rPr>
                <w:rFonts w:ascii="Times New Roman" w:hAnsi="Times New Roman"/>
                <w:b/>
                <w:color w:val="000000"/>
                <w:sz w:val="18"/>
                <w:szCs w:val="18"/>
              </w:rPr>
              <w:t>5</w:t>
            </w:r>
            <w:r w:rsidRPr="007B29EF">
              <w:rPr>
                <w:rFonts w:ascii="Times New Roman" w:hAnsi="Times New Roman"/>
                <w:b/>
                <w:color w:val="000000"/>
                <w:sz w:val="18"/>
                <w:szCs w:val="18"/>
              </w:rPr>
              <w:t xml:space="preserve">. </w:t>
            </w:r>
            <w:r>
              <w:rPr>
                <w:rFonts w:ascii="Times New Roman" w:hAnsi="Times New Roman"/>
                <w:b/>
                <w:color w:val="000000"/>
                <w:sz w:val="18"/>
                <w:szCs w:val="18"/>
              </w:rPr>
              <w:t xml:space="preserve">          Promidžbene aktivnosti u vezi animacije za izradu LRS 2023. – 2027.:</w:t>
            </w:r>
          </w:p>
          <w:p w14:paraId="7C3E27A3" w14:textId="521C7981" w:rsidR="00B01CF0" w:rsidRPr="00B41CD6" w:rsidRDefault="00B01CF0" w:rsidP="00A84C90">
            <w:pPr>
              <w:pStyle w:val="Odlomakpopisa"/>
              <w:numPr>
                <w:ilvl w:val="0"/>
                <w:numId w:val="10"/>
              </w:numPr>
              <w:spacing w:before="100" w:beforeAutospacing="1" w:after="100" w:afterAutospacing="1" w:line="240" w:lineRule="auto"/>
              <w:rPr>
                <w:rFonts w:ascii="Times New Roman" w:hAnsi="Times New Roman"/>
                <w:sz w:val="18"/>
                <w:szCs w:val="18"/>
              </w:rPr>
            </w:pPr>
            <w:r w:rsidRPr="00B41CD6">
              <w:rPr>
                <w:rFonts w:ascii="Times New Roman" w:hAnsi="Times New Roman"/>
                <w:sz w:val="18"/>
                <w:szCs w:val="18"/>
              </w:rPr>
              <w:t>oglašavanje</w:t>
            </w:r>
            <w:r>
              <w:rPr>
                <w:rFonts w:ascii="Times New Roman" w:hAnsi="Times New Roman"/>
                <w:sz w:val="18"/>
                <w:szCs w:val="18"/>
              </w:rPr>
              <w:t xml:space="preserve"> (web, radio, TV, tiskane novine i sl.)</w:t>
            </w:r>
          </w:p>
          <w:p w14:paraId="77839B1D" w14:textId="77777777" w:rsidR="00B01CF0" w:rsidRPr="00B41CD6" w:rsidRDefault="00B01CF0" w:rsidP="00A84C90">
            <w:pPr>
              <w:pStyle w:val="Odlomakpopisa"/>
              <w:numPr>
                <w:ilvl w:val="0"/>
                <w:numId w:val="10"/>
              </w:numPr>
              <w:spacing w:before="100" w:beforeAutospacing="1" w:after="100" w:afterAutospacing="1" w:line="240" w:lineRule="auto"/>
              <w:rPr>
                <w:rFonts w:ascii="Times New Roman" w:hAnsi="Times New Roman"/>
                <w:sz w:val="18"/>
                <w:szCs w:val="18"/>
              </w:rPr>
            </w:pPr>
            <w:r w:rsidRPr="00B41CD6">
              <w:rPr>
                <w:rFonts w:ascii="Times New Roman" w:hAnsi="Times New Roman"/>
                <w:sz w:val="18"/>
                <w:szCs w:val="18"/>
              </w:rPr>
              <w:t xml:space="preserve">izrada informativno-promidžbenih materijala </w:t>
            </w:r>
          </w:p>
          <w:p w14:paraId="037BAB69" w14:textId="77777777" w:rsidR="00B01CF0" w:rsidRPr="007B29EF" w:rsidRDefault="00B01CF0" w:rsidP="007B29EF">
            <w:pPr>
              <w:pStyle w:val="Odlomakpopisa"/>
              <w:ind w:left="352"/>
              <w:rPr>
                <w:rFonts w:ascii="Times New Roman" w:hAnsi="Times New Roman"/>
                <w:sz w:val="18"/>
                <w:szCs w:val="18"/>
              </w:rPr>
            </w:pPr>
          </w:p>
        </w:tc>
        <w:tc>
          <w:tcPr>
            <w:tcW w:w="1985" w:type="dxa"/>
          </w:tcPr>
          <w:p w14:paraId="0D2C5159" w14:textId="2FD63188" w:rsidR="00104031" w:rsidRPr="00B01CF0" w:rsidRDefault="00B01CF0" w:rsidP="00B01CF0">
            <w:pPr>
              <w:rPr>
                <w:rFonts w:ascii="Times New Roman" w:hAnsi="Times New Roman"/>
                <w:b/>
                <w:color w:val="000000"/>
                <w:sz w:val="18"/>
                <w:szCs w:val="18"/>
              </w:rPr>
            </w:pPr>
            <w:r>
              <w:rPr>
                <w:rFonts w:ascii="Times New Roman" w:hAnsi="Times New Roman"/>
                <w:b/>
                <w:color w:val="000000"/>
                <w:sz w:val="18"/>
                <w:szCs w:val="18"/>
              </w:rPr>
              <w:t>19.1.1.</w:t>
            </w:r>
            <w:r w:rsidR="00CB67DC">
              <w:rPr>
                <w:rFonts w:ascii="Times New Roman" w:hAnsi="Times New Roman"/>
                <w:b/>
                <w:color w:val="000000"/>
                <w:sz w:val="18"/>
                <w:szCs w:val="18"/>
              </w:rPr>
              <w:t>6</w:t>
            </w:r>
            <w:r>
              <w:rPr>
                <w:rFonts w:ascii="Times New Roman" w:hAnsi="Times New Roman"/>
                <w:b/>
                <w:color w:val="000000"/>
                <w:sz w:val="18"/>
                <w:szCs w:val="18"/>
              </w:rPr>
              <w:t>.                       Troškovi ureda:</w:t>
            </w:r>
          </w:p>
          <w:p w14:paraId="360F3CD1" w14:textId="43F634F0" w:rsidR="00B01CF0" w:rsidRPr="00987970" w:rsidRDefault="00D47161" w:rsidP="00D47161">
            <w:pPr>
              <w:pStyle w:val="Odlomakpopisa"/>
              <w:numPr>
                <w:ilvl w:val="0"/>
                <w:numId w:val="18"/>
              </w:numPr>
              <w:rPr>
                <w:rFonts w:ascii="Times New Roman" w:hAnsi="Times New Roman"/>
                <w:b/>
                <w:color w:val="000000"/>
                <w:sz w:val="18"/>
                <w:szCs w:val="18"/>
              </w:rPr>
            </w:pPr>
            <w:r w:rsidRPr="00FA4165">
              <w:rPr>
                <w:rFonts w:ascii="Times New Roman" w:hAnsi="Times New Roman"/>
                <w:sz w:val="18"/>
                <w:szCs w:val="18"/>
              </w:rPr>
              <w:t>najam ureda</w:t>
            </w:r>
            <w:r>
              <w:rPr>
                <w:rStyle w:val="Referencafusnote"/>
                <w:rFonts w:ascii="Times New Roman" w:hAnsi="Times New Roman"/>
                <w:sz w:val="18"/>
                <w:szCs w:val="18"/>
              </w:rPr>
              <w:footnoteReference w:id="5"/>
            </w:r>
          </w:p>
          <w:p w14:paraId="1817A00A" w14:textId="77777777" w:rsidR="00D47161" w:rsidRDefault="00D47161" w:rsidP="00D47161">
            <w:pPr>
              <w:pStyle w:val="Odlomakpopisa"/>
              <w:numPr>
                <w:ilvl w:val="0"/>
                <w:numId w:val="18"/>
              </w:numPr>
              <w:rPr>
                <w:rFonts w:ascii="Times New Roman" w:hAnsi="Times New Roman"/>
                <w:color w:val="000000"/>
                <w:sz w:val="18"/>
                <w:szCs w:val="18"/>
              </w:rPr>
            </w:pPr>
            <w:r w:rsidRPr="00987970">
              <w:rPr>
                <w:rFonts w:ascii="Times New Roman" w:hAnsi="Times New Roman"/>
                <w:color w:val="000000"/>
                <w:sz w:val="18"/>
                <w:szCs w:val="18"/>
              </w:rPr>
              <w:t>uredska oprema i namještaj uključujući dostavu i montažu</w:t>
            </w:r>
            <w:r>
              <w:rPr>
                <w:rStyle w:val="Referencafusnote"/>
                <w:rFonts w:ascii="Times New Roman" w:hAnsi="Times New Roman"/>
                <w:color w:val="000000"/>
                <w:sz w:val="18"/>
                <w:szCs w:val="18"/>
              </w:rPr>
              <w:footnoteReference w:id="6"/>
            </w:r>
          </w:p>
          <w:p w14:paraId="15017641" w14:textId="77777777" w:rsidR="00D47161" w:rsidRDefault="00D47161">
            <w:pPr>
              <w:pStyle w:val="Odlomakpopisa"/>
              <w:numPr>
                <w:ilvl w:val="0"/>
                <w:numId w:val="18"/>
              </w:numPr>
              <w:rPr>
                <w:rFonts w:ascii="Times New Roman" w:hAnsi="Times New Roman"/>
                <w:color w:val="000000"/>
                <w:sz w:val="18"/>
                <w:szCs w:val="18"/>
              </w:rPr>
            </w:pPr>
            <w:r w:rsidRPr="00D47161">
              <w:rPr>
                <w:rFonts w:ascii="Times New Roman" w:hAnsi="Times New Roman"/>
                <w:color w:val="000000"/>
                <w:sz w:val="18"/>
                <w:szCs w:val="18"/>
              </w:rPr>
              <w:t>računalna oprema (uključujući dostavu i montažu)</w:t>
            </w:r>
            <w:r>
              <w:rPr>
                <w:rFonts w:ascii="Times New Roman" w:hAnsi="Times New Roman"/>
                <w:color w:val="000000"/>
                <w:sz w:val="18"/>
                <w:szCs w:val="18"/>
              </w:rPr>
              <w:t xml:space="preserve">, računalni </w:t>
            </w:r>
            <w:r>
              <w:rPr>
                <w:rFonts w:ascii="Times New Roman" w:hAnsi="Times New Roman"/>
                <w:color w:val="000000"/>
                <w:sz w:val="18"/>
                <w:szCs w:val="18"/>
              </w:rPr>
              <w:lastRenderedPageBreak/>
              <w:t>programi i licence</w:t>
            </w:r>
            <w:r>
              <w:rPr>
                <w:rStyle w:val="Referencafusnote"/>
                <w:rFonts w:ascii="Times New Roman" w:hAnsi="Times New Roman"/>
                <w:color w:val="000000"/>
                <w:sz w:val="18"/>
                <w:szCs w:val="18"/>
              </w:rPr>
              <w:footnoteReference w:id="7"/>
            </w:r>
          </w:p>
          <w:p w14:paraId="2EDD4514" w14:textId="77777777" w:rsidR="005E14CF" w:rsidRDefault="005E14CF" w:rsidP="005E14CF">
            <w:pPr>
              <w:rPr>
                <w:rFonts w:ascii="Times New Roman" w:hAnsi="Times New Roman"/>
                <w:color w:val="000000"/>
                <w:sz w:val="18"/>
                <w:szCs w:val="18"/>
              </w:rPr>
            </w:pPr>
          </w:p>
          <w:p w14:paraId="681A5480" w14:textId="77777777" w:rsidR="005E14CF" w:rsidRDefault="005E14CF" w:rsidP="005E14CF">
            <w:pPr>
              <w:rPr>
                <w:rFonts w:ascii="Times New Roman" w:hAnsi="Times New Roman"/>
                <w:color w:val="000000"/>
                <w:sz w:val="18"/>
                <w:szCs w:val="18"/>
              </w:rPr>
            </w:pPr>
          </w:p>
          <w:p w14:paraId="00A6745C" w14:textId="79AFCB61" w:rsidR="005E14CF" w:rsidRPr="00987970" w:rsidRDefault="005E14CF" w:rsidP="005E14CF">
            <w:pPr>
              <w:rPr>
                <w:rFonts w:ascii="Times New Roman" w:hAnsi="Times New Roman"/>
                <w:color w:val="000000"/>
                <w:sz w:val="18"/>
                <w:szCs w:val="18"/>
              </w:rPr>
            </w:pPr>
          </w:p>
        </w:tc>
      </w:tr>
    </w:tbl>
    <w:p w14:paraId="556FCB3F" w14:textId="77D99E41" w:rsidR="005E022F" w:rsidRDefault="005E022F">
      <w:pPr>
        <w:rPr>
          <w:rFonts w:ascii="Times New Roman" w:hAnsi="Times New Roman"/>
        </w:rPr>
      </w:pPr>
    </w:p>
    <w:p w14:paraId="729912CE" w14:textId="066F04E4" w:rsidR="008E12ED" w:rsidRDefault="008E12ED">
      <w:pPr>
        <w:rPr>
          <w:rFonts w:ascii="Times New Roman" w:hAnsi="Times New Roman"/>
        </w:rPr>
      </w:pPr>
      <w:r>
        <w:rPr>
          <w:rFonts w:ascii="Times New Roman" w:hAnsi="Times New Roman"/>
        </w:rPr>
        <w:t>NAPOMENA:</w:t>
      </w:r>
    </w:p>
    <w:p w14:paraId="60E33008" w14:textId="2330627C" w:rsidR="005E022F" w:rsidRPr="000A4E11" w:rsidRDefault="008E12ED" w:rsidP="00987970">
      <w:pPr>
        <w:rPr>
          <w:rFonts w:ascii="Times New Roman" w:hAnsi="Times New Roman"/>
        </w:rPr>
      </w:pPr>
      <w:r w:rsidRPr="008E12ED">
        <w:rPr>
          <w:rFonts w:ascii="Times New Roman" w:hAnsi="Times New Roman"/>
        </w:rPr>
        <w:t>Troškovi koji se odnose na zaposlenike, članove, volontere LAG-a prihvatljivi su i za pratitelja osobe s invaliditetom. Osoba s invaliditetom izjavom potvrđuje identitet pratitelja. Pratitelj izjavom potvrđuje da mu nisu dodijeljena bespovratna sredstva za iste prihvatljive troškove.</w:t>
      </w:r>
    </w:p>
    <w:p w14:paraId="06B680DF" w14:textId="1EB0A0A4" w:rsidR="005E022F" w:rsidRDefault="005E022F" w:rsidP="00274808">
      <w:pPr>
        <w:spacing w:before="100" w:beforeAutospacing="1" w:after="100" w:afterAutospacing="1" w:line="240" w:lineRule="auto"/>
        <w:jc w:val="both"/>
        <w:rPr>
          <w:rFonts w:ascii="Times New Roman" w:hAnsi="Times New Roman"/>
          <w:b/>
          <w:color w:val="000000"/>
          <w:sz w:val="20"/>
          <w:szCs w:val="20"/>
          <w:lang w:eastAsia="hr-HR"/>
        </w:rPr>
      </w:pPr>
      <w:r>
        <w:rPr>
          <w:rFonts w:ascii="Times New Roman" w:hAnsi="Times New Roman"/>
          <w:b/>
          <w:color w:val="000000"/>
          <w:sz w:val="20"/>
          <w:szCs w:val="20"/>
          <w:lang w:eastAsia="hr-HR"/>
        </w:rPr>
        <w:t xml:space="preserve">TABLICA 1: </w:t>
      </w:r>
      <w:r w:rsidRPr="000A4E11">
        <w:rPr>
          <w:rFonts w:ascii="Times New Roman" w:hAnsi="Times New Roman"/>
          <w:b/>
          <w:color w:val="000000"/>
          <w:sz w:val="20"/>
          <w:szCs w:val="20"/>
          <w:lang w:eastAsia="hr-HR"/>
        </w:rPr>
        <w:t>NAJVEĆI IZNOSI PRIHVATLJIVIH TROŠKOVA</w:t>
      </w:r>
    </w:p>
    <w:tbl>
      <w:tblPr>
        <w:tblStyle w:val="Reetkatablice"/>
        <w:tblW w:w="0" w:type="auto"/>
        <w:tblLook w:val="04A0" w:firstRow="1" w:lastRow="0" w:firstColumn="1" w:lastColumn="0" w:noHBand="0" w:noVBand="1"/>
      </w:tblPr>
      <w:tblGrid>
        <w:gridCol w:w="847"/>
        <w:gridCol w:w="3684"/>
        <w:gridCol w:w="2552"/>
        <w:gridCol w:w="6911"/>
      </w:tblGrid>
      <w:tr w:rsidR="008224D8" w14:paraId="200A611F" w14:textId="77777777" w:rsidTr="002E2C06">
        <w:tc>
          <w:tcPr>
            <w:tcW w:w="847" w:type="dxa"/>
          </w:tcPr>
          <w:p w14:paraId="28DC4965" w14:textId="77777777" w:rsidR="008224D8" w:rsidRDefault="008224D8" w:rsidP="00274808">
            <w:pPr>
              <w:spacing w:before="100" w:beforeAutospacing="1" w:after="100" w:afterAutospacing="1" w:line="240" w:lineRule="auto"/>
              <w:jc w:val="both"/>
            </w:pPr>
          </w:p>
        </w:tc>
        <w:tc>
          <w:tcPr>
            <w:tcW w:w="3684" w:type="dxa"/>
          </w:tcPr>
          <w:p w14:paraId="25F85D44" w14:textId="29806693" w:rsidR="008224D8" w:rsidRDefault="008224D8" w:rsidP="00274808">
            <w:pPr>
              <w:spacing w:before="100" w:beforeAutospacing="1" w:after="100" w:afterAutospacing="1" w:line="240" w:lineRule="auto"/>
              <w:jc w:val="both"/>
            </w:pPr>
            <w:r w:rsidRPr="000A4E11">
              <w:rPr>
                <w:rFonts w:ascii="Times New Roman" w:hAnsi="Times New Roman"/>
                <w:b/>
                <w:color w:val="000000"/>
                <w:sz w:val="18"/>
                <w:szCs w:val="18"/>
                <w:lang w:eastAsia="hr-HR"/>
              </w:rPr>
              <w:t>NAZIV PRIHVATLJIVOG TROŠKA</w:t>
            </w:r>
          </w:p>
        </w:tc>
        <w:tc>
          <w:tcPr>
            <w:tcW w:w="2552" w:type="dxa"/>
          </w:tcPr>
          <w:p w14:paraId="441ECEAC" w14:textId="2869DB3D" w:rsidR="008224D8" w:rsidRDefault="008224D8" w:rsidP="00274808">
            <w:pPr>
              <w:spacing w:before="100" w:beforeAutospacing="1" w:after="100" w:afterAutospacing="1" w:line="240" w:lineRule="auto"/>
              <w:jc w:val="both"/>
            </w:pPr>
            <w:r w:rsidRPr="000A4E11">
              <w:rPr>
                <w:rFonts w:ascii="Times New Roman" w:hAnsi="Times New Roman"/>
                <w:b/>
                <w:color w:val="000000"/>
                <w:sz w:val="18"/>
                <w:szCs w:val="18"/>
                <w:lang w:eastAsia="hr-HR"/>
              </w:rPr>
              <w:t>MJERNA JEDINICA</w:t>
            </w:r>
          </w:p>
        </w:tc>
        <w:tc>
          <w:tcPr>
            <w:tcW w:w="6911" w:type="dxa"/>
          </w:tcPr>
          <w:p w14:paraId="6CEB7592" w14:textId="2D5D91E7" w:rsidR="008224D8" w:rsidRDefault="008224D8" w:rsidP="00274808">
            <w:pPr>
              <w:spacing w:before="100" w:beforeAutospacing="1" w:after="100" w:afterAutospacing="1" w:line="240" w:lineRule="auto"/>
              <w:jc w:val="both"/>
            </w:pPr>
            <w:r w:rsidRPr="000A4E11">
              <w:rPr>
                <w:rFonts w:ascii="Times New Roman" w:hAnsi="Times New Roman"/>
                <w:b/>
                <w:color w:val="000000"/>
                <w:sz w:val="18"/>
                <w:szCs w:val="18"/>
                <w:lang w:eastAsia="hr-HR"/>
              </w:rPr>
              <w:t>NAJVEĆI  IZNOS (u kunama, bez PDV-a)</w:t>
            </w:r>
          </w:p>
        </w:tc>
      </w:tr>
      <w:tr w:rsidR="008224D8" w14:paraId="5896A896" w14:textId="77777777" w:rsidTr="002E2C06">
        <w:tc>
          <w:tcPr>
            <w:tcW w:w="847" w:type="dxa"/>
          </w:tcPr>
          <w:p w14:paraId="06F2C96D" w14:textId="6EC3D9A4" w:rsidR="008224D8" w:rsidRDefault="00B10BFB" w:rsidP="008224D8">
            <w:pPr>
              <w:spacing w:before="100" w:beforeAutospacing="1" w:after="100" w:afterAutospacing="1" w:line="240" w:lineRule="auto"/>
              <w:jc w:val="both"/>
              <w:rPr>
                <w:rFonts w:ascii="Times New Roman" w:hAnsi="Times New Roman"/>
                <w:sz w:val="18"/>
                <w:szCs w:val="18"/>
              </w:rPr>
            </w:pPr>
            <w:r>
              <w:rPr>
                <w:rFonts w:ascii="Times New Roman" w:hAnsi="Times New Roman"/>
                <w:sz w:val="18"/>
                <w:szCs w:val="18"/>
              </w:rPr>
              <w:t>19.1.1.3.</w:t>
            </w:r>
          </w:p>
        </w:tc>
        <w:tc>
          <w:tcPr>
            <w:tcW w:w="3684" w:type="dxa"/>
          </w:tcPr>
          <w:p w14:paraId="2B261964" w14:textId="3E86E45A" w:rsidR="008224D8" w:rsidRPr="008224D8" w:rsidRDefault="008224D8" w:rsidP="008224D8">
            <w:pPr>
              <w:spacing w:before="100" w:beforeAutospacing="1" w:after="100" w:afterAutospacing="1" w:line="240" w:lineRule="auto"/>
              <w:jc w:val="both"/>
              <w:rPr>
                <w:rFonts w:ascii="Times New Roman" w:hAnsi="Times New Roman"/>
                <w:sz w:val="18"/>
                <w:szCs w:val="18"/>
              </w:rPr>
            </w:pPr>
            <w:r w:rsidRPr="008224D8">
              <w:rPr>
                <w:rFonts w:ascii="Times New Roman" w:hAnsi="Times New Roman"/>
                <w:sz w:val="18"/>
                <w:szCs w:val="18"/>
              </w:rPr>
              <w:t>Hrana i piće</w:t>
            </w:r>
            <w:r>
              <w:rPr>
                <w:rFonts w:ascii="Times New Roman" w:hAnsi="Times New Roman"/>
                <w:sz w:val="18"/>
                <w:szCs w:val="18"/>
              </w:rPr>
              <w:t xml:space="preserve"> za sudionike</w:t>
            </w:r>
          </w:p>
        </w:tc>
        <w:tc>
          <w:tcPr>
            <w:tcW w:w="2552" w:type="dxa"/>
          </w:tcPr>
          <w:p w14:paraId="6FA8CD0B" w14:textId="5A09779E" w:rsidR="008224D8" w:rsidRDefault="008224D8" w:rsidP="008224D8">
            <w:pPr>
              <w:spacing w:before="100" w:beforeAutospacing="1" w:after="100" w:afterAutospacing="1" w:line="240" w:lineRule="auto"/>
              <w:jc w:val="both"/>
              <w:rPr>
                <w:rFonts w:ascii="Times New Roman" w:hAnsi="Times New Roman"/>
                <w:color w:val="000000"/>
                <w:sz w:val="18"/>
                <w:szCs w:val="18"/>
                <w:lang w:eastAsia="hr-HR"/>
              </w:rPr>
            </w:pPr>
            <w:r>
              <w:rPr>
                <w:rFonts w:ascii="Times New Roman" w:hAnsi="Times New Roman"/>
                <w:color w:val="000000"/>
                <w:sz w:val="18"/>
                <w:szCs w:val="18"/>
                <w:lang w:eastAsia="hr-HR"/>
              </w:rPr>
              <w:t>o</w:t>
            </w:r>
            <w:r w:rsidRPr="000A4E11">
              <w:rPr>
                <w:rFonts w:ascii="Times New Roman" w:hAnsi="Times New Roman"/>
                <w:color w:val="000000"/>
                <w:sz w:val="18"/>
                <w:szCs w:val="18"/>
                <w:lang w:eastAsia="hr-HR"/>
              </w:rPr>
              <w:t>soba</w:t>
            </w:r>
          </w:p>
        </w:tc>
        <w:tc>
          <w:tcPr>
            <w:tcW w:w="6911" w:type="dxa"/>
          </w:tcPr>
          <w:p w14:paraId="39CF1648" w14:textId="383ED532" w:rsidR="008224D8" w:rsidRPr="000A4E11" w:rsidRDefault="008224D8" w:rsidP="008224D8">
            <w:pPr>
              <w:spacing w:before="100" w:beforeAutospacing="1" w:after="100" w:afterAutospacing="1" w:line="240" w:lineRule="auto"/>
              <w:jc w:val="both"/>
              <w:rPr>
                <w:rFonts w:ascii="Times New Roman" w:hAnsi="Times New Roman"/>
                <w:color w:val="000000"/>
                <w:sz w:val="18"/>
                <w:szCs w:val="18"/>
                <w:lang w:eastAsia="hr-HR"/>
              </w:rPr>
            </w:pPr>
            <w:r w:rsidRPr="000A4E11">
              <w:rPr>
                <w:rFonts w:ascii="Times New Roman" w:hAnsi="Times New Roman"/>
                <w:color w:val="000000"/>
                <w:sz w:val="18"/>
                <w:szCs w:val="18"/>
                <w:lang w:eastAsia="hr-HR"/>
              </w:rPr>
              <w:t>120,00</w:t>
            </w:r>
          </w:p>
        </w:tc>
      </w:tr>
      <w:tr w:rsidR="008224D8" w14:paraId="76732F01" w14:textId="77777777" w:rsidTr="002E2C06">
        <w:tc>
          <w:tcPr>
            <w:tcW w:w="847" w:type="dxa"/>
          </w:tcPr>
          <w:p w14:paraId="62D03B91" w14:textId="77777777" w:rsidR="008224D8" w:rsidRPr="008224D8" w:rsidRDefault="008224D8" w:rsidP="008224D8">
            <w:pPr>
              <w:spacing w:before="100" w:beforeAutospacing="1" w:after="100" w:afterAutospacing="1" w:line="240" w:lineRule="auto"/>
              <w:jc w:val="both"/>
              <w:rPr>
                <w:rFonts w:ascii="Times New Roman" w:hAnsi="Times New Roman"/>
                <w:sz w:val="18"/>
                <w:szCs w:val="18"/>
              </w:rPr>
            </w:pPr>
          </w:p>
        </w:tc>
        <w:tc>
          <w:tcPr>
            <w:tcW w:w="3684" w:type="dxa"/>
          </w:tcPr>
          <w:p w14:paraId="698A15DF" w14:textId="4BA5835F" w:rsidR="008224D8" w:rsidRPr="008224D8" w:rsidRDefault="008224D8" w:rsidP="008224D8">
            <w:pPr>
              <w:spacing w:before="100" w:beforeAutospacing="1" w:after="100" w:afterAutospacing="1" w:line="240" w:lineRule="auto"/>
              <w:jc w:val="both"/>
              <w:rPr>
                <w:rFonts w:ascii="Times New Roman" w:hAnsi="Times New Roman"/>
                <w:sz w:val="18"/>
                <w:szCs w:val="18"/>
              </w:rPr>
            </w:pPr>
            <w:r w:rsidRPr="000A4E11">
              <w:rPr>
                <w:rFonts w:ascii="Times New Roman" w:hAnsi="Times New Roman"/>
                <w:color w:val="000000"/>
                <w:sz w:val="18"/>
                <w:szCs w:val="18"/>
                <w:lang w:eastAsia="hr-HR"/>
              </w:rPr>
              <w:t>Smještaj</w:t>
            </w:r>
          </w:p>
        </w:tc>
        <w:tc>
          <w:tcPr>
            <w:tcW w:w="2552" w:type="dxa"/>
          </w:tcPr>
          <w:p w14:paraId="7175F0F0" w14:textId="1D5177A9" w:rsidR="008224D8" w:rsidRPr="008224D8" w:rsidRDefault="008224D8" w:rsidP="008224D8">
            <w:pPr>
              <w:spacing w:before="100" w:beforeAutospacing="1" w:after="100" w:afterAutospacing="1" w:line="240" w:lineRule="auto"/>
              <w:jc w:val="both"/>
              <w:rPr>
                <w:rFonts w:ascii="Times New Roman" w:hAnsi="Times New Roman"/>
                <w:sz w:val="18"/>
                <w:szCs w:val="18"/>
              </w:rPr>
            </w:pPr>
            <w:r>
              <w:rPr>
                <w:rFonts w:ascii="Times New Roman" w:hAnsi="Times New Roman"/>
                <w:color w:val="000000"/>
                <w:sz w:val="18"/>
                <w:szCs w:val="18"/>
                <w:lang w:eastAsia="hr-HR"/>
              </w:rPr>
              <w:t>k</w:t>
            </w:r>
            <w:r w:rsidRPr="000A4E11">
              <w:rPr>
                <w:rFonts w:ascii="Times New Roman" w:hAnsi="Times New Roman"/>
                <w:color w:val="000000"/>
                <w:sz w:val="18"/>
                <w:szCs w:val="18"/>
                <w:lang w:eastAsia="hr-HR"/>
              </w:rPr>
              <w:t>ateg</w:t>
            </w:r>
            <w:r>
              <w:rPr>
                <w:rFonts w:ascii="Times New Roman" w:hAnsi="Times New Roman"/>
                <w:color w:val="000000"/>
                <w:sz w:val="18"/>
                <w:szCs w:val="18"/>
                <w:lang w:eastAsia="hr-HR"/>
              </w:rPr>
              <w:t>orija smještaja</w:t>
            </w:r>
          </w:p>
        </w:tc>
        <w:tc>
          <w:tcPr>
            <w:tcW w:w="6911" w:type="dxa"/>
          </w:tcPr>
          <w:p w14:paraId="54A91ABA" w14:textId="54316777" w:rsidR="008224D8" w:rsidRPr="008224D8" w:rsidRDefault="008224D8" w:rsidP="008224D8">
            <w:pPr>
              <w:spacing w:before="100" w:beforeAutospacing="1" w:after="100" w:afterAutospacing="1" w:line="240" w:lineRule="auto"/>
              <w:jc w:val="both"/>
              <w:rPr>
                <w:rFonts w:ascii="Times New Roman" w:hAnsi="Times New Roman"/>
                <w:sz w:val="18"/>
                <w:szCs w:val="18"/>
              </w:rPr>
            </w:pPr>
            <w:r w:rsidRPr="000A4E11">
              <w:rPr>
                <w:rFonts w:ascii="Times New Roman" w:hAnsi="Times New Roman"/>
                <w:color w:val="000000"/>
                <w:sz w:val="18"/>
                <w:szCs w:val="18"/>
                <w:lang w:eastAsia="hr-HR"/>
              </w:rPr>
              <w:t>Priznati trošak noćenja je do kategorije hotela s četiri zvjezdice</w:t>
            </w:r>
          </w:p>
        </w:tc>
      </w:tr>
      <w:tr w:rsidR="008224D8" w14:paraId="5E052CF1" w14:textId="77777777" w:rsidTr="002E2C06">
        <w:tc>
          <w:tcPr>
            <w:tcW w:w="847" w:type="dxa"/>
          </w:tcPr>
          <w:p w14:paraId="3BDF269C" w14:textId="77777777" w:rsidR="008224D8" w:rsidRPr="008224D8" w:rsidRDefault="008224D8" w:rsidP="008224D8">
            <w:pPr>
              <w:spacing w:before="100" w:beforeAutospacing="1" w:after="100" w:afterAutospacing="1" w:line="240" w:lineRule="auto"/>
              <w:jc w:val="both"/>
              <w:rPr>
                <w:rFonts w:ascii="Times New Roman" w:hAnsi="Times New Roman"/>
                <w:sz w:val="18"/>
                <w:szCs w:val="18"/>
              </w:rPr>
            </w:pPr>
          </w:p>
        </w:tc>
        <w:tc>
          <w:tcPr>
            <w:tcW w:w="3684" w:type="dxa"/>
          </w:tcPr>
          <w:p w14:paraId="7AD90237" w14:textId="6330A71A" w:rsidR="008224D8" w:rsidRPr="008224D8" w:rsidRDefault="008224D8" w:rsidP="008224D8">
            <w:pPr>
              <w:spacing w:before="100" w:beforeAutospacing="1" w:after="100" w:afterAutospacing="1" w:line="240" w:lineRule="auto"/>
              <w:jc w:val="both"/>
              <w:rPr>
                <w:rFonts w:ascii="Times New Roman" w:hAnsi="Times New Roman"/>
                <w:sz w:val="18"/>
                <w:szCs w:val="18"/>
              </w:rPr>
            </w:pPr>
            <w:r w:rsidRPr="000A4E11">
              <w:rPr>
                <w:rFonts w:ascii="Times New Roman" w:hAnsi="Times New Roman"/>
                <w:color w:val="000000"/>
                <w:sz w:val="18"/>
                <w:szCs w:val="18"/>
                <w:lang w:eastAsia="hr-HR"/>
              </w:rPr>
              <w:t>Dnevnica</w:t>
            </w:r>
            <w:r w:rsidR="00147998">
              <w:rPr>
                <w:rFonts w:ascii="Times New Roman" w:hAnsi="Times New Roman"/>
                <w:color w:val="000000"/>
                <w:sz w:val="18"/>
                <w:szCs w:val="18"/>
                <w:lang w:eastAsia="hr-HR"/>
              </w:rPr>
              <w:t>/</w:t>
            </w:r>
            <w:r w:rsidR="00147998" w:rsidRPr="00147998">
              <w:rPr>
                <w:rFonts w:ascii="Times New Roman" w:hAnsi="Times New Roman"/>
                <w:color w:val="000000"/>
                <w:sz w:val="18"/>
                <w:szCs w:val="18"/>
                <w:lang w:eastAsia="hr-HR"/>
              </w:rPr>
              <w:t>putni troškovi za zaposlenike, članove i volontere LAG-a</w:t>
            </w:r>
          </w:p>
        </w:tc>
        <w:tc>
          <w:tcPr>
            <w:tcW w:w="2552" w:type="dxa"/>
          </w:tcPr>
          <w:p w14:paraId="7236E61F" w14:textId="5C878CF0" w:rsidR="008224D8" w:rsidRPr="008224D8" w:rsidRDefault="008224D8" w:rsidP="008224D8">
            <w:pPr>
              <w:spacing w:before="100" w:beforeAutospacing="1" w:after="100" w:afterAutospacing="1" w:line="240" w:lineRule="auto"/>
              <w:jc w:val="both"/>
              <w:rPr>
                <w:rFonts w:ascii="Times New Roman" w:hAnsi="Times New Roman"/>
                <w:sz w:val="18"/>
                <w:szCs w:val="18"/>
              </w:rPr>
            </w:pPr>
          </w:p>
        </w:tc>
        <w:tc>
          <w:tcPr>
            <w:tcW w:w="6911" w:type="dxa"/>
          </w:tcPr>
          <w:p w14:paraId="3F273410" w14:textId="6C040E67" w:rsidR="008224D8" w:rsidRPr="008224D8" w:rsidRDefault="008224D8" w:rsidP="008224D8">
            <w:pPr>
              <w:spacing w:before="100" w:beforeAutospacing="1" w:after="100" w:afterAutospacing="1" w:line="240" w:lineRule="auto"/>
              <w:jc w:val="both"/>
              <w:rPr>
                <w:rFonts w:ascii="Times New Roman" w:hAnsi="Times New Roman"/>
                <w:sz w:val="18"/>
                <w:szCs w:val="18"/>
              </w:rPr>
            </w:pPr>
            <w:r w:rsidRPr="00687030">
              <w:rPr>
                <w:rFonts w:ascii="Times New Roman" w:hAnsi="Times New Roman"/>
                <w:color w:val="000000"/>
                <w:sz w:val="18"/>
                <w:szCs w:val="18"/>
                <w:lang w:eastAsia="hr-HR"/>
              </w:rPr>
              <w:t>U skladu s važećim odredbama o neoporezivim primicima važećeg pravilnika o porezu na dohodak.</w:t>
            </w:r>
          </w:p>
        </w:tc>
      </w:tr>
    </w:tbl>
    <w:p w14:paraId="761C7EDC" w14:textId="77777777" w:rsidR="008224D8" w:rsidRDefault="008224D8" w:rsidP="0092306E">
      <w:pPr>
        <w:spacing w:after="120" w:line="240" w:lineRule="auto"/>
        <w:contextualSpacing/>
        <w:jc w:val="both"/>
        <w:rPr>
          <w:rFonts w:ascii="Times New Roman" w:hAnsi="Times New Roman"/>
          <w:bCs/>
          <w:sz w:val="20"/>
          <w:szCs w:val="20"/>
        </w:rPr>
      </w:pPr>
    </w:p>
    <w:p w14:paraId="290FBE5A" w14:textId="3CC64B7E" w:rsidR="008224D8" w:rsidRDefault="008224D8" w:rsidP="0092306E">
      <w:pPr>
        <w:spacing w:after="120" w:line="240" w:lineRule="auto"/>
        <w:contextualSpacing/>
        <w:jc w:val="both"/>
        <w:rPr>
          <w:rFonts w:ascii="Times New Roman" w:hAnsi="Times New Roman"/>
          <w:b/>
          <w:sz w:val="20"/>
          <w:szCs w:val="20"/>
        </w:rPr>
      </w:pPr>
      <w:r w:rsidRPr="008224D8">
        <w:rPr>
          <w:rFonts w:ascii="Times New Roman" w:hAnsi="Times New Roman"/>
          <w:b/>
          <w:sz w:val="20"/>
          <w:szCs w:val="20"/>
        </w:rPr>
        <w:t>Obrazloženje:</w:t>
      </w:r>
    </w:p>
    <w:p w14:paraId="1E4AF24C" w14:textId="77777777" w:rsidR="00F84B03" w:rsidRPr="008224D8" w:rsidRDefault="00F84B03" w:rsidP="0092306E">
      <w:pPr>
        <w:spacing w:after="120" w:line="240" w:lineRule="auto"/>
        <w:contextualSpacing/>
        <w:jc w:val="both"/>
        <w:rPr>
          <w:rFonts w:ascii="Times New Roman" w:hAnsi="Times New Roman"/>
          <w:b/>
          <w:sz w:val="20"/>
          <w:szCs w:val="20"/>
        </w:rPr>
      </w:pPr>
    </w:p>
    <w:p w14:paraId="1C947641" w14:textId="065B1414" w:rsidR="005E022F" w:rsidRPr="00290173" w:rsidRDefault="005E022F" w:rsidP="0092306E">
      <w:pPr>
        <w:spacing w:after="120" w:line="240" w:lineRule="auto"/>
        <w:contextualSpacing/>
        <w:jc w:val="both"/>
        <w:rPr>
          <w:rFonts w:ascii="Times New Roman" w:hAnsi="Times New Roman"/>
          <w:bCs/>
          <w:sz w:val="20"/>
          <w:szCs w:val="20"/>
        </w:rPr>
      </w:pPr>
      <w:r w:rsidRPr="00290173">
        <w:rPr>
          <w:rFonts w:ascii="Times New Roman" w:hAnsi="Times New Roman"/>
          <w:bCs/>
          <w:sz w:val="20"/>
          <w:szCs w:val="20"/>
        </w:rPr>
        <w:t>Za sve troškove kod kojih nije propisano ograničenje po mjernoj jedinici iz Tablice 1,</w:t>
      </w:r>
      <w:r w:rsidR="00315ECF">
        <w:rPr>
          <w:rFonts w:ascii="Times New Roman" w:hAnsi="Times New Roman"/>
          <w:bCs/>
          <w:sz w:val="20"/>
          <w:szCs w:val="20"/>
        </w:rPr>
        <w:t xml:space="preserve"> </w:t>
      </w:r>
      <w:r w:rsidRPr="00290173">
        <w:rPr>
          <w:rFonts w:ascii="Times New Roman" w:hAnsi="Times New Roman"/>
          <w:bCs/>
          <w:sz w:val="20"/>
          <w:szCs w:val="20"/>
        </w:rPr>
        <w:t xml:space="preserve">potrebno je prikupiti </w:t>
      </w:r>
      <w:r w:rsidR="006F1C33">
        <w:rPr>
          <w:rFonts w:ascii="Times New Roman" w:hAnsi="Times New Roman"/>
          <w:bCs/>
          <w:sz w:val="20"/>
          <w:szCs w:val="20"/>
        </w:rPr>
        <w:t>tri</w:t>
      </w:r>
      <w:r w:rsidRPr="00290173">
        <w:rPr>
          <w:rFonts w:ascii="Times New Roman" w:hAnsi="Times New Roman"/>
          <w:bCs/>
          <w:sz w:val="20"/>
          <w:szCs w:val="20"/>
        </w:rPr>
        <w:t xml:space="preserve"> sadržajno usporedive ponude i učitati ih prilikom podnošenja Zahtjeva za isplatu. </w:t>
      </w:r>
      <w:r w:rsidR="00315ECF">
        <w:rPr>
          <w:rFonts w:ascii="Times New Roman" w:hAnsi="Times New Roman"/>
          <w:bCs/>
          <w:sz w:val="20"/>
          <w:szCs w:val="20"/>
        </w:rPr>
        <w:t>U</w:t>
      </w:r>
      <w:r w:rsidRPr="00290173">
        <w:rPr>
          <w:rFonts w:ascii="Times New Roman" w:hAnsi="Times New Roman"/>
          <w:bCs/>
          <w:sz w:val="20"/>
          <w:szCs w:val="20"/>
        </w:rPr>
        <w:t xml:space="preserve"> slučaju ako trošak prelazi propisano ograničenje po mjernoj jedinici iz Tablice 1, bit će priznat samo iznos troška do propisanog ograničenja, odnosno razliku do punog iznosa troška LAG mora financirati vlastitim sredstvima.</w:t>
      </w:r>
    </w:p>
    <w:p w14:paraId="53E8520F" w14:textId="77777777" w:rsidR="00290173" w:rsidRPr="00290173" w:rsidRDefault="005E022F" w:rsidP="00290173">
      <w:pPr>
        <w:jc w:val="both"/>
        <w:rPr>
          <w:rFonts w:ascii="Times New Roman" w:hAnsi="Times New Roman"/>
          <w:sz w:val="20"/>
          <w:szCs w:val="20"/>
        </w:rPr>
      </w:pPr>
      <w:r w:rsidRPr="000B777B">
        <w:rPr>
          <w:rFonts w:ascii="Times New Roman" w:hAnsi="Times New Roman"/>
          <w:sz w:val="20"/>
          <w:szCs w:val="20"/>
        </w:rPr>
        <w:lastRenderedPageBreak/>
        <w:t>U slučaju kada je potrebno prikupiti tri sadržajno usporedive ponude</w:t>
      </w:r>
      <w:r w:rsidR="00290173">
        <w:rPr>
          <w:rFonts w:ascii="Times New Roman" w:hAnsi="Times New Roman"/>
          <w:sz w:val="20"/>
          <w:szCs w:val="20"/>
        </w:rPr>
        <w:t xml:space="preserve">, </w:t>
      </w:r>
      <w:r w:rsidR="00290173" w:rsidRPr="00290173">
        <w:rPr>
          <w:rFonts w:ascii="Times New Roman" w:hAnsi="Times New Roman"/>
          <w:sz w:val="20"/>
          <w:szCs w:val="20"/>
        </w:rPr>
        <w:t>iste je potrebno učitati prilikom podnošenja Zahtjeva za isplatu sa jasno odabranom cjenovno najjeftinijom ponudom.</w:t>
      </w:r>
    </w:p>
    <w:p w14:paraId="365DF31A" w14:textId="2E5AC19D" w:rsidR="00290173" w:rsidRPr="00290173" w:rsidRDefault="00290173" w:rsidP="00290173">
      <w:pPr>
        <w:jc w:val="both"/>
        <w:rPr>
          <w:rFonts w:ascii="Times New Roman" w:hAnsi="Times New Roman"/>
          <w:i/>
          <w:iCs/>
          <w:sz w:val="20"/>
          <w:szCs w:val="20"/>
        </w:rPr>
      </w:pPr>
      <w:r w:rsidRPr="00290173">
        <w:rPr>
          <w:rFonts w:ascii="Times New Roman" w:hAnsi="Times New Roman"/>
          <w:i/>
          <w:iCs/>
          <w:sz w:val="20"/>
          <w:szCs w:val="20"/>
        </w:rPr>
        <w:t>Ponude moraju biti na hrvatskom ili engleskom jeziku</w:t>
      </w:r>
      <w:r w:rsidR="00AF2A46" w:rsidRPr="00AF2A46">
        <w:t xml:space="preserve"> </w:t>
      </w:r>
      <w:r w:rsidR="00AF2A46" w:rsidRPr="00AF2A46">
        <w:rPr>
          <w:rFonts w:ascii="Times New Roman" w:hAnsi="Times New Roman"/>
          <w:i/>
          <w:iCs/>
          <w:sz w:val="20"/>
          <w:szCs w:val="20"/>
        </w:rPr>
        <w:t>i latiničnom pismu</w:t>
      </w:r>
      <w:r w:rsidRPr="00290173">
        <w:rPr>
          <w:rFonts w:ascii="Times New Roman" w:hAnsi="Times New Roman"/>
          <w:i/>
          <w:iCs/>
          <w:sz w:val="20"/>
          <w:szCs w:val="20"/>
        </w:rPr>
        <w:t xml:space="preserve"> </w:t>
      </w:r>
      <w:r w:rsidR="00930AD4">
        <w:rPr>
          <w:rFonts w:ascii="Times New Roman" w:hAnsi="Times New Roman"/>
          <w:i/>
          <w:iCs/>
          <w:sz w:val="20"/>
          <w:szCs w:val="20"/>
        </w:rPr>
        <w:t>te</w:t>
      </w:r>
      <w:r w:rsidRPr="00290173">
        <w:rPr>
          <w:rFonts w:ascii="Times New Roman" w:hAnsi="Times New Roman"/>
          <w:i/>
          <w:iCs/>
          <w:sz w:val="20"/>
          <w:szCs w:val="20"/>
        </w:rPr>
        <w:t xml:space="preserve"> potpisane od ponuditelja. Ako ponuda nije na hrvatskom ili engleskom jeziku, mora biti prevedena na hrvatski jezik</w:t>
      </w:r>
      <w:r w:rsidR="00AF2A46">
        <w:rPr>
          <w:rFonts w:ascii="Times New Roman" w:hAnsi="Times New Roman"/>
          <w:i/>
          <w:iCs/>
          <w:sz w:val="20"/>
          <w:szCs w:val="20"/>
        </w:rPr>
        <w:t xml:space="preserve"> te ovjerena</w:t>
      </w:r>
      <w:r w:rsidRPr="00290173">
        <w:rPr>
          <w:rFonts w:ascii="Times New Roman" w:hAnsi="Times New Roman"/>
          <w:i/>
          <w:iCs/>
          <w:sz w:val="20"/>
          <w:szCs w:val="20"/>
        </w:rPr>
        <w:t xml:space="preserve"> od strane ovlaštenog sudskog tumača.</w:t>
      </w:r>
    </w:p>
    <w:p w14:paraId="33E892E2" w14:textId="2EECE77E" w:rsidR="005E022F" w:rsidRPr="004643CB" w:rsidRDefault="005E022F" w:rsidP="004643CB">
      <w:pPr>
        <w:jc w:val="both"/>
        <w:rPr>
          <w:rFonts w:ascii="Times New Roman" w:hAnsi="Times New Roman"/>
          <w:sz w:val="20"/>
          <w:szCs w:val="20"/>
        </w:rPr>
      </w:pPr>
    </w:p>
    <w:sectPr w:rsidR="005E022F" w:rsidRPr="004643CB" w:rsidSect="00B877A8">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E355" w16cex:dateUtc="2021-04-12T13: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F240E" w14:textId="77777777" w:rsidR="00552937" w:rsidRDefault="00552937" w:rsidP="005A4305">
      <w:pPr>
        <w:spacing w:after="0" w:line="240" w:lineRule="auto"/>
      </w:pPr>
      <w:r>
        <w:separator/>
      </w:r>
    </w:p>
  </w:endnote>
  <w:endnote w:type="continuationSeparator" w:id="0">
    <w:p w14:paraId="020DF7C3" w14:textId="77777777" w:rsidR="00552937" w:rsidRDefault="00552937" w:rsidP="005A4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7B981" w14:textId="77777777" w:rsidR="00552937" w:rsidRDefault="00552937" w:rsidP="005A4305">
      <w:pPr>
        <w:spacing w:after="0" w:line="240" w:lineRule="auto"/>
      </w:pPr>
      <w:r>
        <w:separator/>
      </w:r>
    </w:p>
  </w:footnote>
  <w:footnote w:type="continuationSeparator" w:id="0">
    <w:p w14:paraId="323E5FAA" w14:textId="77777777" w:rsidR="00552937" w:rsidRDefault="00552937" w:rsidP="005A4305">
      <w:pPr>
        <w:spacing w:after="0" w:line="240" w:lineRule="auto"/>
      </w:pPr>
      <w:r>
        <w:continuationSeparator/>
      </w:r>
    </w:p>
  </w:footnote>
  <w:footnote w:id="1">
    <w:p w14:paraId="5B9FBD7B" w14:textId="7C7E6F36" w:rsidR="00B01CF0" w:rsidRPr="00987970" w:rsidRDefault="00B01CF0" w:rsidP="004B7063">
      <w:pPr>
        <w:pStyle w:val="Tekstfusnote"/>
        <w:jc w:val="both"/>
        <w:rPr>
          <w:rStyle w:val="Referencafusnote"/>
          <w:rFonts w:ascii="Times New Roman" w:hAnsi="Times New Roman"/>
        </w:rPr>
      </w:pPr>
      <w:r w:rsidRPr="00987970">
        <w:rPr>
          <w:rStyle w:val="Referencafusnote"/>
          <w:rFonts w:ascii="Times New Roman" w:hAnsi="Times New Roman"/>
        </w:rPr>
        <w:footnoteRef/>
      </w:r>
      <w:r w:rsidRPr="00987970">
        <w:rPr>
          <w:rStyle w:val="Referencafusnote"/>
          <w:rFonts w:ascii="Times New Roman" w:hAnsi="Times New Roman"/>
        </w:rPr>
        <w:t xml:space="preserve"> PDV nije prihvatljiv ako je LAG u sustavu PDV-a</w:t>
      </w:r>
    </w:p>
  </w:footnote>
  <w:footnote w:id="2">
    <w:p w14:paraId="31F7DD82" w14:textId="2DB7BFDE" w:rsidR="00B01CF0" w:rsidRPr="00987970" w:rsidRDefault="00B01CF0" w:rsidP="00987970">
      <w:pPr>
        <w:pStyle w:val="Default"/>
        <w:jc w:val="both"/>
        <w:rPr>
          <w:rStyle w:val="Referencafusnote"/>
          <w:color w:val="auto"/>
          <w:sz w:val="20"/>
          <w:szCs w:val="20"/>
          <w:lang w:eastAsia="en-US"/>
        </w:rPr>
      </w:pPr>
      <w:r w:rsidRPr="00987970">
        <w:rPr>
          <w:rStyle w:val="Referencafusnote"/>
          <w:color w:val="auto"/>
          <w:sz w:val="20"/>
          <w:szCs w:val="20"/>
          <w:lang w:eastAsia="en-US"/>
        </w:rPr>
        <w:footnoteRef/>
      </w:r>
      <w:r w:rsidRPr="00987970">
        <w:rPr>
          <w:rStyle w:val="Referencafusnote"/>
          <w:color w:val="auto"/>
          <w:sz w:val="20"/>
          <w:szCs w:val="20"/>
          <w:lang w:eastAsia="en-US"/>
        </w:rPr>
        <w:t xml:space="preserve"> Troškovi su prihvatljivi za djelatnike LAG-a koji rade na izradi LRS 2023. – 2027. na temelju vremena provedenog u izradi iste i mogu iznositi najviše do 15.000 kn/mj. (BRUTO 2). Neizravni troškovi se izračunavaju fiksnom stopom od 15 % prihvatljivih izravnih troškova osoblja iz točke 19.1.1.1. Neizravni troškovi su: </w:t>
      </w:r>
      <w:r w:rsidR="00360C46" w:rsidRPr="00987970">
        <w:rPr>
          <w:rStyle w:val="Referencafusnote"/>
          <w:sz w:val="20"/>
          <w:szCs w:val="20"/>
        </w:rPr>
        <w:t xml:space="preserve">režijski izdaci ureda, </w:t>
      </w:r>
      <w:r w:rsidRPr="00987970">
        <w:rPr>
          <w:rStyle w:val="Referencafusnote"/>
          <w:color w:val="auto"/>
          <w:sz w:val="20"/>
          <w:szCs w:val="20"/>
          <w:lang w:eastAsia="en-US"/>
        </w:rPr>
        <w:t>naknade, poštarina i pristojbe za pribavljanje podataka i/ili potvrda potrebnih za izradu LRS LAG-a,</w:t>
      </w:r>
      <w:r w:rsidR="00360C46" w:rsidRPr="00987970">
        <w:rPr>
          <w:rStyle w:val="Referencafusnote"/>
          <w:sz w:val="20"/>
          <w:szCs w:val="20"/>
        </w:rPr>
        <w:t xml:space="preserve"> članarine u mrežnim organizacijama LAG-ova, </w:t>
      </w:r>
      <w:r w:rsidRPr="00987970">
        <w:rPr>
          <w:rStyle w:val="Referencafusnote"/>
          <w:color w:val="auto"/>
          <w:sz w:val="20"/>
          <w:szCs w:val="20"/>
          <w:lang w:eastAsia="en-US"/>
        </w:rPr>
        <w:t xml:space="preserve"> </w:t>
      </w:r>
      <w:r w:rsidR="00360C46" w:rsidRPr="00987970">
        <w:rPr>
          <w:rStyle w:val="Referencafusnote"/>
          <w:color w:val="auto"/>
          <w:sz w:val="20"/>
          <w:szCs w:val="20"/>
          <w:lang w:eastAsia="en-US"/>
        </w:rPr>
        <w:t xml:space="preserve">troškovi u vezi tekućeg rada LAG-a </w:t>
      </w:r>
      <w:r w:rsidR="00360C46" w:rsidRPr="00987970">
        <w:rPr>
          <w:rStyle w:val="Referencafusnote"/>
          <w:sz w:val="20"/>
          <w:szCs w:val="20"/>
        </w:rPr>
        <w:t xml:space="preserve">(sastanci </w:t>
      </w:r>
      <w:r w:rsidR="00CB67DC" w:rsidRPr="00987970">
        <w:rPr>
          <w:rStyle w:val="Referencafusnote"/>
          <w:sz w:val="20"/>
          <w:szCs w:val="20"/>
        </w:rPr>
        <w:t xml:space="preserve">koji nisu u vezi izrade LRS 2023. – 2027.) </w:t>
      </w:r>
    </w:p>
  </w:footnote>
  <w:footnote w:id="3">
    <w:p w14:paraId="5DFA6C96" w14:textId="7D4881A2" w:rsidR="00B01CF0" w:rsidRPr="00987970" w:rsidRDefault="00B01CF0">
      <w:pPr>
        <w:pStyle w:val="Tekstfusnote"/>
        <w:jc w:val="both"/>
        <w:rPr>
          <w:rStyle w:val="Referencafusnote"/>
          <w:rFonts w:ascii="Times New Roman" w:hAnsi="Times New Roman"/>
        </w:rPr>
      </w:pPr>
      <w:r w:rsidRPr="00987970">
        <w:rPr>
          <w:rStyle w:val="Referencafusnote"/>
          <w:rFonts w:ascii="Times New Roman" w:hAnsi="Times New Roman"/>
        </w:rPr>
        <w:footnoteRef/>
      </w:r>
      <w:r w:rsidRPr="00987970">
        <w:rPr>
          <w:rStyle w:val="Referencafusnote"/>
          <w:rFonts w:ascii="Times New Roman" w:hAnsi="Times New Roman"/>
        </w:rPr>
        <w:t xml:space="preserve"> Troškovi vanjskog stručnjaka se prikazuju kao jedan trošak (ponuda/račun), a obuhvaćaju troškove usluge, putne troškove, smještaj, prevođenje pisanih materijala te mogu sadržavati pripremu provedbe usluge koja može iznositi najviše 25% od ukupnog trajanja usluge</w:t>
      </w:r>
    </w:p>
  </w:footnote>
  <w:footnote w:id="4">
    <w:p w14:paraId="75F5CE7C" w14:textId="7A776347" w:rsidR="00B01CF0" w:rsidRPr="00987970" w:rsidRDefault="00B01CF0">
      <w:pPr>
        <w:pStyle w:val="Tekstfusnote"/>
        <w:jc w:val="both"/>
        <w:rPr>
          <w:rStyle w:val="Referencafusnote"/>
          <w:rFonts w:ascii="Times New Roman" w:hAnsi="Times New Roman"/>
        </w:rPr>
      </w:pPr>
      <w:r w:rsidRPr="00987970">
        <w:rPr>
          <w:rStyle w:val="Referencafusnote"/>
          <w:rFonts w:ascii="Times New Roman" w:hAnsi="Times New Roman"/>
        </w:rPr>
        <w:footnoteRef/>
      </w:r>
      <w:r w:rsidRPr="00987970">
        <w:rPr>
          <w:rStyle w:val="Referencafusnote"/>
          <w:rFonts w:ascii="Times New Roman" w:hAnsi="Times New Roman"/>
        </w:rPr>
        <w:t xml:space="preserve"> Događaj se mora provoditi unutar područja LAG-a. LAG-ovi koji u svome sastavu imaju i otoke mogu iznimno, uz dostavu objašnjenja prilikom podnošenja Zahtjeva za isplatu, organizirati/suorganizirati događaje i izvan područja LAG-a, a unutar područja županije/županija u kojoj se nalaze.</w:t>
      </w:r>
    </w:p>
  </w:footnote>
  <w:footnote w:id="5">
    <w:p w14:paraId="5840D885" w14:textId="648E3A6B" w:rsidR="00D47161" w:rsidRPr="00634B51" w:rsidRDefault="00D47161" w:rsidP="00987970">
      <w:pPr>
        <w:pStyle w:val="Tekstfusnote"/>
        <w:jc w:val="both"/>
      </w:pPr>
      <w:r w:rsidRPr="00634B51">
        <w:rPr>
          <w:rStyle w:val="Referencafusnote"/>
        </w:rPr>
        <w:footnoteRef/>
      </w:r>
      <w:r w:rsidRPr="00634B51">
        <w:t xml:space="preserve"> </w:t>
      </w:r>
      <w:r w:rsidRPr="00987970">
        <w:rPr>
          <w:rStyle w:val="Referencafusnote"/>
          <w:rFonts w:ascii="Times New Roman" w:hAnsi="Times New Roman"/>
        </w:rPr>
        <w:t>Najam ureda može iznositi najviše do 15 % ukupno dodijeljenog iznosa za tip operacije 19.1.1.</w:t>
      </w:r>
    </w:p>
  </w:footnote>
  <w:footnote w:id="6">
    <w:p w14:paraId="279E50C9" w14:textId="41903459" w:rsidR="00D47161" w:rsidRDefault="00D47161" w:rsidP="00987970">
      <w:pPr>
        <w:pStyle w:val="Tekstfusnote"/>
        <w:jc w:val="both"/>
      </w:pPr>
      <w:r w:rsidRPr="00634B51">
        <w:rPr>
          <w:rStyle w:val="Referencafusnote"/>
        </w:rPr>
        <w:footnoteRef/>
      </w:r>
      <w:r w:rsidRPr="00634B51">
        <w:t xml:space="preserve"> </w:t>
      </w:r>
      <w:r w:rsidRPr="00987970">
        <w:rPr>
          <w:rStyle w:val="Referencafusnote"/>
          <w:rFonts w:ascii="Times New Roman" w:hAnsi="Times New Roman"/>
        </w:rPr>
        <w:t xml:space="preserve">Uredska oprema i oprema u vezi ureda LAG-a (uključujući dostavu i montažu): ormar, polica, stol, stolica, </w:t>
      </w:r>
      <w:proofErr w:type="spellStart"/>
      <w:r w:rsidRPr="00987970">
        <w:rPr>
          <w:rStyle w:val="Referencafusnote"/>
          <w:rFonts w:ascii="Times New Roman" w:hAnsi="Times New Roman"/>
        </w:rPr>
        <w:t>ladičar</w:t>
      </w:r>
      <w:proofErr w:type="spellEnd"/>
      <w:r w:rsidRPr="00987970">
        <w:rPr>
          <w:rStyle w:val="Referencafusnote"/>
          <w:rFonts w:ascii="Times New Roman" w:hAnsi="Times New Roman"/>
        </w:rPr>
        <w:t xml:space="preserve">, vješalica za garderobu, telefonski aparat, mobilni telefonski aparat, fotokopirni stroj, faks uređaj, fotoaparat, kamera, uništavač/sjeckalica papira, stroj za uvezivanje, uređaj za plastificiranje, ploča za pisanje, </w:t>
      </w:r>
      <w:proofErr w:type="spellStart"/>
      <w:r w:rsidRPr="00987970">
        <w:rPr>
          <w:rStyle w:val="Referencafusnote"/>
          <w:rFonts w:ascii="Times New Roman" w:hAnsi="Times New Roman"/>
        </w:rPr>
        <w:t>flip</w:t>
      </w:r>
      <w:proofErr w:type="spellEnd"/>
      <w:r w:rsidRPr="00987970">
        <w:rPr>
          <w:rStyle w:val="Referencafusnote"/>
          <w:rFonts w:ascii="Times New Roman" w:hAnsi="Times New Roman"/>
        </w:rPr>
        <w:t xml:space="preserve"> </w:t>
      </w:r>
      <w:proofErr w:type="spellStart"/>
      <w:r w:rsidRPr="00987970">
        <w:rPr>
          <w:rStyle w:val="Referencafusnote"/>
          <w:rFonts w:ascii="Times New Roman" w:hAnsi="Times New Roman"/>
        </w:rPr>
        <w:t>chart</w:t>
      </w:r>
      <w:proofErr w:type="spellEnd"/>
      <w:r w:rsidRPr="00987970">
        <w:rPr>
          <w:rStyle w:val="Referencafusnote"/>
          <w:rFonts w:ascii="Times New Roman" w:hAnsi="Times New Roman"/>
        </w:rPr>
        <w:t>, klima uređaj, radijator, peć za grijanje, zavjese, tepih, rasvjetna tijela i druga uredska oprema s istom namjenom.</w:t>
      </w:r>
    </w:p>
  </w:footnote>
  <w:footnote w:id="7">
    <w:p w14:paraId="426638BA" w14:textId="430B06D0" w:rsidR="00D47161" w:rsidRPr="00987970" w:rsidRDefault="00D47161">
      <w:pPr>
        <w:pStyle w:val="Tekstfusnote"/>
        <w:rPr>
          <w:sz w:val="22"/>
          <w:szCs w:val="22"/>
        </w:rPr>
      </w:pPr>
      <w:r w:rsidRPr="00987970">
        <w:rPr>
          <w:rStyle w:val="Referencafusnote"/>
          <w:sz w:val="22"/>
          <w:szCs w:val="22"/>
        </w:rPr>
        <w:footnoteRef/>
      </w:r>
      <w:r w:rsidRPr="00987970">
        <w:rPr>
          <w:sz w:val="22"/>
          <w:szCs w:val="22"/>
        </w:rPr>
        <w:t xml:space="preserve"> </w:t>
      </w:r>
      <w:r w:rsidR="00757255" w:rsidRPr="00987970">
        <w:rPr>
          <w:rStyle w:val="Referencafusnote"/>
          <w:rFonts w:ascii="Times New Roman" w:hAnsi="Times New Roman"/>
        </w:rPr>
        <w:t xml:space="preserve">Računalna (elektronička) oprema (uključujući dostavu i montažu): stolno računalo, dijelovi stolnog računala, prijenosno računalo i oprema, prijenosni čvrsti disk, </w:t>
      </w:r>
      <w:proofErr w:type="spellStart"/>
      <w:r w:rsidR="00757255" w:rsidRPr="00987970">
        <w:rPr>
          <w:rStyle w:val="Referencafusnote"/>
          <w:rFonts w:ascii="Times New Roman" w:hAnsi="Times New Roman"/>
        </w:rPr>
        <w:t>tablet</w:t>
      </w:r>
      <w:proofErr w:type="spellEnd"/>
      <w:r w:rsidR="00757255" w:rsidRPr="00987970">
        <w:rPr>
          <w:rStyle w:val="Referencafusnote"/>
          <w:rFonts w:ascii="Times New Roman" w:hAnsi="Times New Roman"/>
        </w:rPr>
        <w:t xml:space="preserve"> računalo i oprema, memorijska kartica, multifunkcijski uređaj (fotokopirni uređaj, fax, pisač, skener), pisač, skener, UPS uređaj, projektor uključujući i platno za projekciju, oprema za održavanje video konferencija.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825"/>
    <w:multiLevelType w:val="hybridMultilevel"/>
    <w:tmpl w:val="682013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2C13D8"/>
    <w:multiLevelType w:val="hybridMultilevel"/>
    <w:tmpl w:val="F042C996"/>
    <w:lvl w:ilvl="0" w:tplc="579C698C">
      <w:start w:val="19"/>
      <w:numFmt w:val="bullet"/>
      <w:lvlText w:val="-"/>
      <w:lvlJc w:val="left"/>
      <w:pPr>
        <w:ind w:left="1440" w:hanging="360"/>
      </w:pPr>
      <w:rPr>
        <w:rFonts w:ascii="Times New Roman" w:eastAsia="Times New Roman" w:hAnsi="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55B2FAB"/>
    <w:multiLevelType w:val="hybridMultilevel"/>
    <w:tmpl w:val="D1EE52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71F248E"/>
    <w:multiLevelType w:val="hybridMultilevel"/>
    <w:tmpl w:val="30B051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0024DC"/>
    <w:multiLevelType w:val="hybridMultilevel"/>
    <w:tmpl w:val="0CE292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0C54568"/>
    <w:multiLevelType w:val="hybridMultilevel"/>
    <w:tmpl w:val="B7802A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3627833"/>
    <w:multiLevelType w:val="hybridMultilevel"/>
    <w:tmpl w:val="4058E7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61D4162"/>
    <w:multiLevelType w:val="hybridMultilevel"/>
    <w:tmpl w:val="2F403A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FCB679E"/>
    <w:multiLevelType w:val="hybridMultilevel"/>
    <w:tmpl w:val="C42449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D86192C"/>
    <w:multiLevelType w:val="hybridMultilevel"/>
    <w:tmpl w:val="E2625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DD323AF"/>
    <w:multiLevelType w:val="hybridMultilevel"/>
    <w:tmpl w:val="61AA2E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813009C"/>
    <w:multiLevelType w:val="hybridMultilevel"/>
    <w:tmpl w:val="1B3E8D8A"/>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682819E6"/>
    <w:multiLevelType w:val="hybridMultilevel"/>
    <w:tmpl w:val="931AC8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E1D1571"/>
    <w:multiLevelType w:val="hybridMultilevel"/>
    <w:tmpl w:val="91969944"/>
    <w:lvl w:ilvl="0" w:tplc="579C698C">
      <w:start w:val="19"/>
      <w:numFmt w:val="bullet"/>
      <w:lvlText w:val="-"/>
      <w:lvlJc w:val="left"/>
      <w:pPr>
        <w:ind w:left="1440" w:hanging="360"/>
      </w:pPr>
      <w:rPr>
        <w:rFonts w:ascii="Times New Roman" w:eastAsia="Times New Roman" w:hAnsi="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70220941"/>
    <w:multiLevelType w:val="hybridMultilevel"/>
    <w:tmpl w:val="5824D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04D166B"/>
    <w:multiLevelType w:val="hybridMultilevel"/>
    <w:tmpl w:val="622831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80E70FC"/>
    <w:multiLevelType w:val="hybridMultilevel"/>
    <w:tmpl w:val="71648F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E7D5AA2"/>
    <w:multiLevelType w:val="hybridMultilevel"/>
    <w:tmpl w:val="A3EE5B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5"/>
  </w:num>
  <w:num w:numId="4">
    <w:abstractNumId w:val="9"/>
  </w:num>
  <w:num w:numId="5">
    <w:abstractNumId w:val="7"/>
  </w:num>
  <w:num w:numId="6">
    <w:abstractNumId w:val="6"/>
  </w:num>
  <w:num w:numId="7">
    <w:abstractNumId w:val="3"/>
  </w:num>
  <w:num w:numId="8">
    <w:abstractNumId w:val="10"/>
  </w:num>
  <w:num w:numId="9">
    <w:abstractNumId w:val="8"/>
  </w:num>
  <w:num w:numId="10">
    <w:abstractNumId w:val="12"/>
  </w:num>
  <w:num w:numId="11">
    <w:abstractNumId w:val="4"/>
  </w:num>
  <w:num w:numId="12">
    <w:abstractNumId w:val="13"/>
  </w:num>
  <w:num w:numId="13">
    <w:abstractNumId w:val="11"/>
  </w:num>
  <w:num w:numId="14">
    <w:abstractNumId w:val="1"/>
  </w:num>
  <w:num w:numId="15">
    <w:abstractNumId w:val="17"/>
  </w:num>
  <w:num w:numId="16">
    <w:abstractNumId w:val="14"/>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7A8"/>
    <w:rsid w:val="000074A6"/>
    <w:rsid w:val="000106BA"/>
    <w:rsid w:val="00011787"/>
    <w:rsid w:val="00012DFB"/>
    <w:rsid w:val="00027A02"/>
    <w:rsid w:val="00034568"/>
    <w:rsid w:val="000544D4"/>
    <w:rsid w:val="00074EF8"/>
    <w:rsid w:val="000766C3"/>
    <w:rsid w:val="00076EA8"/>
    <w:rsid w:val="00077C6B"/>
    <w:rsid w:val="0008225B"/>
    <w:rsid w:val="000A4E11"/>
    <w:rsid w:val="000A4F78"/>
    <w:rsid w:val="000B3B5D"/>
    <w:rsid w:val="000B777B"/>
    <w:rsid w:val="000C5E73"/>
    <w:rsid w:val="000D65BF"/>
    <w:rsid w:val="00101A61"/>
    <w:rsid w:val="00103E5F"/>
    <w:rsid w:val="00104031"/>
    <w:rsid w:val="00111599"/>
    <w:rsid w:val="00116E1E"/>
    <w:rsid w:val="00116E40"/>
    <w:rsid w:val="0012172A"/>
    <w:rsid w:val="00121D06"/>
    <w:rsid w:val="00125DC1"/>
    <w:rsid w:val="00147998"/>
    <w:rsid w:val="00152471"/>
    <w:rsid w:val="00182E76"/>
    <w:rsid w:val="00186AEB"/>
    <w:rsid w:val="001B55D6"/>
    <w:rsid w:val="001E061C"/>
    <w:rsid w:val="001E4175"/>
    <w:rsid w:val="001E4CA8"/>
    <w:rsid w:val="001F4940"/>
    <w:rsid w:val="001F652D"/>
    <w:rsid w:val="001F69F5"/>
    <w:rsid w:val="0021357D"/>
    <w:rsid w:val="00232019"/>
    <w:rsid w:val="00234631"/>
    <w:rsid w:val="00246D20"/>
    <w:rsid w:val="00247881"/>
    <w:rsid w:val="0025185A"/>
    <w:rsid w:val="00253895"/>
    <w:rsid w:val="00253D00"/>
    <w:rsid w:val="00257734"/>
    <w:rsid w:val="0026278C"/>
    <w:rsid w:val="002716BB"/>
    <w:rsid w:val="00274808"/>
    <w:rsid w:val="002876C2"/>
    <w:rsid w:val="00290173"/>
    <w:rsid w:val="002C101A"/>
    <w:rsid w:val="002C381D"/>
    <w:rsid w:val="002C667F"/>
    <w:rsid w:val="002D07B3"/>
    <w:rsid w:val="002D3B18"/>
    <w:rsid w:val="002E2C06"/>
    <w:rsid w:val="002F33BA"/>
    <w:rsid w:val="00304E94"/>
    <w:rsid w:val="003057EC"/>
    <w:rsid w:val="00306807"/>
    <w:rsid w:val="0031106C"/>
    <w:rsid w:val="00315ECF"/>
    <w:rsid w:val="00320E3B"/>
    <w:rsid w:val="0032453C"/>
    <w:rsid w:val="0032602F"/>
    <w:rsid w:val="00326BC8"/>
    <w:rsid w:val="00341B96"/>
    <w:rsid w:val="00346081"/>
    <w:rsid w:val="00354955"/>
    <w:rsid w:val="00360C46"/>
    <w:rsid w:val="00360CB1"/>
    <w:rsid w:val="00372EE1"/>
    <w:rsid w:val="00376D21"/>
    <w:rsid w:val="003840B8"/>
    <w:rsid w:val="003A0739"/>
    <w:rsid w:val="003A0D4A"/>
    <w:rsid w:val="003A53C9"/>
    <w:rsid w:val="003A7F9C"/>
    <w:rsid w:val="003D136D"/>
    <w:rsid w:val="003E695B"/>
    <w:rsid w:val="003E758A"/>
    <w:rsid w:val="004010DB"/>
    <w:rsid w:val="0040342F"/>
    <w:rsid w:val="004204C9"/>
    <w:rsid w:val="00433231"/>
    <w:rsid w:val="00433590"/>
    <w:rsid w:val="00433FCD"/>
    <w:rsid w:val="00434732"/>
    <w:rsid w:val="004377FB"/>
    <w:rsid w:val="00440EDA"/>
    <w:rsid w:val="0044724C"/>
    <w:rsid w:val="004550D1"/>
    <w:rsid w:val="00456EFF"/>
    <w:rsid w:val="00461E94"/>
    <w:rsid w:val="004643CB"/>
    <w:rsid w:val="004660F9"/>
    <w:rsid w:val="00481204"/>
    <w:rsid w:val="004816F7"/>
    <w:rsid w:val="004818B5"/>
    <w:rsid w:val="00481B00"/>
    <w:rsid w:val="00482B07"/>
    <w:rsid w:val="004856E6"/>
    <w:rsid w:val="004A0495"/>
    <w:rsid w:val="004A0556"/>
    <w:rsid w:val="004A1038"/>
    <w:rsid w:val="004B045E"/>
    <w:rsid w:val="004B7063"/>
    <w:rsid w:val="004C4E97"/>
    <w:rsid w:val="004D01A3"/>
    <w:rsid w:val="004E6F4C"/>
    <w:rsid w:val="004F25DE"/>
    <w:rsid w:val="005015FE"/>
    <w:rsid w:val="0051073B"/>
    <w:rsid w:val="00511B8F"/>
    <w:rsid w:val="0051293F"/>
    <w:rsid w:val="00522F0C"/>
    <w:rsid w:val="00524117"/>
    <w:rsid w:val="00526B19"/>
    <w:rsid w:val="0053088F"/>
    <w:rsid w:val="00532BCD"/>
    <w:rsid w:val="00533AA2"/>
    <w:rsid w:val="0053674D"/>
    <w:rsid w:val="0054245D"/>
    <w:rsid w:val="00544779"/>
    <w:rsid w:val="005449C2"/>
    <w:rsid w:val="00552937"/>
    <w:rsid w:val="00555C98"/>
    <w:rsid w:val="005604FB"/>
    <w:rsid w:val="00562237"/>
    <w:rsid w:val="005A4305"/>
    <w:rsid w:val="005A7000"/>
    <w:rsid w:val="005B78A0"/>
    <w:rsid w:val="005D7AB2"/>
    <w:rsid w:val="005E022F"/>
    <w:rsid w:val="005E0AD9"/>
    <w:rsid w:val="005E14CF"/>
    <w:rsid w:val="005E639A"/>
    <w:rsid w:val="005F215A"/>
    <w:rsid w:val="005F7B9F"/>
    <w:rsid w:val="00600A7F"/>
    <w:rsid w:val="00606AA3"/>
    <w:rsid w:val="00632AB7"/>
    <w:rsid w:val="00634B51"/>
    <w:rsid w:val="006365C4"/>
    <w:rsid w:val="00642CB9"/>
    <w:rsid w:val="0067323E"/>
    <w:rsid w:val="00682D67"/>
    <w:rsid w:val="00687030"/>
    <w:rsid w:val="006A6462"/>
    <w:rsid w:val="006B6700"/>
    <w:rsid w:val="006C273E"/>
    <w:rsid w:val="006C71D7"/>
    <w:rsid w:val="006D062D"/>
    <w:rsid w:val="006D216A"/>
    <w:rsid w:val="006E3846"/>
    <w:rsid w:val="006F1C33"/>
    <w:rsid w:val="006F343C"/>
    <w:rsid w:val="007023F8"/>
    <w:rsid w:val="00711CC4"/>
    <w:rsid w:val="007246ED"/>
    <w:rsid w:val="00732511"/>
    <w:rsid w:val="00752285"/>
    <w:rsid w:val="00753F14"/>
    <w:rsid w:val="00755900"/>
    <w:rsid w:val="00757255"/>
    <w:rsid w:val="007633EF"/>
    <w:rsid w:val="00773B92"/>
    <w:rsid w:val="0077650E"/>
    <w:rsid w:val="0077680E"/>
    <w:rsid w:val="00784C57"/>
    <w:rsid w:val="0078754B"/>
    <w:rsid w:val="007B1B7E"/>
    <w:rsid w:val="007B29EF"/>
    <w:rsid w:val="007B5A8B"/>
    <w:rsid w:val="007C1007"/>
    <w:rsid w:val="007C72FF"/>
    <w:rsid w:val="007E3EEB"/>
    <w:rsid w:val="007E70DA"/>
    <w:rsid w:val="008224D8"/>
    <w:rsid w:val="00843056"/>
    <w:rsid w:val="00843A1A"/>
    <w:rsid w:val="00844B15"/>
    <w:rsid w:val="00850098"/>
    <w:rsid w:val="00854B18"/>
    <w:rsid w:val="00856223"/>
    <w:rsid w:val="00867D0A"/>
    <w:rsid w:val="00874629"/>
    <w:rsid w:val="008B1C44"/>
    <w:rsid w:val="008C0E42"/>
    <w:rsid w:val="008C1E89"/>
    <w:rsid w:val="008C2A79"/>
    <w:rsid w:val="008C2E1E"/>
    <w:rsid w:val="008C334D"/>
    <w:rsid w:val="008C688E"/>
    <w:rsid w:val="008D0FE5"/>
    <w:rsid w:val="008D6AB2"/>
    <w:rsid w:val="008E12ED"/>
    <w:rsid w:val="008F5022"/>
    <w:rsid w:val="008F525B"/>
    <w:rsid w:val="00903033"/>
    <w:rsid w:val="009033DC"/>
    <w:rsid w:val="009106D4"/>
    <w:rsid w:val="00916C63"/>
    <w:rsid w:val="0092306E"/>
    <w:rsid w:val="00925F98"/>
    <w:rsid w:val="00927337"/>
    <w:rsid w:val="00930AD4"/>
    <w:rsid w:val="00942A03"/>
    <w:rsid w:val="00944222"/>
    <w:rsid w:val="0095429A"/>
    <w:rsid w:val="00987970"/>
    <w:rsid w:val="00991248"/>
    <w:rsid w:val="009B2C07"/>
    <w:rsid w:val="009C39AE"/>
    <w:rsid w:val="009C5B21"/>
    <w:rsid w:val="009D0DDB"/>
    <w:rsid w:val="009E2134"/>
    <w:rsid w:val="009E46B1"/>
    <w:rsid w:val="009E5A21"/>
    <w:rsid w:val="009E5C52"/>
    <w:rsid w:val="009E76D8"/>
    <w:rsid w:val="009F4CDA"/>
    <w:rsid w:val="00A0515D"/>
    <w:rsid w:val="00A26D66"/>
    <w:rsid w:val="00A30C8D"/>
    <w:rsid w:val="00A3340A"/>
    <w:rsid w:val="00A36DFE"/>
    <w:rsid w:val="00A42E21"/>
    <w:rsid w:val="00A44D5B"/>
    <w:rsid w:val="00A53B11"/>
    <w:rsid w:val="00A615AE"/>
    <w:rsid w:val="00A63F13"/>
    <w:rsid w:val="00A71405"/>
    <w:rsid w:val="00A73FCC"/>
    <w:rsid w:val="00A84C90"/>
    <w:rsid w:val="00A8618F"/>
    <w:rsid w:val="00AA0431"/>
    <w:rsid w:val="00AB6028"/>
    <w:rsid w:val="00AC7679"/>
    <w:rsid w:val="00AD7A58"/>
    <w:rsid w:val="00AE69A9"/>
    <w:rsid w:val="00AE7948"/>
    <w:rsid w:val="00AF0C38"/>
    <w:rsid w:val="00AF2A46"/>
    <w:rsid w:val="00AF3632"/>
    <w:rsid w:val="00AF4865"/>
    <w:rsid w:val="00AF4BA1"/>
    <w:rsid w:val="00B00DFA"/>
    <w:rsid w:val="00B01407"/>
    <w:rsid w:val="00B01CF0"/>
    <w:rsid w:val="00B05A79"/>
    <w:rsid w:val="00B10429"/>
    <w:rsid w:val="00B10BFB"/>
    <w:rsid w:val="00B21DB5"/>
    <w:rsid w:val="00B2683E"/>
    <w:rsid w:val="00B277F3"/>
    <w:rsid w:val="00B41CD6"/>
    <w:rsid w:val="00B42496"/>
    <w:rsid w:val="00B670A5"/>
    <w:rsid w:val="00B70306"/>
    <w:rsid w:val="00B73976"/>
    <w:rsid w:val="00B812A6"/>
    <w:rsid w:val="00B82B72"/>
    <w:rsid w:val="00B877A8"/>
    <w:rsid w:val="00B90615"/>
    <w:rsid w:val="00B966C7"/>
    <w:rsid w:val="00B96C77"/>
    <w:rsid w:val="00BB3978"/>
    <w:rsid w:val="00BC1B5B"/>
    <w:rsid w:val="00BC26A4"/>
    <w:rsid w:val="00BE2074"/>
    <w:rsid w:val="00BE4EBC"/>
    <w:rsid w:val="00BF6B81"/>
    <w:rsid w:val="00C13219"/>
    <w:rsid w:val="00C20522"/>
    <w:rsid w:val="00C33715"/>
    <w:rsid w:val="00C33CF7"/>
    <w:rsid w:val="00C41711"/>
    <w:rsid w:val="00C8388B"/>
    <w:rsid w:val="00C83B28"/>
    <w:rsid w:val="00C842A7"/>
    <w:rsid w:val="00CB3CC1"/>
    <w:rsid w:val="00CB67DC"/>
    <w:rsid w:val="00CC44F6"/>
    <w:rsid w:val="00CD5FE1"/>
    <w:rsid w:val="00CD733B"/>
    <w:rsid w:val="00CE6BAF"/>
    <w:rsid w:val="00D0023D"/>
    <w:rsid w:val="00D1026E"/>
    <w:rsid w:val="00D23042"/>
    <w:rsid w:val="00D33FA4"/>
    <w:rsid w:val="00D45820"/>
    <w:rsid w:val="00D47161"/>
    <w:rsid w:val="00D62465"/>
    <w:rsid w:val="00D72EEF"/>
    <w:rsid w:val="00D7418A"/>
    <w:rsid w:val="00D74E9B"/>
    <w:rsid w:val="00DA2917"/>
    <w:rsid w:val="00DB0C07"/>
    <w:rsid w:val="00DC0006"/>
    <w:rsid w:val="00DC6D78"/>
    <w:rsid w:val="00DE3C99"/>
    <w:rsid w:val="00E01848"/>
    <w:rsid w:val="00E236E6"/>
    <w:rsid w:val="00E25089"/>
    <w:rsid w:val="00E25EB9"/>
    <w:rsid w:val="00E27901"/>
    <w:rsid w:val="00E41A04"/>
    <w:rsid w:val="00E535E9"/>
    <w:rsid w:val="00E56976"/>
    <w:rsid w:val="00E60E15"/>
    <w:rsid w:val="00E81BCE"/>
    <w:rsid w:val="00E92BF7"/>
    <w:rsid w:val="00E9654F"/>
    <w:rsid w:val="00EA4DD9"/>
    <w:rsid w:val="00ED26F4"/>
    <w:rsid w:val="00ED2B91"/>
    <w:rsid w:val="00ED3B2C"/>
    <w:rsid w:val="00ED56EC"/>
    <w:rsid w:val="00ED721B"/>
    <w:rsid w:val="00EF0D93"/>
    <w:rsid w:val="00F02C4E"/>
    <w:rsid w:val="00F03BA6"/>
    <w:rsid w:val="00F11018"/>
    <w:rsid w:val="00F22628"/>
    <w:rsid w:val="00F2430C"/>
    <w:rsid w:val="00F3542D"/>
    <w:rsid w:val="00F46674"/>
    <w:rsid w:val="00F5269B"/>
    <w:rsid w:val="00F53C16"/>
    <w:rsid w:val="00F72017"/>
    <w:rsid w:val="00F757A7"/>
    <w:rsid w:val="00F75B90"/>
    <w:rsid w:val="00F81CBD"/>
    <w:rsid w:val="00F84B03"/>
    <w:rsid w:val="00F84F61"/>
    <w:rsid w:val="00FC19E0"/>
    <w:rsid w:val="00FC3309"/>
    <w:rsid w:val="00FC5CED"/>
    <w:rsid w:val="00FC76F9"/>
    <w:rsid w:val="00FC7C3E"/>
    <w:rsid w:val="00FC7FA1"/>
    <w:rsid w:val="00FE3B1B"/>
    <w:rsid w:val="00FF5C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FC43D"/>
  <w15:docId w15:val="{70AF0749-BF24-40CE-863B-D93C5AD1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7A8"/>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99"/>
    <w:rsid w:val="00B8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99"/>
    <w:qFormat/>
    <w:rsid w:val="00CD5FE1"/>
    <w:pPr>
      <w:ind w:left="720"/>
      <w:contextualSpacing/>
    </w:pPr>
  </w:style>
  <w:style w:type="paragraph" w:styleId="Tekstfusnote">
    <w:name w:val="footnote text"/>
    <w:basedOn w:val="Normal"/>
    <w:link w:val="TekstfusnoteChar"/>
    <w:uiPriority w:val="99"/>
    <w:semiHidden/>
    <w:rsid w:val="005A4305"/>
    <w:pPr>
      <w:spacing w:after="0" w:line="240" w:lineRule="auto"/>
    </w:pPr>
    <w:rPr>
      <w:sz w:val="20"/>
      <w:szCs w:val="20"/>
    </w:rPr>
  </w:style>
  <w:style w:type="character" w:customStyle="1" w:styleId="TekstfusnoteChar">
    <w:name w:val="Tekst fusnote Char"/>
    <w:link w:val="Tekstfusnote"/>
    <w:uiPriority w:val="99"/>
    <w:semiHidden/>
    <w:locked/>
    <w:rsid w:val="005A4305"/>
    <w:rPr>
      <w:rFonts w:cs="Times New Roman"/>
      <w:sz w:val="20"/>
      <w:szCs w:val="20"/>
    </w:rPr>
  </w:style>
  <w:style w:type="character" w:styleId="Referencafusnote">
    <w:name w:val="footnote reference"/>
    <w:uiPriority w:val="99"/>
    <w:semiHidden/>
    <w:rsid w:val="005A4305"/>
    <w:rPr>
      <w:rFonts w:cs="Times New Roman"/>
      <w:vertAlign w:val="superscript"/>
    </w:rPr>
  </w:style>
  <w:style w:type="character" w:styleId="Referencakomentara">
    <w:name w:val="annotation reference"/>
    <w:uiPriority w:val="99"/>
    <w:semiHidden/>
    <w:rsid w:val="00CE6BAF"/>
    <w:rPr>
      <w:rFonts w:cs="Times New Roman"/>
      <w:sz w:val="16"/>
      <w:szCs w:val="16"/>
    </w:rPr>
  </w:style>
  <w:style w:type="paragraph" w:styleId="Tekstkomentara">
    <w:name w:val="annotation text"/>
    <w:basedOn w:val="Normal"/>
    <w:link w:val="TekstkomentaraChar"/>
    <w:uiPriority w:val="99"/>
    <w:rsid w:val="00CE6BAF"/>
    <w:pPr>
      <w:spacing w:line="240" w:lineRule="auto"/>
    </w:pPr>
    <w:rPr>
      <w:sz w:val="20"/>
      <w:szCs w:val="20"/>
    </w:rPr>
  </w:style>
  <w:style w:type="character" w:customStyle="1" w:styleId="TekstkomentaraChar">
    <w:name w:val="Tekst komentara Char"/>
    <w:link w:val="Tekstkomentara"/>
    <w:uiPriority w:val="99"/>
    <w:locked/>
    <w:rsid w:val="00CE6BAF"/>
    <w:rPr>
      <w:rFonts w:cs="Times New Roman"/>
      <w:sz w:val="20"/>
      <w:szCs w:val="20"/>
    </w:rPr>
  </w:style>
  <w:style w:type="paragraph" w:styleId="Predmetkomentara">
    <w:name w:val="annotation subject"/>
    <w:basedOn w:val="Tekstkomentara"/>
    <w:next w:val="Tekstkomentara"/>
    <w:link w:val="PredmetkomentaraChar"/>
    <w:uiPriority w:val="99"/>
    <w:semiHidden/>
    <w:rsid w:val="00CE6BAF"/>
    <w:rPr>
      <w:b/>
      <w:bCs/>
    </w:rPr>
  </w:style>
  <w:style w:type="character" w:customStyle="1" w:styleId="PredmetkomentaraChar">
    <w:name w:val="Predmet komentara Char"/>
    <w:link w:val="Predmetkomentara"/>
    <w:uiPriority w:val="99"/>
    <w:semiHidden/>
    <w:locked/>
    <w:rsid w:val="00CE6BAF"/>
    <w:rPr>
      <w:rFonts w:cs="Times New Roman"/>
      <w:b/>
      <w:bCs/>
      <w:sz w:val="20"/>
      <w:szCs w:val="20"/>
    </w:rPr>
  </w:style>
  <w:style w:type="paragraph" w:styleId="Tekstbalonia">
    <w:name w:val="Balloon Text"/>
    <w:basedOn w:val="Normal"/>
    <w:link w:val="TekstbaloniaChar"/>
    <w:uiPriority w:val="99"/>
    <w:semiHidden/>
    <w:rsid w:val="00CE6BAF"/>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locked/>
    <w:rsid w:val="00CE6BAF"/>
    <w:rPr>
      <w:rFonts w:ascii="Segoe UI" w:hAnsi="Segoe UI" w:cs="Segoe UI"/>
      <w:sz w:val="18"/>
      <w:szCs w:val="18"/>
    </w:rPr>
  </w:style>
  <w:style w:type="paragraph" w:styleId="Obinitekst">
    <w:name w:val="Plain Text"/>
    <w:basedOn w:val="Normal"/>
    <w:link w:val="ObinitekstChar"/>
    <w:uiPriority w:val="99"/>
    <w:rsid w:val="000544D4"/>
    <w:pPr>
      <w:spacing w:after="0" w:line="240" w:lineRule="auto"/>
    </w:pPr>
    <w:rPr>
      <w:szCs w:val="21"/>
    </w:rPr>
  </w:style>
  <w:style w:type="character" w:customStyle="1" w:styleId="ObinitekstChar">
    <w:name w:val="Obični tekst Char"/>
    <w:link w:val="Obinitekst"/>
    <w:uiPriority w:val="99"/>
    <w:locked/>
    <w:rsid w:val="000544D4"/>
    <w:rPr>
      <w:rFonts w:ascii="Calibri" w:hAnsi="Calibri" w:cs="Times New Roman"/>
      <w:sz w:val="21"/>
      <w:szCs w:val="21"/>
    </w:rPr>
  </w:style>
  <w:style w:type="paragraph" w:styleId="Revizija">
    <w:name w:val="Revision"/>
    <w:hidden/>
    <w:uiPriority w:val="99"/>
    <w:semiHidden/>
    <w:rsid w:val="006D216A"/>
    <w:rPr>
      <w:sz w:val="22"/>
      <w:szCs w:val="22"/>
      <w:lang w:eastAsia="en-US"/>
    </w:rPr>
  </w:style>
  <w:style w:type="paragraph" w:customStyle="1" w:styleId="Default">
    <w:name w:val="Default"/>
    <w:rsid w:val="00B01CF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740209">
      <w:marLeft w:val="0"/>
      <w:marRight w:val="0"/>
      <w:marTop w:val="0"/>
      <w:marBottom w:val="0"/>
      <w:divBdr>
        <w:top w:val="none" w:sz="0" w:space="0" w:color="auto"/>
        <w:left w:val="none" w:sz="0" w:space="0" w:color="auto"/>
        <w:bottom w:val="none" w:sz="0" w:space="0" w:color="auto"/>
        <w:right w:val="none" w:sz="0" w:space="0" w:color="auto"/>
      </w:divBdr>
    </w:div>
    <w:div w:id="769740210">
      <w:marLeft w:val="0"/>
      <w:marRight w:val="0"/>
      <w:marTop w:val="0"/>
      <w:marBottom w:val="0"/>
      <w:divBdr>
        <w:top w:val="none" w:sz="0" w:space="0" w:color="auto"/>
        <w:left w:val="none" w:sz="0" w:space="0" w:color="auto"/>
        <w:bottom w:val="none" w:sz="0" w:space="0" w:color="auto"/>
        <w:right w:val="none" w:sz="0" w:space="0" w:color="auto"/>
      </w:divBdr>
    </w:div>
    <w:div w:id="769740211">
      <w:marLeft w:val="0"/>
      <w:marRight w:val="0"/>
      <w:marTop w:val="0"/>
      <w:marBottom w:val="0"/>
      <w:divBdr>
        <w:top w:val="none" w:sz="0" w:space="0" w:color="auto"/>
        <w:left w:val="none" w:sz="0" w:space="0" w:color="auto"/>
        <w:bottom w:val="none" w:sz="0" w:space="0" w:color="auto"/>
        <w:right w:val="none" w:sz="0" w:space="0" w:color="auto"/>
      </w:divBdr>
    </w:div>
    <w:div w:id="769740212">
      <w:marLeft w:val="0"/>
      <w:marRight w:val="0"/>
      <w:marTop w:val="0"/>
      <w:marBottom w:val="0"/>
      <w:divBdr>
        <w:top w:val="none" w:sz="0" w:space="0" w:color="auto"/>
        <w:left w:val="none" w:sz="0" w:space="0" w:color="auto"/>
        <w:bottom w:val="none" w:sz="0" w:space="0" w:color="auto"/>
        <w:right w:val="none" w:sz="0" w:space="0" w:color="auto"/>
      </w:divBdr>
    </w:div>
    <w:div w:id="769740213">
      <w:marLeft w:val="0"/>
      <w:marRight w:val="0"/>
      <w:marTop w:val="0"/>
      <w:marBottom w:val="0"/>
      <w:divBdr>
        <w:top w:val="none" w:sz="0" w:space="0" w:color="auto"/>
        <w:left w:val="none" w:sz="0" w:space="0" w:color="auto"/>
        <w:bottom w:val="none" w:sz="0" w:space="0" w:color="auto"/>
        <w:right w:val="none" w:sz="0" w:space="0" w:color="auto"/>
      </w:divBdr>
    </w:div>
    <w:div w:id="769740214">
      <w:marLeft w:val="0"/>
      <w:marRight w:val="0"/>
      <w:marTop w:val="0"/>
      <w:marBottom w:val="0"/>
      <w:divBdr>
        <w:top w:val="none" w:sz="0" w:space="0" w:color="auto"/>
        <w:left w:val="none" w:sz="0" w:space="0" w:color="auto"/>
        <w:bottom w:val="none" w:sz="0" w:space="0" w:color="auto"/>
        <w:right w:val="none" w:sz="0" w:space="0" w:color="auto"/>
      </w:divBdr>
    </w:div>
    <w:div w:id="769740215">
      <w:marLeft w:val="0"/>
      <w:marRight w:val="0"/>
      <w:marTop w:val="0"/>
      <w:marBottom w:val="0"/>
      <w:divBdr>
        <w:top w:val="none" w:sz="0" w:space="0" w:color="auto"/>
        <w:left w:val="none" w:sz="0" w:space="0" w:color="auto"/>
        <w:bottom w:val="none" w:sz="0" w:space="0" w:color="auto"/>
        <w:right w:val="none" w:sz="0" w:space="0" w:color="auto"/>
      </w:divBdr>
    </w:div>
    <w:div w:id="769740216">
      <w:marLeft w:val="0"/>
      <w:marRight w:val="0"/>
      <w:marTop w:val="0"/>
      <w:marBottom w:val="0"/>
      <w:divBdr>
        <w:top w:val="none" w:sz="0" w:space="0" w:color="auto"/>
        <w:left w:val="none" w:sz="0" w:space="0" w:color="auto"/>
        <w:bottom w:val="none" w:sz="0" w:space="0" w:color="auto"/>
        <w:right w:val="none" w:sz="0" w:space="0" w:color="auto"/>
      </w:divBdr>
    </w:div>
    <w:div w:id="769740217">
      <w:marLeft w:val="0"/>
      <w:marRight w:val="0"/>
      <w:marTop w:val="0"/>
      <w:marBottom w:val="0"/>
      <w:divBdr>
        <w:top w:val="none" w:sz="0" w:space="0" w:color="auto"/>
        <w:left w:val="none" w:sz="0" w:space="0" w:color="auto"/>
        <w:bottom w:val="none" w:sz="0" w:space="0" w:color="auto"/>
        <w:right w:val="none" w:sz="0" w:space="0" w:color="auto"/>
      </w:divBdr>
    </w:div>
    <w:div w:id="769740218">
      <w:marLeft w:val="0"/>
      <w:marRight w:val="0"/>
      <w:marTop w:val="0"/>
      <w:marBottom w:val="0"/>
      <w:divBdr>
        <w:top w:val="none" w:sz="0" w:space="0" w:color="auto"/>
        <w:left w:val="none" w:sz="0" w:space="0" w:color="auto"/>
        <w:bottom w:val="none" w:sz="0" w:space="0" w:color="auto"/>
        <w:right w:val="none" w:sz="0" w:space="0" w:color="auto"/>
      </w:divBdr>
    </w:div>
    <w:div w:id="769740219">
      <w:marLeft w:val="0"/>
      <w:marRight w:val="0"/>
      <w:marTop w:val="0"/>
      <w:marBottom w:val="0"/>
      <w:divBdr>
        <w:top w:val="none" w:sz="0" w:space="0" w:color="auto"/>
        <w:left w:val="none" w:sz="0" w:space="0" w:color="auto"/>
        <w:bottom w:val="none" w:sz="0" w:space="0" w:color="auto"/>
        <w:right w:val="none" w:sz="0" w:space="0" w:color="auto"/>
      </w:divBdr>
    </w:div>
    <w:div w:id="769740220">
      <w:marLeft w:val="0"/>
      <w:marRight w:val="0"/>
      <w:marTop w:val="0"/>
      <w:marBottom w:val="0"/>
      <w:divBdr>
        <w:top w:val="none" w:sz="0" w:space="0" w:color="auto"/>
        <w:left w:val="none" w:sz="0" w:space="0" w:color="auto"/>
        <w:bottom w:val="none" w:sz="0" w:space="0" w:color="auto"/>
        <w:right w:val="none" w:sz="0" w:space="0" w:color="auto"/>
      </w:divBdr>
    </w:div>
    <w:div w:id="769740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3DF38-510A-4BA6-9E02-E5D11D3A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3135</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Ciprijan</dc:creator>
  <cp:keywords/>
  <dc:description/>
  <cp:lastModifiedBy>Ivan Ciprijan</cp:lastModifiedBy>
  <cp:revision>3</cp:revision>
  <cp:lastPrinted>2021-09-20T07:23:00Z</cp:lastPrinted>
  <dcterms:created xsi:type="dcterms:W3CDTF">2022-06-09T09:52:00Z</dcterms:created>
  <dcterms:modified xsi:type="dcterms:W3CDTF">2022-06-09T09:53:00Z</dcterms:modified>
</cp:coreProperties>
</file>