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47EC" w14:textId="30AFAACD" w:rsidR="006F269A" w:rsidRDefault="006F269A" w:rsidP="003F7F10">
      <w:pPr>
        <w:rPr>
          <w:b/>
          <w:bCs/>
        </w:rPr>
      </w:pPr>
    </w:p>
    <w:p w14:paraId="555D6EF0" w14:textId="2033C182" w:rsidR="006F269A" w:rsidRDefault="006F269A" w:rsidP="00E01A04">
      <w:pPr>
        <w:jc w:val="center"/>
        <w:rPr>
          <w:b/>
          <w:bCs/>
        </w:rPr>
      </w:pPr>
      <w:r>
        <w:rPr>
          <w:b/>
          <w:bCs/>
        </w:rPr>
        <w:t>REPUBLIKA HRVATSKA</w:t>
      </w:r>
    </w:p>
    <w:p w14:paraId="50F4FB9D" w14:textId="735D178D" w:rsidR="00310977" w:rsidRDefault="00DC3DE1" w:rsidP="00E01A04">
      <w:pPr>
        <w:jc w:val="center"/>
        <w:rPr>
          <w:b/>
          <w:bCs/>
        </w:rPr>
      </w:pPr>
      <w:r>
        <w:rPr>
          <w:b/>
          <w:bCs/>
        </w:rPr>
        <w:t xml:space="preserve">MINISTARSTVO MORA, </w:t>
      </w:r>
      <w:r w:rsidR="006F269A">
        <w:rPr>
          <w:b/>
          <w:bCs/>
        </w:rPr>
        <w:t>PROMETA I INFRASTRUKTURE</w:t>
      </w:r>
    </w:p>
    <w:p w14:paraId="5E04AF5E" w14:textId="77777777" w:rsidR="006F269A" w:rsidRDefault="006F269A" w:rsidP="00E01A04">
      <w:pPr>
        <w:jc w:val="center"/>
        <w:rPr>
          <w:b/>
          <w:bCs/>
        </w:rPr>
      </w:pPr>
    </w:p>
    <w:p w14:paraId="4D69BDA8" w14:textId="77777777" w:rsidR="006F269A" w:rsidRDefault="006F269A" w:rsidP="00E01A04">
      <w:pPr>
        <w:jc w:val="center"/>
        <w:rPr>
          <w:b/>
          <w:bCs/>
        </w:rPr>
      </w:pPr>
    </w:p>
    <w:p w14:paraId="07D8057B" w14:textId="77777777" w:rsidR="006F269A" w:rsidRDefault="006F269A" w:rsidP="00E01A04">
      <w:pPr>
        <w:jc w:val="center"/>
        <w:rPr>
          <w:b/>
          <w:bCs/>
        </w:rPr>
      </w:pPr>
    </w:p>
    <w:p w14:paraId="7608830D" w14:textId="77777777" w:rsidR="006F269A" w:rsidRDefault="006F269A" w:rsidP="00E01A04">
      <w:pPr>
        <w:jc w:val="center"/>
        <w:rPr>
          <w:b/>
          <w:bCs/>
        </w:rPr>
      </w:pPr>
    </w:p>
    <w:p w14:paraId="59BF3D1E" w14:textId="77777777" w:rsidR="006F269A" w:rsidRDefault="006F269A" w:rsidP="00E01A04">
      <w:pPr>
        <w:jc w:val="center"/>
        <w:rPr>
          <w:b/>
          <w:bCs/>
        </w:rPr>
      </w:pPr>
    </w:p>
    <w:p w14:paraId="2EBB9591" w14:textId="77777777" w:rsidR="006F269A" w:rsidRDefault="006F269A" w:rsidP="00E01A04">
      <w:pPr>
        <w:jc w:val="center"/>
        <w:rPr>
          <w:b/>
          <w:bCs/>
        </w:rPr>
      </w:pPr>
    </w:p>
    <w:p w14:paraId="15905697" w14:textId="169E7F3A" w:rsidR="006F269A" w:rsidRDefault="006F269A" w:rsidP="00E01A04">
      <w:pPr>
        <w:jc w:val="center"/>
        <w:rPr>
          <w:b/>
          <w:bCs/>
        </w:rPr>
      </w:pPr>
      <w:r>
        <w:rPr>
          <w:b/>
          <w:bCs/>
        </w:rPr>
        <w:t>JAVNO SAVJETOVANJE</w:t>
      </w:r>
    </w:p>
    <w:p w14:paraId="267251D8" w14:textId="40216D94" w:rsidR="006F269A" w:rsidRDefault="00B35C2C" w:rsidP="00E01A04">
      <w:pPr>
        <w:jc w:val="center"/>
        <w:rPr>
          <w:b/>
          <w:bCs/>
        </w:rPr>
      </w:pPr>
      <w:r>
        <w:rPr>
          <w:b/>
          <w:bCs/>
        </w:rPr>
        <w:t xml:space="preserve">Poziv na iskazivanje interesa za </w:t>
      </w:r>
      <w:r w:rsidRPr="00F92201">
        <w:rPr>
          <w:b/>
          <w:bCs/>
        </w:rPr>
        <w:t>razvoj i implementaciju pasivne elektroničke komunikacijske infrastrukture</w:t>
      </w:r>
      <w:r>
        <w:rPr>
          <w:b/>
          <w:bCs/>
        </w:rPr>
        <w:t xml:space="preserve"> na </w:t>
      </w:r>
      <w:r w:rsidR="00D65C40">
        <w:rPr>
          <w:b/>
          <w:bCs/>
        </w:rPr>
        <w:t xml:space="preserve">ruralnim i slabo naseljenim </w:t>
      </w:r>
      <w:r>
        <w:rPr>
          <w:b/>
          <w:bCs/>
        </w:rPr>
        <w:t>područjima</w:t>
      </w:r>
    </w:p>
    <w:p w14:paraId="35486D11" w14:textId="38D70530" w:rsidR="00561260" w:rsidRDefault="00561260" w:rsidP="00E01A04">
      <w:pPr>
        <w:jc w:val="center"/>
        <w:rPr>
          <w:b/>
          <w:bCs/>
        </w:rPr>
      </w:pPr>
    </w:p>
    <w:p w14:paraId="01DF2B80" w14:textId="77777777" w:rsidR="00561260" w:rsidRDefault="00561260" w:rsidP="00E01A04">
      <w:pPr>
        <w:jc w:val="center"/>
        <w:rPr>
          <w:b/>
          <w:bCs/>
        </w:rPr>
      </w:pPr>
    </w:p>
    <w:p w14:paraId="0B1C50EB" w14:textId="77777777" w:rsidR="00561260" w:rsidRDefault="00F92201" w:rsidP="00E01A04">
      <w:pPr>
        <w:jc w:val="center"/>
        <w:rPr>
          <w:b/>
          <w:bCs/>
        </w:rPr>
      </w:pPr>
      <w:r>
        <w:rPr>
          <w:b/>
          <w:bCs/>
        </w:rPr>
        <w:t>Nacionalni plan opor</w:t>
      </w:r>
      <w:r w:rsidR="004A1FC2">
        <w:rPr>
          <w:b/>
          <w:bCs/>
        </w:rPr>
        <w:t>avka i otpornosti</w:t>
      </w:r>
    </w:p>
    <w:p w14:paraId="384B0388" w14:textId="4C238E71" w:rsidR="004A1FC2" w:rsidRDefault="004A1FC2" w:rsidP="00E01A04">
      <w:pPr>
        <w:jc w:val="center"/>
        <w:rPr>
          <w:b/>
          <w:bCs/>
        </w:rPr>
      </w:pPr>
      <w:r w:rsidRPr="004A1FC2">
        <w:rPr>
          <w:b/>
          <w:bCs/>
        </w:rPr>
        <w:t>C2.3. R4-I2 Izgradnja pasivne elektroničke komunikacijske infrastrukture</w:t>
      </w:r>
    </w:p>
    <w:p w14:paraId="03601A57" w14:textId="77777777" w:rsidR="00E01A04" w:rsidRDefault="00E01A04" w:rsidP="00E01A04">
      <w:pPr>
        <w:jc w:val="center"/>
        <w:rPr>
          <w:b/>
          <w:bCs/>
        </w:rPr>
      </w:pPr>
    </w:p>
    <w:p w14:paraId="449CB01F" w14:textId="7340ACF7" w:rsidR="00E01A04" w:rsidRDefault="00F62D76" w:rsidP="00E01A04">
      <w:pPr>
        <w:jc w:val="center"/>
        <w:rPr>
          <w:b/>
          <w:bCs/>
        </w:rPr>
      </w:pPr>
      <w:r>
        <w:rPr>
          <w:b/>
          <w:bCs/>
        </w:rPr>
        <w:t>Travanj</w:t>
      </w:r>
      <w:r w:rsidR="00E01A04">
        <w:rPr>
          <w:b/>
          <w:bCs/>
        </w:rPr>
        <w:t xml:space="preserve"> 2023. godine</w:t>
      </w:r>
    </w:p>
    <w:p w14:paraId="754AF61F" w14:textId="77777777" w:rsidR="006F269A" w:rsidRPr="00310977" w:rsidRDefault="006F269A" w:rsidP="003F7F10">
      <w:pPr>
        <w:rPr>
          <w:b/>
          <w:bCs/>
        </w:rPr>
      </w:pPr>
    </w:p>
    <w:p w14:paraId="3E3299E0" w14:textId="77777777" w:rsidR="00DD1DA8" w:rsidRDefault="00DD1DA8" w:rsidP="003F7F10">
      <w:pPr>
        <w:rPr>
          <w:b/>
          <w:bCs/>
        </w:rPr>
        <w:sectPr w:rsidR="00DD1DA8">
          <w:footerReference w:type="default" r:id="rId8"/>
          <w:pgSz w:w="11906" w:h="16838"/>
          <w:pgMar w:top="1417" w:right="1417" w:bottom="1417" w:left="1417" w:header="708" w:footer="708" w:gutter="0"/>
          <w:cols w:space="708"/>
          <w:docGrid w:linePitch="360"/>
        </w:sectPr>
      </w:pPr>
    </w:p>
    <w:sdt>
      <w:sdtPr>
        <w:rPr>
          <w:rFonts w:ascii="EYInterstate Light" w:eastAsiaTheme="minorHAnsi" w:hAnsi="EYInterstate Light" w:cstheme="minorBidi"/>
          <w:color w:val="auto"/>
          <w:sz w:val="22"/>
          <w:szCs w:val="22"/>
          <w:lang w:val="hr-HR"/>
        </w:rPr>
        <w:id w:val="383918324"/>
        <w:docPartObj>
          <w:docPartGallery w:val="Table of Contents"/>
          <w:docPartUnique/>
        </w:docPartObj>
      </w:sdtPr>
      <w:sdtEndPr>
        <w:rPr>
          <w:rFonts w:cstheme="majorHAnsi"/>
          <w:b/>
        </w:rPr>
      </w:sdtEndPr>
      <w:sdtContent>
        <w:p w14:paraId="042EAC68" w14:textId="0E73E9EC" w:rsidR="001734D7" w:rsidRPr="00975D53" w:rsidRDefault="001734D7">
          <w:pPr>
            <w:pStyle w:val="TOCHeading"/>
            <w:rPr>
              <w:b/>
              <w:bCs/>
              <w:color w:val="auto"/>
              <w:lang w:val="hr-HR"/>
            </w:rPr>
          </w:pPr>
          <w:r w:rsidRPr="00975D53">
            <w:rPr>
              <w:b/>
              <w:bCs/>
              <w:color w:val="auto"/>
              <w:lang w:val="hr-HR"/>
            </w:rPr>
            <w:t>Sadržaj</w:t>
          </w:r>
        </w:p>
        <w:p w14:paraId="5F5D31E0" w14:textId="7EE92AB6" w:rsidR="00D360A9" w:rsidRPr="008B4D28" w:rsidRDefault="001734D7">
          <w:pPr>
            <w:pStyle w:val="TOC1"/>
            <w:tabs>
              <w:tab w:val="right" w:leader="dot" w:pos="9062"/>
            </w:tabs>
            <w:rPr>
              <w:rFonts w:asciiTheme="majorHAnsi" w:eastAsiaTheme="minorEastAsia" w:hAnsiTheme="majorHAnsi" w:cstheme="majorHAnsi"/>
              <w:noProof/>
              <w:lang w:eastAsia="hr-HR"/>
            </w:rPr>
          </w:pPr>
          <w:r w:rsidRPr="008B4D28">
            <w:rPr>
              <w:rFonts w:asciiTheme="majorHAnsi" w:hAnsiTheme="majorHAnsi" w:cstheme="majorHAnsi"/>
            </w:rPr>
            <w:fldChar w:fldCharType="begin"/>
          </w:r>
          <w:r w:rsidRPr="008B4D28">
            <w:rPr>
              <w:rFonts w:asciiTheme="majorHAnsi" w:hAnsiTheme="majorHAnsi" w:cstheme="majorHAnsi"/>
            </w:rPr>
            <w:instrText xml:space="preserve"> TOC \o "1-3" \h \z \u </w:instrText>
          </w:r>
          <w:r w:rsidRPr="008B4D28">
            <w:rPr>
              <w:rFonts w:asciiTheme="majorHAnsi" w:hAnsiTheme="majorHAnsi" w:cstheme="majorHAnsi"/>
            </w:rPr>
            <w:fldChar w:fldCharType="separate"/>
          </w:r>
          <w:hyperlink w:anchor="_Toc131158639" w:history="1">
            <w:r w:rsidR="00D360A9" w:rsidRPr="008B4D28">
              <w:rPr>
                <w:rStyle w:val="Hyperlink"/>
                <w:rFonts w:asciiTheme="majorHAnsi" w:hAnsiTheme="majorHAnsi" w:cstheme="majorHAnsi"/>
                <w:bCs/>
                <w:noProof/>
              </w:rPr>
              <w:t>Popis kratica</w:t>
            </w:r>
            <w:r w:rsidR="00D360A9" w:rsidRPr="008B4D28">
              <w:rPr>
                <w:rFonts w:asciiTheme="majorHAnsi" w:hAnsiTheme="majorHAnsi" w:cstheme="majorHAnsi"/>
                <w:noProof/>
                <w:webHidden/>
              </w:rPr>
              <w:tab/>
            </w:r>
            <w:r w:rsidR="00D360A9" w:rsidRPr="008B4D28">
              <w:rPr>
                <w:rFonts w:asciiTheme="majorHAnsi" w:hAnsiTheme="majorHAnsi" w:cstheme="majorHAnsi"/>
                <w:noProof/>
                <w:webHidden/>
              </w:rPr>
              <w:fldChar w:fldCharType="begin"/>
            </w:r>
            <w:r w:rsidR="00D360A9" w:rsidRPr="008B4D28">
              <w:rPr>
                <w:rFonts w:asciiTheme="majorHAnsi" w:hAnsiTheme="majorHAnsi" w:cstheme="majorHAnsi"/>
                <w:noProof/>
                <w:webHidden/>
              </w:rPr>
              <w:instrText xml:space="preserve"> PAGEREF _Toc131158639 \h </w:instrText>
            </w:r>
            <w:r w:rsidR="00D360A9" w:rsidRPr="008B4D28">
              <w:rPr>
                <w:rFonts w:asciiTheme="majorHAnsi" w:hAnsiTheme="majorHAnsi" w:cstheme="majorHAnsi"/>
                <w:noProof/>
                <w:webHidden/>
              </w:rPr>
            </w:r>
            <w:r w:rsidR="00D360A9" w:rsidRPr="008B4D28">
              <w:rPr>
                <w:rFonts w:asciiTheme="majorHAnsi" w:hAnsiTheme="majorHAnsi" w:cstheme="majorHAnsi"/>
                <w:noProof/>
                <w:webHidden/>
              </w:rPr>
              <w:fldChar w:fldCharType="separate"/>
            </w:r>
            <w:r w:rsidR="00D360A9" w:rsidRPr="008B4D28">
              <w:rPr>
                <w:rFonts w:asciiTheme="majorHAnsi" w:hAnsiTheme="majorHAnsi" w:cstheme="majorHAnsi"/>
                <w:noProof/>
                <w:webHidden/>
              </w:rPr>
              <w:t>3</w:t>
            </w:r>
            <w:r w:rsidR="00D360A9" w:rsidRPr="008B4D28">
              <w:rPr>
                <w:rFonts w:asciiTheme="majorHAnsi" w:hAnsiTheme="majorHAnsi" w:cstheme="majorHAnsi"/>
                <w:noProof/>
                <w:webHidden/>
              </w:rPr>
              <w:fldChar w:fldCharType="end"/>
            </w:r>
          </w:hyperlink>
        </w:p>
        <w:p w14:paraId="154F41CF" w14:textId="1DC828FB" w:rsidR="00D360A9" w:rsidRPr="008B4D28" w:rsidRDefault="00A9133B">
          <w:pPr>
            <w:pStyle w:val="TOC1"/>
            <w:tabs>
              <w:tab w:val="left" w:pos="440"/>
              <w:tab w:val="right" w:leader="dot" w:pos="9062"/>
            </w:tabs>
            <w:rPr>
              <w:rFonts w:asciiTheme="majorHAnsi" w:eastAsiaTheme="minorEastAsia" w:hAnsiTheme="majorHAnsi" w:cstheme="majorHAnsi"/>
              <w:noProof/>
              <w:lang w:eastAsia="hr-HR"/>
            </w:rPr>
          </w:pPr>
          <w:hyperlink w:anchor="_Toc131158640" w:history="1">
            <w:r w:rsidR="00D360A9" w:rsidRPr="008B4D28">
              <w:rPr>
                <w:rStyle w:val="Hyperlink"/>
                <w:rFonts w:asciiTheme="majorHAnsi" w:hAnsiTheme="majorHAnsi" w:cstheme="majorHAnsi"/>
                <w:noProof/>
              </w:rPr>
              <w:t>1.</w:t>
            </w:r>
            <w:r w:rsidR="00D360A9" w:rsidRPr="008B4D28">
              <w:rPr>
                <w:rFonts w:asciiTheme="majorHAnsi" w:eastAsiaTheme="minorEastAsia" w:hAnsiTheme="majorHAnsi" w:cstheme="majorHAnsi"/>
                <w:noProof/>
                <w:lang w:eastAsia="hr-HR"/>
              </w:rPr>
              <w:tab/>
            </w:r>
            <w:r w:rsidR="00D360A9" w:rsidRPr="008B4D28">
              <w:rPr>
                <w:rStyle w:val="Hyperlink"/>
                <w:rFonts w:asciiTheme="majorHAnsi" w:hAnsiTheme="majorHAnsi" w:cstheme="majorHAnsi"/>
                <w:noProof/>
              </w:rPr>
              <w:t>Uvod</w:t>
            </w:r>
            <w:r w:rsidR="00D360A9" w:rsidRPr="008B4D28">
              <w:rPr>
                <w:rFonts w:asciiTheme="majorHAnsi" w:hAnsiTheme="majorHAnsi" w:cstheme="majorHAnsi"/>
                <w:noProof/>
                <w:webHidden/>
              </w:rPr>
              <w:tab/>
            </w:r>
            <w:r w:rsidR="00D360A9" w:rsidRPr="008B4D28">
              <w:rPr>
                <w:rFonts w:asciiTheme="majorHAnsi" w:hAnsiTheme="majorHAnsi" w:cstheme="majorHAnsi"/>
                <w:noProof/>
                <w:webHidden/>
              </w:rPr>
              <w:fldChar w:fldCharType="begin"/>
            </w:r>
            <w:r w:rsidR="00D360A9" w:rsidRPr="008B4D28">
              <w:rPr>
                <w:rFonts w:asciiTheme="majorHAnsi" w:hAnsiTheme="majorHAnsi" w:cstheme="majorHAnsi"/>
                <w:noProof/>
                <w:webHidden/>
              </w:rPr>
              <w:instrText xml:space="preserve"> PAGEREF _Toc131158640 \h </w:instrText>
            </w:r>
            <w:r w:rsidR="00D360A9" w:rsidRPr="008B4D28">
              <w:rPr>
                <w:rFonts w:asciiTheme="majorHAnsi" w:hAnsiTheme="majorHAnsi" w:cstheme="majorHAnsi"/>
                <w:noProof/>
                <w:webHidden/>
              </w:rPr>
            </w:r>
            <w:r w:rsidR="00D360A9" w:rsidRPr="008B4D28">
              <w:rPr>
                <w:rFonts w:asciiTheme="majorHAnsi" w:hAnsiTheme="majorHAnsi" w:cstheme="majorHAnsi"/>
                <w:noProof/>
                <w:webHidden/>
              </w:rPr>
              <w:fldChar w:fldCharType="separate"/>
            </w:r>
            <w:r w:rsidR="00D360A9" w:rsidRPr="008B4D28">
              <w:rPr>
                <w:rFonts w:asciiTheme="majorHAnsi" w:hAnsiTheme="majorHAnsi" w:cstheme="majorHAnsi"/>
                <w:noProof/>
                <w:webHidden/>
              </w:rPr>
              <w:t>4</w:t>
            </w:r>
            <w:r w:rsidR="00D360A9" w:rsidRPr="008B4D28">
              <w:rPr>
                <w:rFonts w:asciiTheme="majorHAnsi" w:hAnsiTheme="majorHAnsi" w:cstheme="majorHAnsi"/>
                <w:noProof/>
                <w:webHidden/>
              </w:rPr>
              <w:fldChar w:fldCharType="end"/>
            </w:r>
          </w:hyperlink>
        </w:p>
        <w:p w14:paraId="1C9C571A" w14:textId="266F5D10" w:rsidR="00D360A9" w:rsidRPr="008B4D28" w:rsidRDefault="00A9133B">
          <w:pPr>
            <w:pStyle w:val="TOC1"/>
            <w:tabs>
              <w:tab w:val="left" w:pos="440"/>
              <w:tab w:val="right" w:leader="dot" w:pos="9062"/>
            </w:tabs>
            <w:rPr>
              <w:rFonts w:asciiTheme="majorHAnsi" w:eastAsiaTheme="minorEastAsia" w:hAnsiTheme="majorHAnsi" w:cstheme="majorHAnsi"/>
              <w:noProof/>
              <w:lang w:eastAsia="hr-HR"/>
            </w:rPr>
          </w:pPr>
          <w:hyperlink w:anchor="_Toc131158641" w:history="1">
            <w:r w:rsidR="00D360A9" w:rsidRPr="008B4D28">
              <w:rPr>
                <w:rStyle w:val="Hyperlink"/>
                <w:rFonts w:asciiTheme="majorHAnsi" w:hAnsiTheme="majorHAnsi" w:cstheme="majorHAnsi"/>
                <w:noProof/>
              </w:rPr>
              <w:t>2.</w:t>
            </w:r>
            <w:r w:rsidR="00D360A9" w:rsidRPr="008B4D28">
              <w:rPr>
                <w:rFonts w:asciiTheme="majorHAnsi" w:eastAsiaTheme="minorEastAsia" w:hAnsiTheme="majorHAnsi" w:cstheme="majorHAnsi"/>
                <w:noProof/>
                <w:lang w:eastAsia="hr-HR"/>
              </w:rPr>
              <w:tab/>
            </w:r>
            <w:r w:rsidR="00D360A9" w:rsidRPr="008B4D28">
              <w:rPr>
                <w:rStyle w:val="Hyperlink"/>
                <w:rFonts w:asciiTheme="majorHAnsi" w:hAnsiTheme="majorHAnsi" w:cstheme="majorHAnsi"/>
                <w:noProof/>
              </w:rPr>
              <w:t>Opis investicije</w:t>
            </w:r>
            <w:r w:rsidR="00D360A9" w:rsidRPr="008B4D28">
              <w:rPr>
                <w:rFonts w:asciiTheme="majorHAnsi" w:hAnsiTheme="majorHAnsi" w:cstheme="majorHAnsi"/>
                <w:noProof/>
                <w:webHidden/>
              </w:rPr>
              <w:tab/>
            </w:r>
            <w:r w:rsidR="00D360A9" w:rsidRPr="008B4D28">
              <w:rPr>
                <w:rFonts w:asciiTheme="majorHAnsi" w:hAnsiTheme="majorHAnsi" w:cstheme="majorHAnsi"/>
                <w:noProof/>
                <w:webHidden/>
              </w:rPr>
              <w:fldChar w:fldCharType="begin"/>
            </w:r>
            <w:r w:rsidR="00D360A9" w:rsidRPr="008B4D28">
              <w:rPr>
                <w:rFonts w:asciiTheme="majorHAnsi" w:hAnsiTheme="majorHAnsi" w:cstheme="majorHAnsi"/>
                <w:noProof/>
                <w:webHidden/>
              </w:rPr>
              <w:instrText xml:space="preserve"> PAGEREF _Toc131158641 \h </w:instrText>
            </w:r>
            <w:r w:rsidR="00D360A9" w:rsidRPr="008B4D28">
              <w:rPr>
                <w:rFonts w:asciiTheme="majorHAnsi" w:hAnsiTheme="majorHAnsi" w:cstheme="majorHAnsi"/>
                <w:noProof/>
                <w:webHidden/>
              </w:rPr>
            </w:r>
            <w:r w:rsidR="00D360A9" w:rsidRPr="008B4D28">
              <w:rPr>
                <w:rFonts w:asciiTheme="majorHAnsi" w:hAnsiTheme="majorHAnsi" w:cstheme="majorHAnsi"/>
                <w:noProof/>
                <w:webHidden/>
              </w:rPr>
              <w:fldChar w:fldCharType="separate"/>
            </w:r>
            <w:r w:rsidR="00D360A9" w:rsidRPr="008B4D28">
              <w:rPr>
                <w:rFonts w:asciiTheme="majorHAnsi" w:hAnsiTheme="majorHAnsi" w:cstheme="majorHAnsi"/>
                <w:noProof/>
                <w:webHidden/>
              </w:rPr>
              <w:t>6</w:t>
            </w:r>
            <w:r w:rsidR="00D360A9" w:rsidRPr="008B4D28">
              <w:rPr>
                <w:rFonts w:asciiTheme="majorHAnsi" w:hAnsiTheme="majorHAnsi" w:cstheme="majorHAnsi"/>
                <w:noProof/>
                <w:webHidden/>
              </w:rPr>
              <w:fldChar w:fldCharType="end"/>
            </w:r>
          </w:hyperlink>
        </w:p>
        <w:p w14:paraId="34C63D10" w14:textId="116EFD42" w:rsidR="00D360A9" w:rsidRPr="008B4D28" w:rsidRDefault="00A9133B">
          <w:pPr>
            <w:pStyle w:val="TOC1"/>
            <w:tabs>
              <w:tab w:val="left" w:pos="440"/>
              <w:tab w:val="right" w:leader="dot" w:pos="9062"/>
            </w:tabs>
            <w:rPr>
              <w:rFonts w:asciiTheme="majorHAnsi" w:eastAsiaTheme="minorEastAsia" w:hAnsiTheme="majorHAnsi" w:cstheme="majorHAnsi"/>
              <w:noProof/>
              <w:lang w:eastAsia="hr-HR"/>
            </w:rPr>
          </w:pPr>
          <w:hyperlink w:anchor="_Toc131158642" w:history="1">
            <w:r w:rsidR="00D360A9" w:rsidRPr="008B4D28">
              <w:rPr>
                <w:rStyle w:val="Hyperlink"/>
                <w:rFonts w:asciiTheme="majorHAnsi" w:hAnsiTheme="majorHAnsi" w:cstheme="majorHAnsi"/>
                <w:noProof/>
              </w:rPr>
              <w:t>3.</w:t>
            </w:r>
            <w:r w:rsidR="00D360A9" w:rsidRPr="008B4D28">
              <w:rPr>
                <w:rFonts w:asciiTheme="majorHAnsi" w:eastAsiaTheme="minorEastAsia" w:hAnsiTheme="majorHAnsi" w:cstheme="majorHAnsi"/>
                <w:noProof/>
                <w:lang w:eastAsia="hr-HR"/>
              </w:rPr>
              <w:tab/>
            </w:r>
            <w:r w:rsidR="00D360A9" w:rsidRPr="008B4D28">
              <w:rPr>
                <w:rStyle w:val="Hyperlink"/>
                <w:rFonts w:asciiTheme="majorHAnsi" w:hAnsiTheme="majorHAnsi" w:cstheme="majorHAnsi"/>
                <w:noProof/>
              </w:rPr>
              <w:t>Odabrana područja za javno savjetovanje</w:t>
            </w:r>
            <w:r w:rsidR="00D360A9" w:rsidRPr="008B4D28">
              <w:rPr>
                <w:rFonts w:asciiTheme="majorHAnsi" w:hAnsiTheme="majorHAnsi" w:cstheme="majorHAnsi"/>
                <w:noProof/>
                <w:webHidden/>
              </w:rPr>
              <w:tab/>
            </w:r>
            <w:r w:rsidR="00D360A9" w:rsidRPr="008B4D28">
              <w:rPr>
                <w:rFonts w:asciiTheme="majorHAnsi" w:hAnsiTheme="majorHAnsi" w:cstheme="majorHAnsi"/>
                <w:noProof/>
                <w:webHidden/>
              </w:rPr>
              <w:fldChar w:fldCharType="begin"/>
            </w:r>
            <w:r w:rsidR="00D360A9" w:rsidRPr="008B4D28">
              <w:rPr>
                <w:rFonts w:asciiTheme="majorHAnsi" w:hAnsiTheme="majorHAnsi" w:cstheme="majorHAnsi"/>
                <w:noProof/>
                <w:webHidden/>
              </w:rPr>
              <w:instrText xml:space="preserve"> PAGEREF _Toc131158642 \h </w:instrText>
            </w:r>
            <w:r w:rsidR="00D360A9" w:rsidRPr="008B4D28">
              <w:rPr>
                <w:rFonts w:asciiTheme="majorHAnsi" w:hAnsiTheme="majorHAnsi" w:cstheme="majorHAnsi"/>
                <w:noProof/>
                <w:webHidden/>
              </w:rPr>
            </w:r>
            <w:r w:rsidR="00D360A9" w:rsidRPr="008B4D28">
              <w:rPr>
                <w:rFonts w:asciiTheme="majorHAnsi" w:hAnsiTheme="majorHAnsi" w:cstheme="majorHAnsi"/>
                <w:noProof/>
                <w:webHidden/>
              </w:rPr>
              <w:fldChar w:fldCharType="separate"/>
            </w:r>
            <w:r w:rsidR="00D360A9" w:rsidRPr="008B4D28">
              <w:rPr>
                <w:rFonts w:asciiTheme="majorHAnsi" w:hAnsiTheme="majorHAnsi" w:cstheme="majorHAnsi"/>
                <w:noProof/>
                <w:webHidden/>
              </w:rPr>
              <w:t>8</w:t>
            </w:r>
            <w:r w:rsidR="00D360A9" w:rsidRPr="008B4D28">
              <w:rPr>
                <w:rFonts w:asciiTheme="majorHAnsi" w:hAnsiTheme="majorHAnsi" w:cstheme="majorHAnsi"/>
                <w:noProof/>
                <w:webHidden/>
              </w:rPr>
              <w:fldChar w:fldCharType="end"/>
            </w:r>
          </w:hyperlink>
        </w:p>
        <w:p w14:paraId="342166A1" w14:textId="63401AB5" w:rsidR="00D360A9" w:rsidRPr="008B4D28" w:rsidRDefault="00A9133B">
          <w:pPr>
            <w:pStyle w:val="TOC1"/>
            <w:tabs>
              <w:tab w:val="left" w:pos="440"/>
              <w:tab w:val="right" w:leader="dot" w:pos="9062"/>
            </w:tabs>
            <w:rPr>
              <w:rFonts w:asciiTheme="majorHAnsi" w:eastAsiaTheme="minorEastAsia" w:hAnsiTheme="majorHAnsi" w:cstheme="majorHAnsi"/>
              <w:noProof/>
              <w:lang w:eastAsia="hr-HR"/>
            </w:rPr>
          </w:pPr>
          <w:hyperlink w:anchor="_Toc131158643" w:history="1">
            <w:r w:rsidR="00D360A9" w:rsidRPr="008B4D28">
              <w:rPr>
                <w:rStyle w:val="Hyperlink"/>
                <w:rFonts w:asciiTheme="majorHAnsi" w:hAnsiTheme="majorHAnsi" w:cstheme="majorHAnsi"/>
                <w:noProof/>
              </w:rPr>
              <w:t>4.</w:t>
            </w:r>
            <w:r w:rsidR="00D360A9" w:rsidRPr="008B4D28">
              <w:rPr>
                <w:rFonts w:asciiTheme="majorHAnsi" w:eastAsiaTheme="minorEastAsia" w:hAnsiTheme="majorHAnsi" w:cstheme="majorHAnsi"/>
                <w:noProof/>
                <w:lang w:eastAsia="hr-HR"/>
              </w:rPr>
              <w:tab/>
            </w:r>
            <w:r w:rsidR="00D360A9" w:rsidRPr="008B4D28">
              <w:rPr>
                <w:rStyle w:val="Hyperlink"/>
                <w:rFonts w:asciiTheme="majorHAnsi" w:hAnsiTheme="majorHAnsi" w:cstheme="majorHAnsi"/>
                <w:noProof/>
              </w:rPr>
              <w:t>Popis priloga u Savjetovanju</w:t>
            </w:r>
            <w:r w:rsidR="00D360A9" w:rsidRPr="008B4D28">
              <w:rPr>
                <w:rFonts w:asciiTheme="majorHAnsi" w:hAnsiTheme="majorHAnsi" w:cstheme="majorHAnsi"/>
                <w:noProof/>
                <w:webHidden/>
              </w:rPr>
              <w:tab/>
            </w:r>
            <w:r w:rsidR="00D360A9" w:rsidRPr="008B4D28">
              <w:rPr>
                <w:rFonts w:asciiTheme="majorHAnsi" w:hAnsiTheme="majorHAnsi" w:cstheme="majorHAnsi"/>
                <w:noProof/>
                <w:webHidden/>
              </w:rPr>
              <w:fldChar w:fldCharType="begin"/>
            </w:r>
            <w:r w:rsidR="00D360A9" w:rsidRPr="008B4D28">
              <w:rPr>
                <w:rFonts w:asciiTheme="majorHAnsi" w:hAnsiTheme="majorHAnsi" w:cstheme="majorHAnsi"/>
                <w:noProof/>
                <w:webHidden/>
              </w:rPr>
              <w:instrText xml:space="preserve"> PAGEREF _Toc131158643 \h </w:instrText>
            </w:r>
            <w:r w:rsidR="00D360A9" w:rsidRPr="008B4D28">
              <w:rPr>
                <w:rFonts w:asciiTheme="majorHAnsi" w:hAnsiTheme="majorHAnsi" w:cstheme="majorHAnsi"/>
                <w:noProof/>
                <w:webHidden/>
              </w:rPr>
            </w:r>
            <w:r w:rsidR="00D360A9" w:rsidRPr="008B4D28">
              <w:rPr>
                <w:rFonts w:asciiTheme="majorHAnsi" w:hAnsiTheme="majorHAnsi" w:cstheme="majorHAnsi"/>
                <w:noProof/>
                <w:webHidden/>
              </w:rPr>
              <w:fldChar w:fldCharType="separate"/>
            </w:r>
            <w:r w:rsidR="00D360A9" w:rsidRPr="008B4D28">
              <w:rPr>
                <w:rFonts w:asciiTheme="majorHAnsi" w:hAnsiTheme="majorHAnsi" w:cstheme="majorHAnsi"/>
                <w:noProof/>
                <w:webHidden/>
              </w:rPr>
              <w:t>10</w:t>
            </w:r>
            <w:r w:rsidR="00D360A9" w:rsidRPr="008B4D28">
              <w:rPr>
                <w:rFonts w:asciiTheme="majorHAnsi" w:hAnsiTheme="majorHAnsi" w:cstheme="majorHAnsi"/>
                <w:noProof/>
                <w:webHidden/>
              </w:rPr>
              <w:fldChar w:fldCharType="end"/>
            </w:r>
          </w:hyperlink>
        </w:p>
        <w:p w14:paraId="0D98B800" w14:textId="006B03D6" w:rsidR="001734D7" w:rsidRPr="00975D53" w:rsidRDefault="001734D7">
          <w:pPr>
            <w:rPr>
              <w:rFonts w:asciiTheme="majorHAnsi" w:hAnsiTheme="majorHAnsi" w:cstheme="majorHAnsi"/>
            </w:rPr>
          </w:pPr>
          <w:r w:rsidRPr="008B4D28">
            <w:rPr>
              <w:rFonts w:asciiTheme="majorHAnsi" w:hAnsiTheme="majorHAnsi" w:cstheme="majorHAnsi"/>
              <w:b/>
              <w:bCs/>
              <w:noProof/>
            </w:rPr>
            <w:fldChar w:fldCharType="end"/>
          </w:r>
        </w:p>
      </w:sdtContent>
    </w:sdt>
    <w:p w14:paraId="5A273600" w14:textId="77777777" w:rsidR="001734D7" w:rsidRPr="00B4133B" w:rsidRDefault="001734D7" w:rsidP="00B4133B"/>
    <w:p w14:paraId="4FA090A2" w14:textId="77777777" w:rsidR="001734D7" w:rsidRDefault="001734D7">
      <w:pPr>
        <w:spacing w:before="0"/>
        <w:jc w:val="left"/>
        <w:rPr>
          <w:rFonts w:asciiTheme="majorHAnsi" w:hAnsiTheme="majorHAnsi"/>
          <w:bCs/>
        </w:rPr>
        <w:sectPr w:rsidR="001734D7">
          <w:footerReference w:type="default" r:id="rId9"/>
          <w:pgSz w:w="11906" w:h="16838"/>
          <w:pgMar w:top="1417" w:right="1417" w:bottom="1417" w:left="1417" w:header="708" w:footer="708" w:gutter="0"/>
          <w:cols w:space="708"/>
          <w:docGrid w:linePitch="360"/>
        </w:sectPr>
      </w:pPr>
    </w:p>
    <w:p w14:paraId="661ECD2D" w14:textId="471E8E68" w:rsidR="00660E04" w:rsidRPr="00DB2C0F" w:rsidRDefault="00660E04" w:rsidP="00660E04">
      <w:pPr>
        <w:pStyle w:val="Heading1"/>
        <w:rPr>
          <w:rFonts w:asciiTheme="majorHAnsi" w:hAnsiTheme="majorHAnsi"/>
          <w:bCs/>
        </w:rPr>
      </w:pPr>
      <w:bookmarkStart w:id="0" w:name="_Toc129338308"/>
      <w:bookmarkStart w:id="1" w:name="_Toc131158639"/>
      <w:r w:rsidRPr="00DB2C0F">
        <w:rPr>
          <w:rFonts w:asciiTheme="majorHAnsi" w:hAnsiTheme="majorHAnsi"/>
          <w:bCs/>
        </w:rPr>
        <w:lastRenderedPageBreak/>
        <w:t>Popis kratica</w:t>
      </w:r>
      <w:bookmarkEnd w:id="0"/>
      <w:bookmarkEnd w:id="1"/>
    </w:p>
    <w:tbl>
      <w:tblPr>
        <w:tblStyle w:val="TableGrid"/>
        <w:tblW w:w="0" w:type="auto"/>
        <w:tblLook w:val="04A0" w:firstRow="1" w:lastRow="0" w:firstColumn="1" w:lastColumn="0" w:noHBand="0" w:noVBand="1"/>
      </w:tblPr>
      <w:tblGrid>
        <w:gridCol w:w="1838"/>
        <w:gridCol w:w="7224"/>
      </w:tblGrid>
      <w:tr w:rsidR="00660E04" w:rsidRPr="00BB72FF" w14:paraId="77A7958D" w14:textId="77777777" w:rsidTr="00787E87">
        <w:tc>
          <w:tcPr>
            <w:tcW w:w="1838" w:type="dxa"/>
            <w:shd w:val="clear" w:color="auto" w:fill="C4C4CD"/>
            <w:vAlign w:val="center"/>
          </w:tcPr>
          <w:p w14:paraId="5195F3E1" w14:textId="45380252" w:rsidR="00660E04" w:rsidRPr="00787E87" w:rsidRDefault="00660E04" w:rsidP="00917CB1">
            <w:pPr>
              <w:jc w:val="left"/>
              <w:rPr>
                <w:rFonts w:asciiTheme="majorHAnsi" w:hAnsiTheme="majorHAnsi" w:cstheme="majorHAnsi"/>
                <w:b/>
                <w:bCs/>
                <w:sz w:val="24"/>
                <w:szCs w:val="24"/>
              </w:rPr>
            </w:pPr>
            <w:r w:rsidRPr="00787E87">
              <w:rPr>
                <w:rFonts w:asciiTheme="majorHAnsi" w:hAnsiTheme="majorHAnsi" w:cstheme="majorHAnsi"/>
                <w:b/>
                <w:bCs/>
                <w:sz w:val="24"/>
                <w:szCs w:val="24"/>
              </w:rPr>
              <w:t>Kratica</w:t>
            </w:r>
          </w:p>
        </w:tc>
        <w:tc>
          <w:tcPr>
            <w:tcW w:w="7224" w:type="dxa"/>
            <w:shd w:val="clear" w:color="auto" w:fill="C4C4CD"/>
            <w:vAlign w:val="center"/>
          </w:tcPr>
          <w:p w14:paraId="00B9EC36" w14:textId="24EA04BA" w:rsidR="00660E04" w:rsidRPr="00787E87" w:rsidRDefault="00660E04" w:rsidP="00917CB1">
            <w:pPr>
              <w:jc w:val="left"/>
              <w:rPr>
                <w:rFonts w:asciiTheme="majorHAnsi" w:hAnsiTheme="majorHAnsi" w:cstheme="majorHAnsi"/>
                <w:b/>
                <w:bCs/>
                <w:sz w:val="24"/>
                <w:szCs w:val="24"/>
              </w:rPr>
            </w:pPr>
            <w:r w:rsidRPr="00787E87">
              <w:rPr>
                <w:rFonts w:asciiTheme="majorHAnsi" w:hAnsiTheme="majorHAnsi" w:cstheme="majorHAnsi"/>
                <w:b/>
                <w:bCs/>
                <w:sz w:val="24"/>
                <w:szCs w:val="24"/>
              </w:rPr>
              <w:t>Puni naziv</w:t>
            </w:r>
          </w:p>
        </w:tc>
      </w:tr>
      <w:tr w:rsidR="009E373E" w:rsidRPr="00BB72FF" w14:paraId="0681BBD5" w14:textId="77777777" w:rsidTr="00917CB1">
        <w:tc>
          <w:tcPr>
            <w:tcW w:w="1838" w:type="dxa"/>
            <w:vAlign w:val="center"/>
          </w:tcPr>
          <w:p w14:paraId="3932F0FA" w14:textId="3E8022F1" w:rsidR="009E373E" w:rsidRPr="00917CB1" w:rsidRDefault="009E373E" w:rsidP="009E373E">
            <w:pPr>
              <w:jc w:val="left"/>
              <w:rPr>
                <w:rFonts w:asciiTheme="majorHAnsi" w:hAnsiTheme="majorHAnsi" w:cstheme="majorHAnsi"/>
                <w:b/>
                <w:bCs/>
              </w:rPr>
            </w:pPr>
            <w:r w:rsidRPr="00BB72FF">
              <w:rPr>
                <w:rFonts w:asciiTheme="majorHAnsi" w:eastAsiaTheme="majorEastAsia" w:hAnsiTheme="majorHAnsi" w:cstheme="majorHAnsi"/>
              </w:rPr>
              <w:t>DEGURBA</w:t>
            </w:r>
          </w:p>
        </w:tc>
        <w:tc>
          <w:tcPr>
            <w:tcW w:w="7224" w:type="dxa"/>
            <w:vAlign w:val="center"/>
          </w:tcPr>
          <w:p w14:paraId="72537378" w14:textId="54C95596" w:rsidR="009E373E" w:rsidRPr="00917CB1" w:rsidRDefault="009E373E" w:rsidP="009E373E">
            <w:pPr>
              <w:jc w:val="left"/>
              <w:rPr>
                <w:rFonts w:asciiTheme="majorHAnsi" w:hAnsiTheme="majorHAnsi" w:cstheme="majorHAnsi"/>
                <w:b/>
                <w:bCs/>
              </w:rPr>
            </w:pPr>
            <w:r w:rsidRPr="00BB72FF">
              <w:rPr>
                <w:rFonts w:asciiTheme="majorHAnsi" w:eastAsiaTheme="majorEastAsia" w:hAnsiTheme="majorHAnsi" w:cstheme="majorHAnsi"/>
              </w:rPr>
              <w:t xml:space="preserve">Stupanj urbanizacije (engl. </w:t>
            </w:r>
            <w:r w:rsidRPr="00BB72FF">
              <w:rPr>
                <w:rFonts w:asciiTheme="majorHAnsi" w:eastAsiaTheme="majorEastAsia" w:hAnsiTheme="majorHAnsi" w:cstheme="majorHAnsi"/>
                <w:i/>
                <w:iCs/>
              </w:rPr>
              <w:t>Degree of urbanisation</w:t>
            </w:r>
            <w:r w:rsidRPr="00BB72FF">
              <w:rPr>
                <w:rFonts w:asciiTheme="majorHAnsi" w:eastAsiaTheme="majorEastAsia" w:hAnsiTheme="majorHAnsi" w:cstheme="majorHAnsi"/>
              </w:rPr>
              <w:t>)</w:t>
            </w:r>
          </w:p>
        </w:tc>
      </w:tr>
      <w:tr w:rsidR="008B2C6C" w:rsidRPr="00BB72FF" w14:paraId="5FB918A9" w14:textId="77777777" w:rsidTr="00917CB1">
        <w:tc>
          <w:tcPr>
            <w:tcW w:w="1838" w:type="dxa"/>
            <w:vAlign w:val="center"/>
          </w:tcPr>
          <w:p w14:paraId="5FBD8D8F" w14:textId="5DF52F32" w:rsidR="008B2C6C" w:rsidRPr="00D675FD" w:rsidRDefault="008B2C6C" w:rsidP="00917CB1">
            <w:pPr>
              <w:jc w:val="left"/>
              <w:rPr>
                <w:rFonts w:asciiTheme="majorHAnsi" w:hAnsiTheme="majorHAnsi" w:cstheme="majorHAnsi"/>
              </w:rPr>
            </w:pPr>
            <w:r>
              <w:rPr>
                <w:rFonts w:asciiTheme="majorHAnsi" w:hAnsiTheme="majorHAnsi" w:cstheme="majorHAnsi"/>
              </w:rPr>
              <w:t>EK</w:t>
            </w:r>
          </w:p>
        </w:tc>
        <w:tc>
          <w:tcPr>
            <w:tcW w:w="7224" w:type="dxa"/>
            <w:vAlign w:val="center"/>
          </w:tcPr>
          <w:p w14:paraId="05EC9266" w14:textId="4686AA14" w:rsidR="008B2C6C" w:rsidRPr="00D675FD" w:rsidRDefault="008B2C6C" w:rsidP="00917CB1">
            <w:pPr>
              <w:jc w:val="left"/>
              <w:rPr>
                <w:rFonts w:asciiTheme="majorHAnsi" w:hAnsiTheme="majorHAnsi" w:cstheme="majorHAnsi"/>
              </w:rPr>
            </w:pPr>
            <w:r>
              <w:rPr>
                <w:rFonts w:asciiTheme="majorHAnsi" w:hAnsiTheme="majorHAnsi" w:cstheme="majorHAnsi"/>
              </w:rPr>
              <w:t>Europska Komisija</w:t>
            </w:r>
          </w:p>
        </w:tc>
      </w:tr>
      <w:tr w:rsidR="009F63E4" w:rsidRPr="00BB72FF" w14:paraId="7BCF578D" w14:textId="77777777" w:rsidTr="00917CB1">
        <w:tc>
          <w:tcPr>
            <w:tcW w:w="1838" w:type="dxa"/>
            <w:vAlign w:val="center"/>
          </w:tcPr>
          <w:p w14:paraId="4CF1E3EB" w14:textId="6CF72B67" w:rsidR="009F63E4" w:rsidRPr="00D675FD" w:rsidRDefault="00D675FD" w:rsidP="00917CB1">
            <w:pPr>
              <w:jc w:val="left"/>
              <w:rPr>
                <w:rFonts w:asciiTheme="majorHAnsi" w:hAnsiTheme="majorHAnsi" w:cstheme="majorHAnsi"/>
              </w:rPr>
            </w:pPr>
            <w:r w:rsidRPr="00D675FD">
              <w:rPr>
                <w:rFonts w:asciiTheme="majorHAnsi" w:hAnsiTheme="majorHAnsi" w:cstheme="majorHAnsi"/>
              </w:rPr>
              <w:t>EU</w:t>
            </w:r>
          </w:p>
        </w:tc>
        <w:tc>
          <w:tcPr>
            <w:tcW w:w="7224" w:type="dxa"/>
            <w:vAlign w:val="center"/>
          </w:tcPr>
          <w:p w14:paraId="76C1971E" w14:textId="0DACC1C5" w:rsidR="009F63E4" w:rsidRPr="00D675FD" w:rsidRDefault="00D675FD" w:rsidP="00917CB1">
            <w:pPr>
              <w:jc w:val="left"/>
              <w:rPr>
                <w:rFonts w:asciiTheme="majorHAnsi" w:hAnsiTheme="majorHAnsi" w:cstheme="majorHAnsi"/>
              </w:rPr>
            </w:pPr>
            <w:r w:rsidRPr="00D675FD">
              <w:rPr>
                <w:rFonts w:asciiTheme="majorHAnsi" w:hAnsiTheme="majorHAnsi" w:cstheme="majorHAnsi"/>
              </w:rPr>
              <w:t>Europska unija</w:t>
            </w:r>
          </w:p>
        </w:tc>
      </w:tr>
      <w:tr w:rsidR="00094D81" w:rsidRPr="00BB72FF" w14:paraId="2191E467" w14:textId="77777777" w:rsidTr="00917CB1">
        <w:tc>
          <w:tcPr>
            <w:tcW w:w="1838" w:type="dxa"/>
            <w:vAlign w:val="center"/>
          </w:tcPr>
          <w:p w14:paraId="16B3BE01" w14:textId="1B61E9AB" w:rsidR="00094D81" w:rsidRPr="00D675FD" w:rsidRDefault="00094D81" w:rsidP="00917CB1">
            <w:pPr>
              <w:jc w:val="left"/>
              <w:rPr>
                <w:rFonts w:asciiTheme="majorHAnsi" w:hAnsiTheme="majorHAnsi" w:cstheme="majorHAnsi"/>
              </w:rPr>
            </w:pPr>
            <w:r>
              <w:rPr>
                <w:rFonts w:asciiTheme="majorHAnsi" w:hAnsiTheme="majorHAnsi" w:cstheme="majorHAnsi"/>
              </w:rPr>
              <w:t>Investicija</w:t>
            </w:r>
          </w:p>
        </w:tc>
        <w:tc>
          <w:tcPr>
            <w:tcW w:w="7224" w:type="dxa"/>
            <w:vAlign w:val="center"/>
          </w:tcPr>
          <w:p w14:paraId="088CEDF7" w14:textId="17EFE96B" w:rsidR="00094D81" w:rsidRPr="00D675FD" w:rsidRDefault="00094D81" w:rsidP="00917CB1">
            <w:pPr>
              <w:jc w:val="left"/>
              <w:rPr>
                <w:rFonts w:asciiTheme="majorHAnsi" w:hAnsiTheme="majorHAnsi" w:cstheme="majorHAnsi"/>
              </w:rPr>
            </w:pPr>
            <w:r w:rsidRPr="00BB72FF">
              <w:rPr>
                <w:rFonts w:asciiTheme="majorHAnsi" w:eastAsiaTheme="majorEastAsia" w:hAnsiTheme="majorHAnsi" w:cstheme="majorHAnsi"/>
              </w:rPr>
              <w:t>Investicija C2.3. R4-I2 Izgradnja pasivne elektroničke komunikacijske infrastrukture</w:t>
            </w:r>
          </w:p>
        </w:tc>
      </w:tr>
      <w:tr w:rsidR="00D675FD" w:rsidRPr="00BB72FF" w14:paraId="13DA3A51" w14:textId="77777777" w:rsidTr="00917CB1">
        <w:tc>
          <w:tcPr>
            <w:tcW w:w="1838" w:type="dxa"/>
            <w:vAlign w:val="center"/>
          </w:tcPr>
          <w:p w14:paraId="3DF0BAB7" w14:textId="6F107805" w:rsidR="00D675FD" w:rsidRPr="00BB72FF" w:rsidRDefault="00D675FD" w:rsidP="00D675FD">
            <w:pPr>
              <w:jc w:val="left"/>
              <w:rPr>
                <w:rFonts w:asciiTheme="majorHAnsi" w:hAnsiTheme="majorHAnsi" w:cstheme="majorHAnsi"/>
              </w:rPr>
            </w:pPr>
            <w:r w:rsidRPr="00BB72FF">
              <w:rPr>
                <w:rFonts w:asciiTheme="majorHAnsi" w:hAnsiTheme="majorHAnsi" w:cstheme="majorHAnsi"/>
              </w:rPr>
              <w:t>JLS</w:t>
            </w:r>
          </w:p>
        </w:tc>
        <w:tc>
          <w:tcPr>
            <w:tcW w:w="7224" w:type="dxa"/>
            <w:vAlign w:val="center"/>
          </w:tcPr>
          <w:p w14:paraId="5737D459" w14:textId="65D94C7A" w:rsidR="00D675FD" w:rsidRPr="00BB72FF" w:rsidRDefault="00D675FD" w:rsidP="00D675FD">
            <w:pPr>
              <w:jc w:val="left"/>
              <w:rPr>
                <w:rFonts w:asciiTheme="majorHAnsi" w:eastAsiaTheme="majorEastAsia" w:hAnsiTheme="majorHAnsi" w:cstheme="majorHAnsi"/>
              </w:rPr>
            </w:pPr>
            <w:r w:rsidRPr="00BB72FF">
              <w:rPr>
                <w:rFonts w:asciiTheme="majorHAnsi" w:eastAsiaTheme="majorEastAsia" w:hAnsiTheme="majorHAnsi" w:cstheme="majorHAnsi"/>
              </w:rPr>
              <w:t>Jedinica lokalne samouprave</w:t>
            </w:r>
          </w:p>
        </w:tc>
      </w:tr>
      <w:tr w:rsidR="00C22F32" w:rsidRPr="00BB72FF" w14:paraId="506A131E" w14:textId="77777777" w:rsidTr="00917CB1">
        <w:tc>
          <w:tcPr>
            <w:tcW w:w="1838" w:type="dxa"/>
            <w:vAlign w:val="center"/>
          </w:tcPr>
          <w:p w14:paraId="4DAB50ED" w14:textId="772D26E0" w:rsidR="00C22F32" w:rsidRPr="00BB72FF" w:rsidRDefault="00C22F32" w:rsidP="00C22F32">
            <w:pPr>
              <w:jc w:val="left"/>
              <w:rPr>
                <w:rFonts w:asciiTheme="majorHAnsi" w:hAnsiTheme="majorHAnsi" w:cstheme="majorHAnsi"/>
              </w:rPr>
            </w:pPr>
            <w:r w:rsidRPr="00BB72FF">
              <w:rPr>
                <w:rFonts w:asciiTheme="majorHAnsi" w:hAnsiTheme="majorHAnsi" w:cstheme="majorHAnsi"/>
              </w:rPr>
              <w:t>NN</w:t>
            </w:r>
          </w:p>
        </w:tc>
        <w:tc>
          <w:tcPr>
            <w:tcW w:w="7224" w:type="dxa"/>
            <w:vAlign w:val="center"/>
          </w:tcPr>
          <w:p w14:paraId="404C767B" w14:textId="1A39455B" w:rsidR="00C22F32" w:rsidRPr="00BB72FF" w:rsidRDefault="00C22F32" w:rsidP="00C22F32">
            <w:pPr>
              <w:jc w:val="left"/>
              <w:rPr>
                <w:rFonts w:asciiTheme="majorHAnsi" w:eastAsiaTheme="majorEastAsia" w:hAnsiTheme="majorHAnsi" w:cstheme="majorHAnsi"/>
              </w:rPr>
            </w:pPr>
            <w:r w:rsidRPr="00BB72FF">
              <w:rPr>
                <w:rFonts w:asciiTheme="majorHAnsi" w:hAnsiTheme="majorHAnsi" w:cstheme="majorHAnsi"/>
              </w:rPr>
              <w:t>Narodne novine</w:t>
            </w:r>
          </w:p>
        </w:tc>
      </w:tr>
      <w:tr w:rsidR="00660E04" w:rsidRPr="00BB72FF" w14:paraId="050BA23C" w14:textId="77777777" w:rsidTr="00917CB1">
        <w:tc>
          <w:tcPr>
            <w:tcW w:w="1838" w:type="dxa"/>
            <w:vAlign w:val="center"/>
          </w:tcPr>
          <w:p w14:paraId="73213C6E" w14:textId="1F3B9A39" w:rsidR="00660E04" w:rsidRPr="00BB72FF" w:rsidRDefault="007474BE" w:rsidP="00917CB1">
            <w:pPr>
              <w:jc w:val="left"/>
              <w:rPr>
                <w:rFonts w:asciiTheme="majorHAnsi" w:hAnsiTheme="majorHAnsi" w:cstheme="majorHAnsi"/>
              </w:rPr>
            </w:pPr>
            <w:r w:rsidRPr="00BB72FF">
              <w:rPr>
                <w:rFonts w:asciiTheme="majorHAnsi" w:eastAsiaTheme="majorEastAsia" w:hAnsiTheme="majorHAnsi" w:cstheme="majorHAnsi"/>
              </w:rPr>
              <w:t>NPOO</w:t>
            </w:r>
          </w:p>
        </w:tc>
        <w:tc>
          <w:tcPr>
            <w:tcW w:w="7224" w:type="dxa"/>
            <w:vAlign w:val="center"/>
          </w:tcPr>
          <w:p w14:paraId="5D18373A" w14:textId="6E156008" w:rsidR="00660E04" w:rsidRPr="00BB72FF" w:rsidRDefault="007474BE" w:rsidP="00917CB1">
            <w:pPr>
              <w:jc w:val="left"/>
              <w:rPr>
                <w:rFonts w:asciiTheme="majorHAnsi" w:hAnsiTheme="majorHAnsi" w:cstheme="majorHAnsi"/>
              </w:rPr>
            </w:pPr>
            <w:r w:rsidRPr="00BB72FF">
              <w:rPr>
                <w:rFonts w:asciiTheme="majorHAnsi" w:eastAsiaTheme="majorEastAsia" w:hAnsiTheme="majorHAnsi" w:cstheme="majorHAnsi"/>
              </w:rPr>
              <w:t>Nacionalni plan oporavka i otpornosti</w:t>
            </w:r>
          </w:p>
        </w:tc>
      </w:tr>
      <w:tr w:rsidR="00196E8D" w:rsidRPr="00BB72FF" w14:paraId="0CB5A940" w14:textId="77777777" w:rsidTr="00917CB1">
        <w:tc>
          <w:tcPr>
            <w:tcW w:w="1838" w:type="dxa"/>
            <w:vAlign w:val="center"/>
          </w:tcPr>
          <w:p w14:paraId="2175170F" w14:textId="7364848E" w:rsidR="00196E8D" w:rsidRPr="00BB72FF" w:rsidRDefault="00196E8D" w:rsidP="00C22F32">
            <w:pPr>
              <w:jc w:val="left"/>
              <w:rPr>
                <w:rFonts w:asciiTheme="majorHAnsi" w:hAnsiTheme="majorHAnsi" w:cstheme="majorHAnsi"/>
              </w:rPr>
            </w:pPr>
            <w:r>
              <w:rPr>
                <w:rFonts w:asciiTheme="majorHAnsi" w:hAnsiTheme="majorHAnsi" w:cstheme="majorHAnsi"/>
              </w:rPr>
              <w:t>RH</w:t>
            </w:r>
          </w:p>
        </w:tc>
        <w:tc>
          <w:tcPr>
            <w:tcW w:w="7224" w:type="dxa"/>
            <w:vAlign w:val="center"/>
          </w:tcPr>
          <w:p w14:paraId="240270FF" w14:textId="393DC63D" w:rsidR="00196E8D" w:rsidRPr="00BB72FF" w:rsidRDefault="00196E8D" w:rsidP="00C22F32">
            <w:pPr>
              <w:jc w:val="left"/>
              <w:rPr>
                <w:rFonts w:asciiTheme="majorHAnsi" w:eastAsiaTheme="majorEastAsia" w:hAnsiTheme="majorHAnsi" w:cstheme="majorHAnsi"/>
              </w:rPr>
            </w:pPr>
            <w:r>
              <w:rPr>
                <w:rFonts w:asciiTheme="majorHAnsi" w:eastAsiaTheme="majorEastAsia" w:hAnsiTheme="majorHAnsi" w:cstheme="majorHAnsi"/>
              </w:rPr>
              <w:t>Republika Hrvatska</w:t>
            </w:r>
          </w:p>
        </w:tc>
      </w:tr>
      <w:tr w:rsidR="00C22F32" w:rsidRPr="00BB72FF" w14:paraId="2FE26CF2" w14:textId="77777777" w:rsidTr="00917CB1">
        <w:tc>
          <w:tcPr>
            <w:tcW w:w="1838" w:type="dxa"/>
            <w:vAlign w:val="center"/>
          </w:tcPr>
          <w:p w14:paraId="44D7593F" w14:textId="31DD5772" w:rsidR="00C22F32" w:rsidRPr="00BB72FF" w:rsidRDefault="00C22F32" w:rsidP="00C22F32">
            <w:pPr>
              <w:jc w:val="left"/>
              <w:rPr>
                <w:rFonts w:asciiTheme="majorHAnsi" w:hAnsiTheme="majorHAnsi" w:cstheme="majorHAnsi"/>
              </w:rPr>
            </w:pPr>
            <w:r w:rsidRPr="00BB72FF">
              <w:rPr>
                <w:rFonts w:asciiTheme="majorHAnsi" w:hAnsiTheme="majorHAnsi" w:cstheme="majorHAnsi"/>
              </w:rPr>
              <w:t>SL</w:t>
            </w:r>
          </w:p>
        </w:tc>
        <w:tc>
          <w:tcPr>
            <w:tcW w:w="7224" w:type="dxa"/>
            <w:vAlign w:val="center"/>
          </w:tcPr>
          <w:p w14:paraId="1487916B" w14:textId="137071FB" w:rsidR="00C22F32" w:rsidRPr="00BB72FF" w:rsidRDefault="00C22F32" w:rsidP="00C22F32">
            <w:pPr>
              <w:jc w:val="left"/>
              <w:rPr>
                <w:rFonts w:asciiTheme="majorHAnsi" w:eastAsiaTheme="majorEastAsia" w:hAnsiTheme="majorHAnsi" w:cstheme="majorHAnsi"/>
              </w:rPr>
            </w:pPr>
            <w:r w:rsidRPr="00BB72FF">
              <w:rPr>
                <w:rFonts w:asciiTheme="majorHAnsi" w:hAnsiTheme="majorHAnsi" w:cstheme="majorHAnsi"/>
              </w:rPr>
              <w:t>Službeni list Europske unije</w:t>
            </w:r>
          </w:p>
        </w:tc>
      </w:tr>
      <w:tr w:rsidR="00660E04" w:rsidRPr="00BB72FF" w14:paraId="01712663" w14:textId="77777777" w:rsidTr="00917CB1">
        <w:tc>
          <w:tcPr>
            <w:tcW w:w="1838" w:type="dxa"/>
            <w:vAlign w:val="center"/>
          </w:tcPr>
          <w:p w14:paraId="34BB6267" w14:textId="1CE0F181" w:rsidR="00660E04" w:rsidRPr="00BB72FF" w:rsidRDefault="007474BE" w:rsidP="00917CB1">
            <w:pPr>
              <w:jc w:val="left"/>
              <w:rPr>
                <w:rFonts w:asciiTheme="majorHAnsi" w:hAnsiTheme="majorHAnsi" w:cstheme="majorHAnsi"/>
              </w:rPr>
            </w:pPr>
            <w:r w:rsidRPr="00BB72FF">
              <w:rPr>
                <w:rFonts w:asciiTheme="majorHAnsi" w:eastAsiaTheme="majorEastAsia" w:hAnsiTheme="majorHAnsi" w:cstheme="majorHAnsi"/>
              </w:rPr>
              <w:t>UFEU</w:t>
            </w:r>
          </w:p>
        </w:tc>
        <w:tc>
          <w:tcPr>
            <w:tcW w:w="7224" w:type="dxa"/>
            <w:vAlign w:val="center"/>
          </w:tcPr>
          <w:p w14:paraId="13BAD459" w14:textId="11CF163B" w:rsidR="00660E04" w:rsidRPr="00BB72FF" w:rsidRDefault="007474BE" w:rsidP="00917CB1">
            <w:pPr>
              <w:jc w:val="left"/>
              <w:rPr>
                <w:rFonts w:asciiTheme="majorHAnsi" w:hAnsiTheme="majorHAnsi" w:cstheme="majorHAnsi"/>
              </w:rPr>
            </w:pPr>
            <w:r w:rsidRPr="00BB72FF">
              <w:rPr>
                <w:rFonts w:asciiTheme="majorHAnsi" w:eastAsiaTheme="majorEastAsia" w:hAnsiTheme="majorHAnsi" w:cstheme="majorHAnsi"/>
              </w:rPr>
              <w:t>Ugovor o funkcioniranju Europske unije</w:t>
            </w:r>
          </w:p>
        </w:tc>
      </w:tr>
      <w:tr w:rsidR="00660E04" w:rsidRPr="00BB72FF" w14:paraId="7F9006C3" w14:textId="77777777" w:rsidTr="00917CB1">
        <w:tc>
          <w:tcPr>
            <w:tcW w:w="1838" w:type="dxa"/>
            <w:vAlign w:val="center"/>
          </w:tcPr>
          <w:p w14:paraId="6CDA6573" w14:textId="088AEA79" w:rsidR="00660E04" w:rsidRPr="00BB72FF" w:rsidRDefault="007474BE" w:rsidP="00917CB1">
            <w:pPr>
              <w:jc w:val="left"/>
              <w:rPr>
                <w:rFonts w:asciiTheme="majorHAnsi" w:hAnsiTheme="majorHAnsi" w:cstheme="majorHAnsi"/>
              </w:rPr>
            </w:pPr>
            <w:r w:rsidRPr="00BB72FF">
              <w:rPr>
                <w:rFonts w:asciiTheme="majorHAnsi" w:eastAsiaTheme="majorEastAsia" w:hAnsiTheme="majorHAnsi" w:cstheme="majorHAnsi"/>
              </w:rPr>
              <w:t>Uredba 651/2014</w:t>
            </w:r>
          </w:p>
        </w:tc>
        <w:tc>
          <w:tcPr>
            <w:tcW w:w="7224" w:type="dxa"/>
            <w:vAlign w:val="center"/>
          </w:tcPr>
          <w:p w14:paraId="1172E38B" w14:textId="22A889AC" w:rsidR="00660E04" w:rsidRPr="00BB72FF" w:rsidRDefault="007474BE" w:rsidP="00917CB1">
            <w:pPr>
              <w:jc w:val="left"/>
              <w:rPr>
                <w:rFonts w:asciiTheme="majorHAnsi" w:hAnsiTheme="majorHAnsi" w:cstheme="majorHAnsi"/>
              </w:rPr>
            </w:pPr>
            <w:r w:rsidRPr="00BB72FF">
              <w:rPr>
                <w:rFonts w:asciiTheme="majorHAnsi" w:hAnsiTheme="majorHAnsi" w:cstheme="majorHAnsi"/>
              </w:rPr>
              <w:t>Uredba Komisije (EU) br. 651/2014 od 17. lipnja 2014. o ocjenjivanju određenih kategorija potpora spojivima s unutarnjim tržištem u primjeni članaka 107. i 108. Ugovora o funkcioniranju Europske unije, Uredba Komisije (EU)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Uredba Komisije (EU) 2020/972 od 2. srpnja 2020. o izmjeni Uredbe (EU) br. 1407/2013 u pogledu njezina produljenja i o izmjeni Uredbe (EU) br.</w:t>
            </w:r>
            <w:r w:rsidRPr="00BB72FF">
              <w:rPr>
                <w:rFonts w:asciiTheme="majorHAnsi" w:hAnsiTheme="majorHAnsi" w:cstheme="majorHAnsi"/>
                <w:sz w:val="24"/>
                <w:szCs w:val="24"/>
              </w:rPr>
              <w:t xml:space="preserve"> </w:t>
            </w:r>
            <w:r w:rsidRPr="00BB72FF">
              <w:rPr>
                <w:rFonts w:asciiTheme="majorHAnsi" w:hAnsiTheme="majorHAnsi" w:cstheme="majorHAnsi"/>
              </w:rPr>
              <w:t>651/2014 u pogledu njezina produljenja i odgovarajućih prilagodbi i Uredba (EU) 2021/1237 od 23. srpnja 2021. o izmjeni Uredbe (EU) br. 651/2014 o ocjenjivanju određenih kategorija potpora spojivima s unutarnjim tržištem u primjeni članka 107. i 108. Ugovora</w:t>
            </w:r>
          </w:p>
        </w:tc>
      </w:tr>
      <w:tr w:rsidR="007E1679" w:rsidRPr="00BB72FF" w14:paraId="53859F4D" w14:textId="77777777" w:rsidTr="00917CB1">
        <w:tc>
          <w:tcPr>
            <w:tcW w:w="1838" w:type="dxa"/>
            <w:vAlign w:val="center"/>
          </w:tcPr>
          <w:p w14:paraId="72B267D8" w14:textId="539007AF" w:rsidR="007E1679" w:rsidRPr="00BB72FF" w:rsidRDefault="00117CA2" w:rsidP="00917CB1">
            <w:pPr>
              <w:jc w:val="left"/>
              <w:rPr>
                <w:rFonts w:asciiTheme="majorHAnsi" w:hAnsiTheme="majorHAnsi" w:cstheme="majorHAnsi"/>
              </w:rPr>
            </w:pPr>
            <w:r w:rsidRPr="00BB72FF">
              <w:rPr>
                <w:rFonts w:asciiTheme="majorHAnsi" w:eastAsiaTheme="majorEastAsia" w:hAnsiTheme="majorHAnsi" w:cstheme="majorHAnsi"/>
              </w:rPr>
              <w:t>VHCN</w:t>
            </w:r>
          </w:p>
        </w:tc>
        <w:tc>
          <w:tcPr>
            <w:tcW w:w="7224" w:type="dxa"/>
            <w:vAlign w:val="center"/>
          </w:tcPr>
          <w:p w14:paraId="4146C879" w14:textId="1A861DFE" w:rsidR="007E1679" w:rsidRPr="00BB72FF" w:rsidRDefault="00117CA2" w:rsidP="00917CB1">
            <w:pPr>
              <w:jc w:val="left"/>
              <w:rPr>
                <w:rFonts w:asciiTheme="majorHAnsi" w:eastAsiaTheme="majorEastAsia" w:hAnsiTheme="majorHAnsi" w:cstheme="majorHAnsi"/>
              </w:rPr>
            </w:pPr>
            <w:r w:rsidRPr="00BB72FF">
              <w:rPr>
                <w:rFonts w:asciiTheme="majorHAnsi" w:eastAsiaTheme="majorEastAsia" w:hAnsiTheme="majorHAnsi" w:cstheme="majorHAnsi"/>
              </w:rPr>
              <w:t>Mreža vrlo velikog kapaciteta</w:t>
            </w:r>
            <w:r w:rsidR="00B4133B">
              <w:rPr>
                <w:rFonts w:asciiTheme="majorHAnsi" w:eastAsiaTheme="majorEastAsia" w:hAnsiTheme="majorHAnsi" w:cstheme="majorHAnsi"/>
              </w:rPr>
              <w:t xml:space="preserve"> (</w:t>
            </w:r>
            <w:r w:rsidRPr="00BB72FF">
              <w:rPr>
                <w:rFonts w:asciiTheme="majorHAnsi" w:eastAsiaTheme="majorEastAsia" w:hAnsiTheme="majorHAnsi" w:cstheme="majorHAnsi"/>
              </w:rPr>
              <w:t xml:space="preserve">engl. </w:t>
            </w:r>
            <w:r w:rsidRPr="00BB72FF">
              <w:rPr>
                <w:rFonts w:asciiTheme="majorHAnsi" w:eastAsiaTheme="majorEastAsia" w:hAnsiTheme="majorHAnsi" w:cstheme="majorHAnsi"/>
                <w:i/>
                <w:iCs/>
              </w:rPr>
              <w:t>very high capacity network</w:t>
            </w:r>
            <w:r w:rsidRPr="00BB72FF">
              <w:rPr>
                <w:rFonts w:asciiTheme="majorHAnsi" w:eastAsiaTheme="majorEastAsia" w:hAnsiTheme="majorHAnsi" w:cstheme="majorHAnsi"/>
              </w:rPr>
              <w:t xml:space="preserve">) </w:t>
            </w:r>
          </w:p>
        </w:tc>
      </w:tr>
    </w:tbl>
    <w:p w14:paraId="57DECCFA" w14:textId="20374C78" w:rsidR="00787E87" w:rsidRDefault="00787E87" w:rsidP="00660E04"/>
    <w:p w14:paraId="047D5E68" w14:textId="77777777" w:rsidR="00787E87" w:rsidRDefault="00787E87">
      <w:pPr>
        <w:spacing w:before="0"/>
        <w:jc w:val="left"/>
      </w:pPr>
      <w:r>
        <w:br w:type="page"/>
      </w:r>
    </w:p>
    <w:p w14:paraId="4CCCE89B" w14:textId="6D11FCDE" w:rsidR="00866281" w:rsidRDefault="00E07BA9" w:rsidP="003F7F10">
      <w:pPr>
        <w:pStyle w:val="Heading1"/>
        <w:numPr>
          <w:ilvl w:val="0"/>
          <w:numId w:val="10"/>
        </w:numPr>
        <w:rPr>
          <w:rFonts w:asciiTheme="majorHAnsi" w:hAnsiTheme="majorHAnsi"/>
          <w:b w:val="0"/>
        </w:rPr>
      </w:pPr>
      <w:bookmarkStart w:id="2" w:name="_Toc129338309"/>
      <w:bookmarkStart w:id="3" w:name="_Toc131158640"/>
      <w:r w:rsidRPr="4B614F43">
        <w:rPr>
          <w:rFonts w:asciiTheme="majorHAnsi" w:hAnsiTheme="majorHAnsi"/>
        </w:rPr>
        <w:lastRenderedPageBreak/>
        <w:t>Uvod</w:t>
      </w:r>
      <w:bookmarkEnd w:id="2"/>
      <w:bookmarkEnd w:id="3"/>
      <w:r w:rsidRPr="4B614F43">
        <w:rPr>
          <w:rFonts w:asciiTheme="majorHAnsi" w:hAnsiTheme="majorHAnsi"/>
        </w:rPr>
        <w:t xml:space="preserve"> </w:t>
      </w:r>
    </w:p>
    <w:p w14:paraId="4500886C" w14:textId="407E6130" w:rsidR="00DC5547" w:rsidRDefault="0000497B" w:rsidP="003F7F10">
      <w:pPr>
        <w:rPr>
          <w:rFonts w:asciiTheme="majorHAnsi" w:eastAsiaTheme="majorEastAsia" w:hAnsiTheme="majorHAnsi" w:cstheme="majorBidi"/>
        </w:rPr>
      </w:pPr>
      <w:r w:rsidRPr="4B614F43">
        <w:rPr>
          <w:rFonts w:asciiTheme="majorHAnsi" w:eastAsiaTheme="majorEastAsia" w:hAnsiTheme="majorHAnsi" w:cstheme="majorBidi"/>
        </w:rPr>
        <w:t>Ovim dokumentom</w:t>
      </w:r>
      <w:r w:rsidR="00DC5547">
        <w:rPr>
          <w:rFonts w:asciiTheme="majorHAnsi" w:eastAsiaTheme="majorEastAsia" w:hAnsiTheme="majorHAnsi" w:cstheme="majorBidi"/>
        </w:rPr>
        <w:t xml:space="preserve"> javnog savjetovanja</w:t>
      </w:r>
      <w:r w:rsidRPr="4B614F43">
        <w:rPr>
          <w:rFonts w:asciiTheme="majorHAnsi" w:eastAsiaTheme="majorEastAsia" w:hAnsiTheme="majorHAnsi" w:cstheme="majorBidi"/>
        </w:rPr>
        <w:t xml:space="preserve"> definiraju se </w:t>
      </w:r>
      <w:r w:rsidR="005B106B" w:rsidRPr="4B614F43">
        <w:rPr>
          <w:rFonts w:asciiTheme="majorHAnsi" w:eastAsiaTheme="majorEastAsia" w:hAnsiTheme="majorHAnsi" w:cstheme="majorBidi"/>
        </w:rPr>
        <w:t>ciljana područja za</w:t>
      </w:r>
      <w:r w:rsidR="0023601E">
        <w:rPr>
          <w:rFonts w:asciiTheme="majorHAnsi" w:eastAsiaTheme="majorEastAsia" w:hAnsiTheme="majorHAnsi" w:cstheme="majorBidi"/>
        </w:rPr>
        <w:t xml:space="preserve"> moguću</w:t>
      </w:r>
      <w:r w:rsidR="005B106B" w:rsidRPr="4B614F43">
        <w:rPr>
          <w:rFonts w:asciiTheme="majorHAnsi" w:eastAsiaTheme="majorEastAsia" w:hAnsiTheme="majorHAnsi" w:cstheme="majorBidi"/>
        </w:rPr>
        <w:t xml:space="preserve"> izgradnju elektroničke komunikacijske infrastrukture u okviru investicije C2.3. R4-I2 </w:t>
      </w:r>
      <w:r w:rsidR="001E16E5" w:rsidRPr="4B614F43">
        <w:rPr>
          <w:rFonts w:asciiTheme="majorHAnsi" w:eastAsiaTheme="majorEastAsia" w:hAnsiTheme="majorHAnsi" w:cstheme="majorBidi"/>
        </w:rPr>
        <w:t>Nacionaln</w:t>
      </w:r>
      <w:r w:rsidR="005B106B" w:rsidRPr="4B614F43">
        <w:rPr>
          <w:rFonts w:asciiTheme="majorHAnsi" w:eastAsiaTheme="majorEastAsia" w:hAnsiTheme="majorHAnsi" w:cstheme="majorBidi"/>
        </w:rPr>
        <w:t>og</w:t>
      </w:r>
      <w:r w:rsidR="001E16E5" w:rsidRPr="4B614F43">
        <w:rPr>
          <w:rFonts w:asciiTheme="majorHAnsi" w:eastAsiaTheme="majorEastAsia" w:hAnsiTheme="majorHAnsi" w:cstheme="majorBidi"/>
        </w:rPr>
        <w:t xml:space="preserve"> plan</w:t>
      </w:r>
      <w:r w:rsidR="005B106B" w:rsidRPr="4B614F43">
        <w:rPr>
          <w:rFonts w:asciiTheme="majorHAnsi" w:eastAsiaTheme="majorEastAsia" w:hAnsiTheme="majorHAnsi" w:cstheme="majorBidi"/>
        </w:rPr>
        <w:t>a</w:t>
      </w:r>
      <w:r w:rsidR="001E16E5" w:rsidRPr="4B614F43">
        <w:rPr>
          <w:rFonts w:asciiTheme="majorHAnsi" w:eastAsiaTheme="majorEastAsia" w:hAnsiTheme="majorHAnsi" w:cstheme="majorBidi"/>
        </w:rPr>
        <w:t xml:space="preserve"> oporavka i otpornosti</w:t>
      </w:r>
      <w:r w:rsidR="005B106B" w:rsidRPr="4B614F43">
        <w:rPr>
          <w:rFonts w:asciiTheme="majorHAnsi" w:eastAsiaTheme="majorEastAsia" w:hAnsiTheme="majorHAnsi" w:cstheme="majorBidi"/>
        </w:rPr>
        <w:t xml:space="preserve">. </w:t>
      </w:r>
      <w:r w:rsidR="001E16E5" w:rsidRPr="4B614F43">
        <w:rPr>
          <w:rFonts w:asciiTheme="majorHAnsi" w:eastAsiaTheme="majorEastAsia" w:hAnsiTheme="majorHAnsi" w:cstheme="majorBidi"/>
        </w:rPr>
        <w:t xml:space="preserve"> </w:t>
      </w:r>
    </w:p>
    <w:p w14:paraId="19AA6357" w14:textId="0E319E9C" w:rsidR="00761626" w:rsidRDefault="005B106B" w:rsidP="003F7F10">
      <w:pPr>
        <w:rPr>
          <w:rFonts w:asciiTheme="majorHAnsi" w:eastAsiaTheme="majorEastAsia" w:hAnsiTheme="majorHAnsi" w:cstheme="majorBidi"/>
        </w:rPr>
      </w:pPr>
      <w:r w:rsidRPr="4B614F43">
        <w:rPr>
          <w:rFonts w:asciiTheme="majorHAnsi" w:eastAsiaTheme="majorEastAsia" w:hAnsiTheme="majorHAnsi" w:cstheme="majorBidi"/>
        </w:rPr>
        <w:t>Z</w:t>
      </w:r>
      <w:r w:rsidR="00EA3823" w:rsidRPr="4B614F43">
        <w:rPr>
          <w:rFonts w:asciiTheme="majorHAnsi" w:eastAsiaTheme="majorEastAsia" w:hAnsiTheme="majorHAnsi" w:cstheme="majorBidi"/>
        </w:rPr>
        <w:t xml:space="preserve">a uspješno provođenje investicije </w:t>
      </w:r>
      <w:r w:rsidR="00EA3823" w:rsidRPr="00A27E5F">
        <w:rPr>
          <w:rFonts w:asciiTheme="majorHAnsi" w:eastAsiaTheme="majorEastAsia" w:hAnsiTheme="majorHAnsi" w:cstheme="majorBidi"/>
          <w:i/>
          <w:iCs/>
        </w:rPr>
        <w:t>C2.3. R4-I2 Izgradnja pasivne elektroničke komunikacijske infrastrukture</w:t>
      </w:r>
      <w:r w:rsidR="00EA3823" w:rsidRPr="4B614F43">
        <w:rPr>
          <w:rFonts w:asciiTheme="majorHAnsi" w:eastAsiaTheme="majorEastAsia" w:hAnsiTheme="majorHAnsi" w:cstheme="majorBidi"/>
        </w:rPr>
        <w:t xml:space="preserve"> u okviru NPOO</w:t>
      </w:r>
      <w:r w:rsidR="00E31882">
        <w:rPr>
          <w:rFonts w:asciiTheme="majorHAnsi" w:eastAsiaTheme="majorEastAsia" w:hAnsiTheme="majorHAnsi" w:cstheme="majorBidi"/>
        </w:rPr>
        <w:t xml:space="preserve"> (u daljnjem tekstu: </w:t>
      </w:r>
      <w:r w:rsidR="00807783">
        <w:rPr>
          <w:rFonts w:asciiTheme="majorHAnsi" w:eastAsiaTheme="majorEastAsia" w:hAnsiTheme="majorHAnsi" w:cstheme="majorBidi"/>
        </w:rPr>
        <w:t>Investicija</w:t>
      </w:r>
      <w:r w:rsidR="00E31882">
        <w:rPr>
          <w:rFonts w:asciiTheme="majorHAnsi" w:eastAsiaTheme="majorEastAsia" w:hAnsiTheme="majorHAnsi" w:cstheme="majorBidi"/>
        </w:rPr>
        <w:t>)</w:t>
      </w:r>
      <w:r w:rsidR="00EA3823" w:rsidRPr="4B614F43">
        <w:rPr>
          <w:rFonts w:asciiTheme="majorHAnsi" w:eastAsiaTheme="majorEastAsia" w:hAnsiTheme="majorHAnsi" w:cstheme="majorBidi"/>
        </w:rPr>
        <w:t>,</w:t>
      </w:r>
      <w:r w:rsidR="00C8508F" w:rsidRPr="4B614F43">
        <w:rPr>
          <w:rFonts w:asciiTheme="majorHAnsi" w:eastAsiaTheme="majorEastAsia" w:hAnsiTheme="majorHAnsi" w:cstheme="majorBidi"/>
        </w:rPr>
        <w:t xml:space="preserve"> potrebno je izraditi Studiju izvedivosti s analizom troškova i koristi za razvoj i implementaciju elektroničke komunikacijske</w:t>
      </w:r>
      <w:r w:rsidR="0097507C" w:rsidRPr="4B614F43">
        <w:rPr>
          <w:rFonts w:asciiTheme="majorHAnsi" w:eastAsiaTheme="majorEastAsia" w:hAnsiTheme="majorHAnsi" w:cstheme="majorBidi"/>
        </w:rPr>
        <w:t xml:space="preserve"> infrastrukture</w:t>
      </w:r>
      <w:r w:rsidR="00A22D5E">
        <w:rPr>
          <w:rFonts w:asciiTheme="majorHAnsi" w:eastAsiaTheme="majorEastAsia" w:hAnsiTheme="majorHAnsi" w:cstheme="majorBidi"/>
        </w:rPr>
        <w:t xml:space="preserve"> na odabranim područjima</w:t>
      </w:r>
      <w:r w:rsidR="0097507C" w:rsidRPr="4B614F43">
        <w:rPr>
          <w:rFonts w:asciiTheme="majorHAnsi" w:eastAsiaTheme="majorEastAsia" w:hAnsiTheme="majorHAnsi" w:cstheme="majorBidi"/>
        </w:rPr>
        <w:t>.</w:t>
      </w:r>
      <w:r w:rsidR="00316F7E">
        <w:rPr>
          <w:rFonts w:asciiTheme="majorHAnsi" w:eastAsiaTheme="majorEastAsia" w:hAnsiTheme="majorHAnsi" w:cstheme="majorBidi"/>
        </w:rPr>
        <w:t xml:space="preserve"> Izrada Studije izvedivosti je u tijeku</w:t>
      </w:r>
      <w:r w:rsidR="00A25BDE">
        <w:rPr>
          <w:rFonts w:asciiTheme="majorHAnsi" w:eastAsiaTheme="majorEastAsia" w:hAnsiTheme="majorHAnsi" w:cstheme="majorBidi"/>
        </w:rPr>
        <w:t xml:space="preserve"> te će ista</w:t>
      </w:r>
      <w:r w:rsidR="0069086E">
        <w:rPr>
          <w:rFonts w:asciiTheme="majorHAnsi" w:eastAsiaTheme="majorEastAsia" w:hAnsiTheme="majorHAnsi" w:cstheme="majorBidi"/>
        </w:rPr>
        <w:t>,</w:t>
      </w:r>
      <w:r w:rsidR="00A25BDE">
        <w:rPr>
          <w:rFonts w:asciiTheme="majorHAnsi" w:eastAsiaTheme="majorEastAsia" w:hAnsiTheme="majorHAnsi" w:cstheme="majorBidi"/>
        </w:rPr>
        <w:t xml:space="preserve"> </w:t>
      </w:r>
      <w:r w:rsidR="00B36BF5">
        <w:rPr>
          <w:rFonts w:asciiTheme="majorHAnsi" w:eastAsiaTheme="majorEastAsia" w:hAnsiTheme="majorHAnsi" w:cstheme="majorBidi"/>
        </w:rPr>
        <w:t>nastavno na ovo održano javno savjetovanje o iskazu tržišnog interesa</w:t>
      </w:r>
      <w:r w:rsidR="0069086E">
        <w:rPr>
          <w:rFonts w:asciiTheme="majorHAnsi" w:eastAsiaTheme="majorEastAsia" w:hAnsiTheme="majorHAnsi" w:cstheme="majorBidi"/>
        </w:rPr>
        <w:t>,</w:t>
      </w:r>
      <w:r w:rsidR="005D10A6">
        <w:rPr>
          <w:rFonts w:asciiTheme="majorHAnsi" w:eastAsiaTheme="majorEastAsia" w:hAnsiTheme="majorHAnsi" w:cstheme="majorBidi"/>
        </w:rPr>
        <w:t xml:space="preserve"> odrediti konačna područja za provedbu predmetne investicije</w:t>
      </w:r>
      <w:r w:rsidR="0069086E">
        <w:rPr>
          <w:rFonts w:asciiTheme="majorHAnsi" w:eastAsiaTheme="majorEastAsia" w:hAnsiTheme="majorHAnsi" w:cstheme="majorBidi"/>
        </w:rPr>
        <w:t xml:space="preserve">, a kako je opisano u točci 2. Opis </w:t>
      </w:r>
      <w:r w:rsidR="00FA35F9">
        <w:rPr>
          <w:rFonts w:asciiTheme="majorHAnsi" w:eastAsiaTheme="majorEastAsia" w:hAnsiTheme="majorHAnsi" w:cstheme="majorBidi"/>
        </w:rPr>
        <w:t>I</w:t>
      </w:r>
      <w:r w:rsidR="0069086E">
        <w:rPr>
          <w:rFonts w:asciiTheme="majorHAnsi" w:eastAsiaTheme="majorEastAsia" w:hAnsiTheme="majorHAnsi" w:cstheme="majorBidi"/>
        </w:rPr>
        <w:t>nvesticije</w:t>
      </w:r>
      <w:r w:rsidR="005D10A6">
        <w:rPr>
          <w:rFonts w:asciiTheme="majorHAnsi" w:eastAsiaTheme="majorEastAsia" w:hAnsiTheme="majorHAnsi" w:cstheme="majorBidi"/>
        </w:rPr>
        <w:t>.</w:t>
      </w:r>
    </w:p>
    <w:p w14:paraId="05B280F4" w14:textId="7C3149E7" w:rsidR="006C0402" w:rsidRDefault="00EE087D" w:rsidP="003F7F10">
      <w:pPr>
        <w:rPr>
          <w:rFonts w:asciiTheme="majorHAnsi" w:eastAsiaTheme="majorEastAsia" w:hAnsiTheme="majorHAnsi" w:cstheme="majorBidi"/>
        </w:rPr>
      </w:pPr>
      <w:r w:rsidRPr="4B614F43">
        <w:rPr>
          <w:rFonts w:asciiTheme="majorHAnsi" w:eastAsiaTheme="majorEastAsia" w:hAnsiTheme="majorHAnsi" w:cstheme="majorBidi"/>
        </w:rPr>
        <w:t xml:space="preserve">Ciljana područja </w:t>
      </w:r>
      <w:r w:rsidR="00807783">
        <w:rPr>
          <w:rFonts w:asciiTheme="majorHAnsi" w:eastAsiaTheme="majorEastAsia" w:hAnsiTheme="majorHAnsi" w:cstheme="majorBidi"/>
        </w:rPr>
        <w:t xml:space="preserve">Investicije </w:t>
      </w:r>
      <w:r w:rsidRPr="4B614F43">
        <w:rPr>
          <w:rFonts w:asciiTheme="majorHAnsi" w:eastAsiaTheme="majorEastAsia" w:hAnsiTheme="majorHAnsi" w:cstheme="majorBidi"/>
        </w:rPr>
        <w:t>su ruralna područja koja obuhvaćaju dijelove županija s izrazito niskim društveno-ekonomskim pokazateljima</w:t>
      </w:r>
      <w:r w:rsidR="00D84DAE">
        <w:rPr>
          <w:rFonts w:asciiTheme="majorHAnsi" w:eastAsiaTheme="majorEastAsia" w:hAnsiTheme="majorHAnsi" w:cstheme="majorBidi"/>
        </w:rPr>
        <w:t xml:space="preserve">, odnosno koje </w:t>
      </w:r>
      <w:r w:rsidRPr="4B614F43">
        <w:rPr>
          <w:rFonts w:asciiTheme="majorHAnsi" w:eastAsiaTheme="majorEastAsia" w:hAnsiTheme="majorHAnsi" w:cstheme="majorBidi"/>
        </w:rPr>
        <w:t xml:space="preserve">karakteriziraju izrazito niski demografski, socijalni i ekonomski uvjeti u odnosu na nacionalni prosjek. </w:t>
      </w:r>
    </w:p>
    <w:p w14:paraId="130AD27F" w14:textId="74136306" w:rsidR="00761626" w:rsidRDefault="002525DF" w:rsidP="003F7F10">
      <w:pPr>
        <w:rPr>
          <w:rFonts w:asciiTheme="majorHAnsi" w:eastAsiaTheme="majorEastAsia" w:hAnsiTheme="majorHAnsi" w:cstheme="majorBidi"/>
        </w:rPr>
      </w:pPr>
      <w:r w:rsidRPr="4B614F43">
        <w:rPr>
          <w:rFonts w:asciiTheme="majorHAnsi" w:eastAsiaTheme="majorEastAsia" w:hAnsiTheme="majorHAnsi" w:cstheme="majorBidi"/>
        </w:rPr>
        <w:t>Ministarstvo mora, prometa i infrastrukture</w:t>
      </w:r>
      <w:r w:rsidR="00DC736E">
        <w:rPr>
          <w:rFonts w:asciiTheme="majorHAnsi" w:eastAsiaTheme="majorEastAsia" w:hAnsiTheme="majorHAnsi" w:cstheme="majorBidi"/>
        </w:rPr>
        <w:t>,</w:t>
      </w:r>
      <w:r w:rsidRPr="4B614F43">
        <w:rPr>
          <w:rFonts w:asciiTheme="majorHAnsi" w:eastAsiaTheme="majorEastAsia" w:hAnsiTheme="majorHAnsi" w:cstheme="majorBidi"/>
        </w:rPr>
        <w:t xml:space="preserve"> kao</w:t>
      </w:r>
      <w:r w:rsidR="00D766FE" w:rsidRPr="4B614F43">
        <w:rPr>
          <w:rFonts w:asciiTheme="majorHAnsi" w:eastAsiaTheme="majorEastAsia" w:hAnsiTheme="majorHAnsi" w:cstheme="majorBidi"/>
        </w:rPr>
        <w:t xml:space="preserve"> nositelj provedbe </w:t>
      </w:r>
      <w:r w:rsidR="00C359B4" w:rsidRPr="4B614F43">
        <w:rPr>
          <w:rFonts w:asciiTheme="majorHAnsi" w:eastAsiaTheme="majorEastAsia" w:hAnsiTheme="majorHAnsi" w:cstheme="majorBidi"/>
        </w:rPr>
        <w:t>investicije</w:t>
      </w:r>
      <w:r w:rsidR="00761626" w:rsidRPr="4B614F43">
        <w:rPr>
          <w:rFonts w:asciiTheme="majorHAnsi" w:eastAsiaTheme="majorEastAsia" w:hAnsiTheme="majorHAnsi" w:cstheme="majorBidi"/>
        </w:rPr>
        <w:t xml:space="preserve"> C2.3. R4-I2</w:t>
      </w:r>
      <w:r w:rsidR="00C359B4" w:rsidRPr="4B614F43">
        <w:rPr>
          <w:rFonts w:asciiTheme="majorHAnsi" w:eastAsiaTheme="majorEastAsia" w:hAnsiTheme="majorHAnsi" w:cstheme="majorBidi"/>
        </w:rPr>
        <w:t xml:space="preserve"> Izgradnje pasivne elektroničke komunikacijske infrastruktur</w:t>
      </w:r>
      <w:r w:rsidR="00FC380D" w:rsidRPr="4B614F43">
        <w:rPr>
          <w:rFonts w:asciiTheme="majorHAnsi" w:eastAsiaTheme="majorEastAsia" w:hAnsiTheme="majorHAnsi" w:cstheme="majorBidi"/>
        </w:rPr>
        <w:t>e, a Odašiljači i veze d.o.o. kao voditelj</w:t>
      </w:r>
      <w:r w:rsidR="009F2C84">
        <w:rPr>
          <w:rFonts w:asciiTheme="majorHAnsi" w:eastAsiaTheme="majorEastAsia" w:hAnsiTheme="majorHAnsi" w:cstheme="majorBidi"/>
        </w:rPr>
        <w:t xml:space="preserve"> provedbe</w:t>
      </w:r>
      <w:r w:rsidR="00CF42AB">
        <w:rPr>
          <w:rFonts w:asciiTheme="majorHAnsi" w:eastAsiaTheme="majorEastAsia" w:hAnsiTheme="majorHAnsi" w:cstheme="majorBidi"/>
        </w:rPr>
        <w:t xml:space="preserve"> </w:t>
      </w:r>
      <w:r w:rsidR="00807783">
        <w:rPr>
          <w:rFonts w:asciiTheme="majorHAnsi" w:eastAsiaTheme="majorEastAsia" w:hAnsiTheme="majorHAnsi" w:cstheme="majorBidi"/>
        </w:rPr>
        <w:t xml:space="preserve">Investicije </w:t>
      </w:r>
      <w:r w:rsidR="00DC736E">
        <w:rPr>
          <w:rFonts w:asciiTheme="majorHAnsi" w:eastAsiaTheme="majorEastAsia" w:hAnsiTheme="majorHAnsi" w:cstheme="majorBidi"/>
        </w:rPr>
        <w:t>i</w:t>
      </w:r>
      <w:r w:rsidR="00FC380D" w:rsidRPr="4B614F43">
        <w:rPr>
          <w:rFonts w:asciiTheme="majorHAnsi" w:eastAsiaTheme="majorEastAsia" w:hAnsiTheme="majorHAnsi" w:cstheme="majorBidi"/>
        </w:rPr>
        <w:t xml:space="preserve"> </w:t>
      </w:r>
      <w:r w:rsidR="00D51A27">
        <w:rPr>
          <w:rFonts w:asciiTheme="majorHAnsi" w:eastAsiaTheme="majorEastAsia" w:hAnsiTheme="majorHAnsi" w:cstheme="majorBidi"/>
        </w:rPr>
        <w:t xml:space="preserve">društvo </w:t>
      </w:r>
      <w:r w:rsidR="00FC380D" w:rsidRPr="4B614F43">
        <w:rPr>
          <w:rFonts w:asciiTheme="majorHAnsi" w:eastAsiaTheme="majorEastAsia" w:hAnsiTheme="majorHAnsi" w:cstheme="majorBidi"/>
        </w:rPr>
        <w:t>od posebnog interesa Republike Hrvatske</w:t>
      </w:r>
      <w:r w:rsidR="00761626" w:rsidRPr="4B614F43">
        <w:rPr>
          <w:rFonts w:asciiTheme="majorHAnsi" w:eastAsiaTheme="majorEastAsia" w:hAnsiTheme="majorHAnsi" w:cstheme="majorBidi"/>
        </w:rPr>
        <w:t>, poziva</w:t>
      </w:r>
      <w:r w:rsidR="00FC380D" w:rsidRPr="4B614F43">
        <w:rPr>
          <w:rFonts w:asciiTheme="majorHAnsi" w:eastAsiaTheme="majorEastAsia" w:hAnsiTheme="majorHAnsi" w:cstheme="majorBidi"/>
        </w:rPr>
        <w:t>ju</w:t>
      </w:r>
      <w:r w:rsidR="00761626" w:rsidRPr="4B614F43">
        <w:rPr>
          <w:rFonts w:asciiTheme="majorHAnsi" w:eastAsiaTheme="majorEastAsia" w:hAnsiTheme="majorHAnsi" w:cstheme="majorBidi"/>
        </w:rPr>
        <w:t xml:space="preserve"> zainteresirane strane da komentiraju </w:t>
      </w:r>
      <w:r w:rsidR="000F6692" w:rsidRPr="4B614F43">
        <w:rPr>
          <w:rFonts w:asciiTheme="majorHAnsi" w:eastAsiaTheme="majorEastAsia" w:hAnsiTheme="majorHAnsi" w:cstheme="majorBidi"/>
        </w:rPr>
        <w:t>navedena područja</w:t>
      </w:r>
      <w:r w:rsidR="00761626" w:rsidRPr="4B614F43">
        <w:rPr>
          <w:rFonts w:asciiTheme="majorHAnsi" w:eastAsiaTheme="majorEastAsia" w:hAnsiTheme="majorHAnsi" w:cstheme="majorBidi"/>
        </w:rPr>
        <w:t xml:space="preserve"> i dostave informacije i dokaze o svojim mrežama u ciljnom području koje ili već postoje, ili se namjeravaju uvesti u roku </w:t>
      </w:r>
      <w:r w:rsidR="7FCCBF8C" w:rsidRPr="4B614F43">
        <w:rPr>
          <w:rFonts w:asciiTheme="majorHAnsi" w:eastAsiaTheme="majorEastAsia" w:hAnsiTheme="majorHAnsi" w:cstheme="majorBidi"/>
        </w:rPr>
        <w:t xml:space="preserve">do 30. </w:t>
      </w:r>
      <w:r w:rsidR="44502E8B" w:rsidRPr="4B614F43">
        <w:rPr>
          <w:rFonts w:asciiTheme="majorHAnsi" w:eastAsiaTheme="majorEastAsia" w:hAnsiTheme="majorHAnsi" w:cstheme="majorBidi"/>
        </w:rPr>
        <w:t>l</w:t>
      </w:r>
      <w:r w:rsidR="7FCCBF8C" w:rsidRPr="4B614F43">
        <w:rPr>
          <w:rFonts w:asciiTheme="majorHAnsi" w:eastAsiaTheme="majorEastAsia" w:hAnsiTheme="majorHAnsi" w:cstheme="majorBidi"/>
        </w:rPr>
        <w:t xml:space="preserve">ipnja 2026. </w:t>
      </w:r>
      <w:r w:rsidR="6FE111DA" w:rsidRPr="4B614F43">
        <w:rPr>
          <w:rFonts w:asciiTheme="majorHAnsi" w:eastAsiaTheme="majorEastAsia" w:hAnsiTheme="majorHAnsi" w:cstheme="majorBidi"/>
        </w:rPr>
        <w:t>g</w:t>
      </w:r>
      <w:r w:rsidR="7FCCBF8C" w:rsidRPr="4B614F43">
        <w:rPr>
          <w:rFonts w:asciiTheme="majorHAnsi" w:eastAsiaTheme="majorEastAsia" w:hAnsiTheme="majorHAnsi" w:cstheme="majorBidi"/>
        </w:rPr>
        <w:t>odine</w:t>
      </w:r>
      <w:r w:rsidR="5DB753B0" w:rsidRPr="4B614F43">
        <w:rPr>
          <w:rFonts w:asciiTheme="majorHAnsi" w:eastAsiaTheme="majorEastAsia" w:hAnsiTheme="majorHAnsi" w:cstheme="majorBidi"/>
        </w:rPr>
        <w:t>, kada je predviđen</w:t>
      </w:r>
      <w:r w:rsidR="281F60A8" w:rsidRPr="4B614F43">
        <w:rPr>
          <w:rFonts w:asciiTheme="majorHAnsi" w:eastAsiaTheme="majorEastAsia" w:hAnsiTheme="majorHAnsi" w:cstheme="majorBidi"/>
        </w:rPr>
        <w:t xml:space="preserve"> rok završetka predmetne investicije</w:t>
      </w:r>
      <w:r w:rsidR="00761626" w:rsidRPr="4B614F43">
        <w:rPr>
          <w:rFonts w:asciiTheme="majorHAnsi" w:eastAsiaTheme="majorEastAsia" w:hAnsiTheme="majorHAnsi" w:cstheme="majorBidi"/>
        </w:rPr>
        <w:t>.</w:t>
      </w:r>
    </w:p>
    <w:p w14:paraId="14C4ECD5" w14:textId="1B3A67E5" w:rsidR="00874B54" w:rsidRDefault="001609AB" w:rsidP="003F7F10">
      <w:pPr>
        <w:rPr>
          <w:rFonts w:asciiTheme="majorHAnsi" w:eastAsiaTheme="majorEastAsia" w:hAnsiTheme="majorHAnsi" w:cstheme="majorBidi"/>
        </w:rPr>
      </w:pPr>
      <w:r w:rsidRPr="4B614F43">
        <w:rPr>
          <w:rFonts w:asciiTheme="majorHAnsi" w:eastAsiaTheme="majorEastAsia" w:hAnsiTheme="majorHAnsi" w:cstheme="majorBidi"/>
        </w:rPr>
        <w:t xml:space="preserve">Budući da se </w:t>
      </w:r>
      <w:r w:rsidR="00807783">
        <w:rPr>
          <w:rFonts w:asciiTheme="majorHAnsi" w:eastAsiaTheme="majorEastAsia" w:hAnsiTheme="majorHAnsi" w:cstheme="majorBidi"/>
        </w:rPr>
        <w:t xml:space="preserve">Investicija </w:t>
      </w:r>
      <w:r w:rsidR="00485488" w:rsidRPr="4B614F43">
        <w:rPr>
          <w:rFonts w:asciiTheme="majorHAnsi" w:eastAsiaTheme="majorEastAsia" w:hAnsiTheme="majorHAnsi" w:cstheme="majorBidi"/>
        </w:rPr>
        <w:t xml:space="preserve"> financira iz NPOO-a, sredstvima Mehanizma oporavka i otpornosti</w:t>
      </w:r>
      <w:r w:rsidR="00A71AA6" w:rsidRPr="4B614F43">
        <w:rPr>
          <w:rFonts w:asciiTheme="majorHAnsi" w:eastAsiaTheme="majorEastAsia" w:hAnsiTheme="majorHAnsi" w:cstheme="majorBidi"/>
        </w:rPr>
        <w:t>, n</w:t>
      </w:r>
      <w:r w:rsidR="00757F7C" w:rsidRPr="4B614F43">
        <w:rPr>
          <w:rFonts w:asciiTheme="majorHAnsi" w:eastAsiaTheme="majorEastAsia" w:hAnsiTheme="majorHAnsi" w:cstheme="majorBidi"/>
        </w:rPr>
        <w:t>a provedbu investicije primjenjuju se</w:t>
      </w:r>
      <w:r w:rsidR="00A71AA6" w:rsidRPr="4B614F43">
        <w:rPr>
          <w:rFonts w:asciiTheme="majorHAnsi" w:eastAsiaTheme="majorEastAsia" w:hAnsiTheme="majorHAnsi" w:cstheme="majorBidi"/>
        </w:rPr>
        <w:t xml:space="preserve"> </w:t>
      </w:r>
      <w:r w:rsidR="00F83EBD">
        <w:rPr>
          <w:rFonts w:asciiTheme="majorHAnsi" w:eastAsiaTheme="majorEastAsia" w:hAnsiTheme="majorHAnsi" w:cstheme="majorBidi"/>
        </w:rPr>
        <w:t xml:space="preserve">pravila </w:t>
      </w:r>
      <w:r w:rsidR="00A71AA6" w:rsidRPr="4B614F43">
        <w:rPr>
          <w:rFonts w:asciiTheme="majorHAnsi" w:eastAsiaTheme="majorEastAsia" w:hAnsiTheme="majorHAnsi" w:cstheme="majorBidi"/>
        </w:rPr>
        <w:t>E</w:t>
      </w:r>
      <w:r w:rsidR="00C751F8">
        <w:rPr>
          <w:rFonts w:asciiTheme="majorHAnsi" w:eastAsiaTheme="majorEastAsia" w:hAnsiTheme="majorHAnsi" w:cstheme="majorBidi"/>
        </w:rPr>
        <w:t>uropske unije</w:t>
      </w:r>
      <w:r w:rsidR="00A71AA6" w:rsidRPr="4B614F43">
        <w:rPr>
          <w:rFonts w:asciiTheme="majorHAnsi" w:eastAsiaTheme="majorEastAsia" w:hAnsiTheme="majorHAnsi" w:cstheme="majorBidi"/>
        </w:rPr>
        <w:t xml:space="preserve"> </w:t>
      </w:r>
      <w:r w:rsidR="00BB0179">
        <w:rPr>
          <w:rFonts w:asciiTheme="majorHAnsi" w:eastAsiaTheme="majorEastAsia" w:hAnsiTheme="majorHAnsi" w:cstheme="majorBidi"/>
        </w:rPr>
        <w:t xml:space="preserve">o državnim potporama, odnosno </w:t>
      </w:r>
      <w:r w:rsidR="007B4EEC">
        <w:rPr>
          <w:rFonts w:asciiTheme="majorHAnsi" w:eastAsiaTheme="majorEastAsia" w:hAnsiTheme="majorHAnsi" w:cstheme="majorBidi"/>
        </w:rPr>
        <w:t xml:space="preserve"> </w:t>
      </w:r>
      <w:r w:rsidR="00757F7C" w:rsidRPr="4B614F43">
        <w:rPr>
          <w:rFonts w:asciiTheme="majorHAnsi" w:eastAsiaTheme="majorEastAsia" w:hAnsiTheme="majorHAnsi" w:cstheme="majorBidi"/>
        </w:rPr>
        <w:t>član</w:t>
      </w:r>
      <w:r w:rsidR="00321CFA">
        <w:rPr>
          <w:rFonts w:asciiTheme="majorHAnsi" w:eastAsiaTheme="majorEastAsia" w:hAnsiTheme="majorHAnsi" w:cstheme="majorBidi"/>
        </w:rPr>
        <w:t>ci</w:t>
      </w:r>
      <w:r w:rsidR="00757F7C" w:rsidRPr="4B614F43">
        <w:rPr>
          <w:rFonts w:asciiTheme="majorHAnsi" w:eastAsiaTheme="majorEastAsia" w:hAnsiTheme="majorHAnsi" w:cstheme="majorBidi"/>
        </w:rPr>
        <w:t xml:space="preserve"> 107.</w:t>
      </w:r>
      <w:r w:rsidR="00671D11">
        <w:rPr>
          <w:rFonts w:asciiTheme="majorHAnsi" w:eastAsiaTheme="majorEastAsia" w:hAnsiTheme="majorHAnsi" w:cstheme="majorBidi"/>
        </w:rPr>
        <w:t>-109.</w:t>
      </w:r>
      <w:r w:rsidR="00757F7C" w:rsidRPr="4B614F43">
        <w:rPr>
          <w:rFonts w:asciiTheme="majorHAnsi" w:eastAsiaTheme="majorEastAsia" w:hAnsiTheme="majorHAnsi" w:cstheme="majorBidi"/>
        </w:rPr>
        <w:t xml:space="preserve"> Ugovora o funkcioniranju Europske unije</w:t>
      </w:r>
      <w:r w:rsidR="00EC7960" w:rsidRPr="4B614F43">
        <w:rPr>
          <w:rFonts w:asciiTheme="majorHAnsi" w:eastAsiaTheme="majorEastAsia" w:hAnsiTheme="majorHAnsi" w:cstheme="majorBidi"/>
        </w:rPr>
        <w:t xml:space="preserve">, što je uređeno Uredbom (EU) 2021/241 Europskog parlamenta i Vijeća od 12. veljače 2021. o uspostavi Mehanizma za oporavak i otpornost. Predmetna pravila </w:t>
      </w:r>
      <w:r w:rsidR="001726A5">
        <w:rPr>
          <w:rFonts w:asciiTheme="majorHAnsi" w:eastAsiaTheme="majorEastAsia" w:hAnsiTheme="majorHAnsi" w:cstheme="majorBidi"/>
        </w:rPr>
        <w:t xml:space="preserve">o državnim potporama </w:t>
      </w:r>
      <w:r w:rsidR="00EC7960" w:rsidRPr="4B614F43">
        <w:rPr>
          <w:rFonts w:asciiTheme="majorHAnsi" w:eastAsiaTheme="majorEastAsia" w:hAnsiTheme="majorHAnsi" w:cstheme="majorBidi"/>
        </w:rPr>
        <w:t xml:space="preserve">su sadržana u aktima Europske komisije (uredbama i smjernicama). </w:t>
      </w:r>
    </w:p>
    <w:p w14:paraId="064A8248" w14:textId="2AB06C5F" w:rsidR="00F370CE" w:rsidRDefault="00F10707" w:rsidP="003F7F10">
      <w:pPr>
        <w:rPr>
          <w:rFonts w:asciiTheme="majorHAnsi" w:eastAsiaTheme="majorEastAsia" w:hAnsiTheme="majorHAnsi" w:cstheme="majorBidi"/>
        </w:rPr>
      </w:pPr>
      <w:r>
        <w:rPr>
          <w:rFonts w:asciiTheme="majorHAnsi" w:eastAsiaTheme="majorEastAsia" w:hAnsiTheme="majorHAnsi" w:cstheme="majorBidi"/>
        </w:rPr>
        <w:t xml:space="preserve">Na dodjelu </w:t>
      </w:r>
      <w:r w:rsidR="00C8574F">
        <w:rPr>
          <w:rFonts w:asciiTheme="majorHAnsi" w:eastAsiaTheme="majorEastAsia" w:hAnsiTheme="majorHAnsi" w:cstheme="majorBidi"/>
        </w:rPr>
        <w:t xml:space="preserve">državne </w:t>
      </w:r>
      <w:r>
        <w:rPr>
          <w:rFonts w:asciiTheme="majorHAnsi" w:eastAsiaTheme="majorEastAsia" w:hAnsiTheme="majorHAnsi" w:cstheme="majorBidi"/>
        </w:rPr>
        <w:t xml:space="preserve">potpore za </w:t>
      </w:r>
      <w:r w:rsidR="004B2F7E">
        <w:rPr>
          <w:rFonts w:asciiTheme="majorHAnsi" w:eastAsiaTheme="majorEastAsia" w:hAnsiTheme="majorHAnsi" w:cstheme="majorBidi"/>
        </w:rPr>
        <w:t xml:space="preserve">Investiciju </w:t>
      </w:r>
      <w:r w:rsidR="00F864A6">
        <w:rPr>
          <w:rFonts w:asciiTheme="majorHAnsi" w:eastAsiaTheme="majorEastAsia" w:hAnsiTheme="majorHAnsi" w:cstheme="majorBidi"/>
        </w:rPr>
        <w:t xml:space="preserve"> primjenjuju se </w:t>
      </w:r>
      <w:r w:rsidR="00774DAC">
        <w:rPr>
          <w:rFonts w:asciiTheme="majorHAnsi" w:eastAsiaTheme="majorEastAsia" w:hAnsiTheme="majorHAnsi" w:cstheme="majorBidi"/>
        </w:rPr>
        <w:t>uvjet</w:t>
      </w:r>
      <w:r w:rsidR="00F864A6">
        <w:rPr>
          <w:rFonts w:asciiTheme="majorHAnsi" w:eastAsiaTheme="majorEastAsia" w:hAnsiTheme="majorHAnsi" w:cstheme="majorBidi"/>
        </w:rPr>
        <w:t>i</w:t>
      </w:r>
      <w:r w:rsidR="00774DAC">
        <w:rPr>
          <w:rFonts w:asciiTheme="majorHAnsi" w:eastAsiaTheme="majorEastAsia" w:hAnsiTheme="majorHAnsi" w:cstheme="majorBidi"/>
        </w:rPr>
        <w:t xml:space="preserve"> </w:t>
      </w:r>
      <w:r w:rsidR="00874B54">
        <w:rPr>
          <w:rFonts w:asciiTheme="majorHAnsi" w:eastAsiaTheme="majorEastAsia" w:hAnsiTheme="majorHAnsi" w:cstheme="majorBidi"/>
        </w:rPr>
        <w:t xml:space="preserve">iz </w:t>
      </w:r>
      <w:r w:rsidR="00874B54" w:rsidRPr="00D06A91">
        <w:rPr>
          <w:rFonts w:asciiTheme="majorHAnsi" w:hAnsiTheme="majorHAnsi" w:cstheme="majorHAnsi"/>
        </w:rPr>
        <w:t>Uredbe Komisije (EU) br. 651/2014 od 17. lipnja 2014. o ocjenjivanju određenih kategorija potpora spojivima s unutarnjim tržištem u primjeni članaka 107. i 108. Ugovora o funkcioniranju Europske unije</w:t>
      </w:r>
      <w:r w:rsidR="00874B54" w:rsidRPr="00D06A91">
        <w:rPr>
          <w:rStyle w:val="FootnoteReference"/>
          <w:rFonts w:asciiTheme="majorHAnsi" w:hAnsiTheme="majorHAnsi" w:cstheme="majorHAnsi"/>
        </w:rPr>
        <w:footnoteReference w:id="2"/>
      </w:r>
      <w:r w:rsidR="00874B54" w:rsidRPr="00D06A91">
        <w:rPr>
          <w:rFonts w:asciiTheme="majorHAnsi" w:hAnsiTheme="majorHAnsi" w:cstheme="majorHAnsi"/>
        </w:rPr>
        <w:t>, Uredbe Komisije (EU)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874B54" w:rsidRPr="00D06A91">
        <w:rPr>
          <w:rStyle w:val="FootnoteReference"/>
          <w:rFonts w:asciiTheme="majorHAnsi" w:hAnsiTheme="majorHAnsi" w:cstheme="majorHAnsi"/>
        </w:rPr>
        <w:footnoteReference w:id="3"/>
      </w:r>
      <w:r w:rsidR="00874B54" w:rsidRPr="00D06A91">
        <w:rPr>
          <w:rFonts w:asciiTheme="majorHAnsi" w:hAnsiTheme="majorHAnsi" w:cstheme="majorHAnsi"/>
        </w:rPr>
        <w:t>, Uredbe Komisije (EU) 2020/972 od 2. srpnja 2020. o izmjeni Uredbe (EU) br. 1407/2013 u pogledu njezina produljenja i o izmjeni Uredbe (EU) br.</w:t>
      </w:r>
      <w:r w:rsidR="00874B54" w:rsidRPr="00AF061F">
        <w:rPr>
          <w:rFonts w:ascii="Times New Roman" w:hAnsi="Times New Roman" w:cs="Times New Roman"/>
          <w:sz w:val="24"/>
          <w:szCs w:val="24"/>
        </w:rPr>
        <w:t xml:space="preserve"> </w:t>
      </w:r>
      <w:r w:rsidR="00874B54" w:rsidRPr="00D06A91">
        <w:rPr>
          <w:rFonts w:asciiTheme="majorHAnsi" w:hAnsiTheme="majorHAnsi" w:cstheme="majorHAnsi"/>
        </w:rPr>
        <w:t>651/2014 u pogledu njezina produljenja i odgovarajućih prilagodbi</w:t>
      </w:r>
      <w:r w:rsidR="00874B54" w:rsidRPr="00D06A91">
        <w:rPr>
          <w:rStyle w:val="FootnoteReference"/>
          <w:rFonts w:asciiTheme="majorHAnsi" w:hAnsiTheme="majorHAnsi" w:cstheme="majorHAnsi"/>
        </w:rPr>
        <w:footnoteReference w:id="4"/>
      </w:r>
      <w:r w:rsidR="00874B54" w:rsidRPr="00D06A91">
        <w:rPr>
          <w:rFonts w:asciiTheme="majorHAnsi" w:hAnsiTheme="majorHAnsi" w:cstheme="majorHAnsi"/>
        </w:rPr>
        <w:t xml:space="preserve"> i Uredbe (EU) 2021/1237 od 23. srpnja 2021. o izmjeni Uredbe (EU) br. 651/2014 o ocjenjivanju određenih kategorija potpora spojivima s unutarnjim tržištem u primjeni članka 107. i 108. Ugovora</w:t>
      </w:r>
      <w:r w:rsidR="00874B54" w:rsidRPr="00D06A91">
        <w:rPr>
          <w:rStyle w:val="FootnoteReference"/>
          <w:rFonts w:asciiTheme="majorHAnsi" w:hAnsiTheme="majorHAnsi" w:cstheme="majorHAnsi"/>
        </w:rPr>
        <w:footnoteReference w:id="5"/>
      </w:r>
      <w:r w:rsidR="00C8574F">
        <w:rPr>
          <w:rFonts w:asciiTheme="majorHAnsi" w:eastAsiaTheme="majorEastAsia" w:hAnsiTheme="majorHAnsi" w:cstheme="majorBidi"/>
        </w:rPr>
        <w:t>.</w:t>
      </w:r>
    </w:p>
    <w:p w14:paraId="041A8AE7" w14:textId="350DE41D" w:rsidR="00757F7C" w:rsidRDefault="00C8574F" w:rsidP="003F7F10">
      <w:pPr>
        <w:rPr>
          <w:rFonts w:asciiTheme="majorHAnsi" w:eastAsiaTheme="majorEastAsia" w:hAnsiTheme="majorHAnsi" w:cstheme="majorBidi"/>
        </w:rPr>
      </w:pPr>
      <w:r>
        <w:rPr>
          <w:rFonts w:asciiTheme="majorHAnsi" w:eastAsiaTheme="majorEastAsia" w:hAnsiTheme="majorHAnsi" w:cstheme="majorBidi"/>
        </w:rPr>
        <w:t>Konkretno, d</w:t>
      </w:r>
      <w:r w:rsidR="00522C47">
        <w:rPr>
          <w:rFonts w:asciiTheme="majorHAnsi" w:eastAsiaTheme="majorEastAsia" w:hAnsiTheme="majorHAnsi" w:cstheme="majorBidi"/>
        </w:rPr>
        <w:t xml:space="preserve">ržavne potpore za mobilne mreže 4G i 5G </w:t>
      </w:r>
      <w:r w:rsidR="00C47415">
        <w:rPr>
          <w:rFonts w:asciiTheme="majorHAnsi" w:eastAsiaTheme="majorEastAsia" w:hAnsiTheme="majorHAnsi" w:cstheme="majorBidi"/>
        </w:rPr>
        <w:t xml:space="preserve">spojive su s unutarnjim tržištem u skladu s člankom 107. stavkom </w:t>
      </w:r>
      <w:r w:rsidR="006C406A">
        <w:rPr>
          <w:rFonts w:asciiTheme="majorHAnsi" w:eastAsiaTheme="majorEastAsia" w:hAnsiTheme="majorHAnsi" w:cstheme="majorBidi"/>
        </w:rPr>
        <w:t xml:space="preserve">3. točka (a) UFEU i izuzimaju se od </w:t>
      </w:r>
      <w:r w:rsidR="00E50910">
        <w:rPr>
          <w:rFonts w:asciiTheme="majorHAnsi" w:eastAsiaTheme="majorEastAsia" w:hAnsiTheme="majorHAnsi" w:cstheme="majorBidi"/>
        </w:rPr>
        <w:t>obveze prijave Eur</w:t>
      </w:r>
      <w:r w:rsidR="00E21BF0">
        <w:rPr>
          <w:rFonts w:asciiTheme="majorHAnsi" w:eastAsiaTheme="majorEastAsia" w:hAnsiTheme="majorHAnsi" w:cstheme="majorBidi"/>
        </w:rPr>
        <w:t xml:space="preserve">opskoj komisiji iz članka 108. stavka 3. UFEU </w:t>
      </w:r>
      <w:r w:rsidR="000A1DF2">
        <w:rPr>
          <w:rFonts w:asciiTheme="majorHAnsi" w:eastAsiaTheme="majorEastAsia" w:hAnsiTheme="majorHAnsi" w:cstheme="majorBidi"/>
        </w:rPr>
        <w:t xml:space="preserve">kada </w:t>
      </w:r>
      <w:r w:rsidR="00E21BF0">
        <w:rPr>
          <w:rFonts w:asciiTheme="majorHAnsi" w:eastAsiaTheme="majorEastAsia" w:hAnsiTheme="majorHAnsi" w:cstheme="majorBidi"/>
        </w:rPr>
        <w:t xml:space="preserve">su </w:t>
      </w:r>
      <w:r w:rsidR="007D0C94">
        <w:rPr>
          <w:rFonts w:asciiTheme="majorHAnsi" w:eastAsiaTheme="majorEastAsia" w:hAnsiTheme="majorHAnsi" w:cstheme="majorBidi"/>
        </w:rPr>
        <w:t>ispunj</w:t>
      </w:r>
      <w:r w:rsidR="00E21BF0">
        <w:rPr>
          <w:rFonts w:asciiTheme="majorHAnsi" w:eastAsiaTheme="majorEastAsia" w:hAnsiTheme="majorHAnsi" w:cstheme="majorBidi"/>
        </w:rPr>
        <w:t xml:space="preserve">eni </w:t>
      </w:r>
      <w:r w:rsidR="007D0C94">
        <w:rPr>
          <w:rFonts w:asciiTheme="majorHAnsi" w:eastAsiaTheme="majorEastAsia" w:hAnsiTheme="majorHAnsi" w:cstheme="majorBidi"/>
        </w:rPr>
        <w:t>uvjet</w:t>
      </w:r>
      <w:r w:rsidR="00E21BF0">
        <w:rPr>
          <w:rFonts w:asciiTheme="majorHAnsi" w:eastAsiaTheme="majorEastAsia" w:hAnsiTheme="majorHAnsi" w:cstheme="majorBidi"/>
        </w:rPr>
        <w:t>i</w:t>
      </w:r>
      <w:r w:rsidR="007D0C94">
        <w:rPr>
          <w:rFonts w:asciiTheme="majorHAnsi" w:eastAsiaTheme="majorEastAsia" w:hAnsiTheme="majorHAnsi" w:cstheme="majorBidi"/>
        </w:rPr>
        <w:t xml:space="preserve"> </w:t>
      </w:r>
      <w:r w:rsidR="00A97A5D">
        <w:rPr>
          <w:rFonts w:asciiTheme="majorHAnsi" w:eastAsiaTheme="majorEastAsia" w:hAnsiTheme="majorHAnsi" w:cstheme="majorBidi"/>
        </w:rPr>
        <w:t xml:space="preserve">utvrđeni u </w:t>
      </w:r>
      <w:r w:rsidR="00D869A6">
        <w:rPr>
          <w:rFonts w:asciiTheme="majorHAnsi" w:eastAsiaTheme="majorEastAsia" w:hAnsiTheme="majorHAnsi" w:cstheme="majorBidi"/>
        </w:rPr>
        <w:t>člank</w:t>
      </w:r>
      <w:r w:rsidR="00A97A5D">
        <w:rPr>
          <w:rFonts w:asciiTheme="majorHAnsi" w:eastAsiaTheme="majorEastAsia" w:hAnsiTheme="majorHAnsi" w:cstheme="majorBidi"/>
        </w:rPr>
        <w:t>u</w:t>
      </w:r>
      <w:r w:rsidR="00D869A6">
        <w:rPr>
          <w:rFonts w:asciiTheme="majorHAnsi" w:eastAsiaTheme="majorEastAsia" w:hAnsiTheme="majorHAnsi" w:cstheme="majorBidi"/>
        </w:rPr>
        <w:t xml:space="preserve"> 52.a </w:t>
      </w:r>
      <w:r w:rsidR="00777DFC">
        <w:rPr>
          <w:rFonts w:asciiTheme="majorHAnsi" w:eastAsiaTheme="majorEastAsia" w:hAnsiTheme="majorHAnsi" w:cstheme="majorBidi"/>
        </w:rPr>
        <w:t>i poglavlj</w:t>
      </w:r>
      <w:r w:rsidR="00A97A5D">
        <w:rPr>
          <w:rFonts w:asciiTheme="majorHAnsi" w:eastAsiaTheme="majorEastAsia" w:hAnsiTheme="majorHAnsi" w:cstheme="majorBidi"/>
        </w:rPr>
        <w:t>u</w:t>
      </w:r>
      <w:r w:rsidR="00777DFC">
        <w:rPr>
          <w:rFonts w:asciiTheme="majorHAnsi" w:eastAsiaTheme="majorEastAsia" w:hAnsiTheme="majorHAnsi" w:cstheme="majorBidi"/>
        </w:rPr>
        <w:t xml:space="preserve"> I. </w:t>
      </w:r>
      <w:r w:rsidR="000A1DF2">
        <w:rPr>
          <w:rFonts w:asciiTheme="majorHAnsi" w:eastAsiaTheme="majorEastAsia" w:hAnsiTheme="majorHAnsi" w:cstheme="majorBidi"/>
        </w:rPr>
        <w:t xml:space="preserve">Uredbe 651/2014. </w:t>
      </w:r>
    </w:p>
    <w:p w14:paraId="60FADCD0" w14:textId="35E5A319" w:rsidR="00E0182F" w:rsidRPr="00E82D00" w:rsidRDefault="008F543C" w:rsidP="00E82D00">
      <w:pPr>
        <w:rPr>
          <w:rFonts w:asciiTheme="majorHAnsi" w:eastAsiaTheme="majorEastAsia" w:hAnsiTheme="majorHAnsi" w:cstheme="majorBidi"/>
        </w:rPr>
      </w:pPr>
      <w:r w:rsidRPr="4B614F43">
        <w:rPr>
          <w:rFonts w:asciiTheme="majorHAnsi" w:eastAsiaTheme="majorEastAsia" w:hAnsiTheme="majorHAnsi" w:cstheme="majorBidi"/>
        </w:rPr>
        <w:lastRenderedPageBreak/>
        <w:t xml:space="preserve">Shodno tome, ovim javnim savjetovanjem </w:t>
      </w:r>
      <w:r w:rsidR="00E0182F" w:rsidRPr="4B614F43">
        <w:rPr>
          <w:rFonts w:asciiTheme="majorHAnsi" w:eastAsiaTheme="majorEastAsia" w:hAnsiTheme="majorHAnsi" w:cstheme="majorBidi"/>
        </w:rPr>
        <w:t>utvrdit</w:t>
      </w:r>
      <w:r w:rsidRPr="4B614F43">
        <w:rPr>
          <w:rFonts w:asciiTheme="majorHAnsi" w:eastAsiaTheme="majorEastAsia" w:hAnsiTheme="majorHAnsi" w:cstheme="majorBidi"/>
        </w:rPr>
        <w:t xml:space="preserve"> će se</w:t>
      </w:r>
      <w:r w:rsidR="00E0182F" w:rsidRPr="4B614F43">
        <w:rPr>
          <w:rFonts w:asciiTheme="majorHAnsi" w:eastAsiaTheme="majorEastAsia" w:hAnsiTheme="majorHAnsi" w:cstheme="majorBidi"/>
        </w:rPr>
        <w:t xml:space="preserve"> ispunjavanje sljedećih uvjeta iz</w:t>
      </w:r>
      <w:r w:rsidR="00D22637">
        <w:rPr>
          <w:rFonts w:asciiTheme="majorHAnsi" w:eastAsiaTheme="majorEastAsia" w:hAnsiTheme="majorHAnsi" w:cstheme="majorBidi"/>
        </w:rPr>
        <w:t xml:space="preserve"> članka </w:t>
      </w:r>
      <w:r w:rsidR="00301DB6">
        <w:rPr>
          <w:rFonts w:asciiTheme="majorHAnsi" w:eastAsiaTheme="majorEastAsia" w:hAnsiTheme="majorHAnsi" w:cstheme="majorBidi"/>
        </w:rPr>
        <w:t xml:space="preserve">52.a </w:t>
      </w:r>
      <w:r w:rsidR="0025473B" w:rsidRPr="00E82D00">
        <w:rPr>
          <w:rFonts w:asciiTheme="majorHAnsi" w:eastAsiaTheme="majorEastAsia" w:hAnsiTheme="majorHAnsi" w:cstheme="majorBidi"/>
        </w:rPr>
        <w:t xml:space="preserve">stavka </w:t>
      </w:r>
      <w:r w:rsidR="00346F12" w:rsidRPr="00E82D00">
        <w:rPr>
          <w:rFonts w:asciiTheme="majorHAnsi" w:eastAsiaTheme="majorEastAsia" w:hAnsiTheme="majorHAnsi" w:cstheme="majorBidi"/>
        </w:rPr>
        <w:t>3.</w:t>
      </w:r>
      <w:r w:rsidR="00E0182F" w:rsidRPr="00E82D00">
        <w:rPr>
          <w:rFonts w:asciiTheme="majorHAnsi" w:eastAsiaTheme="majorEastAsia" w:hAnsiTheme="majorHAnsi" w:cstheme="majorBidi"/>
        </w:rPr>
        <w:t xml:space="preserve"> Uredbe 651/2014:</w:t>
      </w:r>
    </w:p>
    <w:p w14:paraId="53ACBC1E" w14:textId="45AECA27" w:rsidR="00E0182F" w:rsidRDefault="00027627" w:rsidP="003F7F10">
      <w:pPr>
        <w:pStyle w:val="ListParagraph"/>
        <w:numPr>
          <w:ilvl w:val="0"/>
          <w:numId w:val="11"/>
        </w:numPr>
        <w:rPr>
          <w:rFonts w:asciiTheme="majorHAnsi" w:eastAsiaTheme="majorEastAsia" w:hAnsiTheme="majorHAnsi" w:cstheme="majorBidi"/>
        </w:rPr>
      </w:pPr>
      <w:r>
        <w:rPr>
          <w:rFonts w:asciiTheme="majorHAnsi" w:eastAsiaTheme="majorEastAsia" w:hAnsiTheme="majorHAnsi" w:cstheme="majorBidi"/>
        </w:rPr>
        <w:t>u</w:t>
      </w:r>
      <w:r w:rsidR="00E0182F" w:rsidRPr="4B614F43">
        <w:rPr>
          <w:rFonts w:asciiTheme="majorHAnsi" w:eastAsiaTheme="majorEastAsia" w:hAnsiTheme="majorHAnsi" w:cstheme="majorBidi"/>
        </w:rPr>
        <w:t>laganje u mreže 5G mora se nalaziti u područjima u kojima nisu uvedene mobilne mreže ili u kojim su dostupne samo mobilne mreže koje mogu podržati mobilne usluge do 3G i u kojima ne postoje mobilne mreže 4G ni 5G niti se njihovo uvođenje planira u roku od tri godine od trenutka objave dodjele potpore ili u istom vremenskom roku kao i uvođenje subvencionirane mrež</w:t>
      </w:r>
      <w:r w:rsidR="00935E57" w:rsidRPr="4B614F43">
        <w:rPr>
          <w:rFonts w:asciiTheme="majorHAnsi" w:eastAsiaTheme="majorEastAsia" w:hAnsiTheme="majorHAnsi" w:cstheme="majorBidi"/>
        </w:rPr>
        <w:t>e.</w:t>
      </w:r>
      <w:r w:rsidR="005D09B3">
        <w:rPr>
          <w:rFonts w:asciiTheme="majorHAnsi" w:eastAsiaTheme="majorEastAsia" w:hAnsiTheme="majorHAnsi" w:cstheme="majorBidi"/>
        </w:rPr>
        <w:t xml:space="preserve"> To se provjerava </w:t>
      </w:r>
      <w:r w:rsidR="00894A3E">
        <w:rPr>
          <w:rFonts w:asciiTheme="majorHAnsi" w:eastAsiaTheme="majorEastAsia" w:hAnsiTheme="majorHAnsi" w:cstheme="majorBidi"/>
        </w:rPr>
        <w:t>putem mapiranja i javnog savjetovanja</w:t>
      </w:r>
      <w:r w:rsidR="00E42B8B">
        <w:rPr>
          <w:rFonts w:asciiTheme="majorHAnsi" w:eastAsiaTheme="majorEastAsia" w:hAnsiTheme="majorHAnsi" w:cstheme="majorBidi"/>
        </w:rPr>
        <w:t xml:space="preserve">, kako je propisano </w:t>
      </w:r>
      <w:r w:rsidR="009A12E9">
        <w:rPr>
          <w:rFonts w:asciiTheme="majorHAnsi" w:eastAsiaTheme="majorEastAsia" w:hAnsiTheme="majorHAnsi" w:cstheme="majorBidi"/>
        </w:rPr>
        <w:t xml:space="preserve">člankom 52. </w:t>
      </w:r>
      <w:r w:rsidR="005F6FB8">
        <w:rPr>
          <w:rFonts w:asciiTheme="majorHAnsi" w:eastAsiaTheme="majorEastAsia" w:hAnsiTheme="majorHAnsi" w:cstheme="majorBidi"/>
        </w:rPr>
        <w:t>stavkom</w:t>
      </w:r>
      <w:r w:rsidR="00346F12">
        <w:rPr>
          <w:rFonts w:asciiTheme="majorHAnsi" w:eastAsiaTheme="majorEastAsia" w:hAnsiTheme="majorHAnsi" w:cstheme="majorBidi"/>
        </w:rPr>
        <w:t xml:space="preserve"> 4. </w:t>
      </w:r>
      <w:r w:rsidR="009A12E9">
        <w:rPr>
          <w:rFonts w:asciiTheme="majorHAnsi" w:eastAsiaTheme="majorEastAsia" w:hAnsiTheme="majorHAnsi" w:cstheme="majorBidi"/>
        </w:rPr>
        <w:t>Uredbe 651/2014</w:t>
      </w:r>
      <w:r w:rsidR="00AA4E2F">
        <w:rPr>
          <w:rFonts w:asciiTheme="majorHAnsi" w:eastAsiaTheme="majorEastAsia" w:hAnsiTheme="majorHAnsi" w:cstheme="majorBidi"/>
        </w:rPr>
        <w:t>, i to na sljedeći način:</w:t>
      </w:r>
    </w:p>
    <w:p w14:paraId="3E9A316D" w14:textId="3677E3ED" w:rsidR="00AA4E2F" w:rsidRDefault="00996232" w:rsidP="00EF7EF3">
      <w:pPr>
        <w:pStyle w:val="ListParagraph"/>
        <w:numPr>
          <w:ilvl w:val="0"/>
          <w:numId w:val="15"/>
        </w:numPr>
        <w:rPr>
          <w:rFonts w:asciiTheme="majorHAnsi" w:eastAsiaTheme="majorEastAsia" w:hAnsiTheme="majorHAnsi" w:cstheme="majorBidi"/>
        </w:rPr>
      </w:pPr>
      <w:r>
        <w:rPr>
          <w:rFonts w:asciiTheme="majorHAnsi" w:eastAsiaTheme="majorEastAsia" w:hAnsiTheme="majorHAnsi" w:cstheme="majorBidi"/>
        </w:rPr>
        <w:t>m</w:t>
      </w:r>
      <w:r w:rsidR="0020276C">
        <w:rPr>
          <w:rFonts w:asciiTheme="majorHAnsi" w:eastAsiaTheme="majorEastAsia" w:hAnsiTheme="majorHAnsi" w:cstheme="majorBidi"/>
        </w:rPr>
        <w:t xml:space="preserve">apiranjem </w:t>
      </w:r>
      <w:r w:rsidR="00940E28">
        <w:rPr>
          <w:rFonts w:asciiTheme="majorHAnsi" w:eastAsiaTheme="majorEastAsia" w:hAnsiTheme="majorHAnsi" w:cstheme="majorBidi"/>
        </w:rPr>
        <w:t xml:space="preserve">se </w:t>
      </w:r>
      <w:r w:rsidR="006054AE">
        <w:rPr>
          <w:rFonts w:asciiTheme="majorHAnsi" w:eastAsiaTheme="majorEastAsia" w:hAnsiTheme="majorHAnsi" w:cstheme="majorBidi"/>
        </w:rPr>
        <w:t xml:space="preserve">moraju </w:t>
      </w:r>
      <w:r w:rsidR="00940E28">
        <w:rPr>
          <w:rFonts w:asciiTheme="majorHAnsi" w:eastAsiaTheme="majorEastAsia" w:hAnsiTheme="majorHAnsi" w:cstheme="majorBidi"/>
        </w:rPr>
        <w:t>jasno utvr</w:t>
      </w:r>
      <w:r w:rsidR="006054AE">
        <w:rPr>
          <w:rFonts w:asciiTheme="majorHAnsi" w:eastAsiaTheme="majorEastAsia" w:hAnsiTheme="majorHAnsi" w:cstheme="majorBidi"/>
        </w:rPr>
        <w:t>diti</w:t>
      </w:r>
      <w:r w:rsidR="00940E28">
        <w:rPr>
          <w:rFonts w:asciiTheme="majorHAnsi" w:eastAsiaTheme="majorEastAsia" w:hAnsiTheme="majorHAnsi" w:cstheme="majorBidi"/>
        </w:rPr>
        <w:t xml:space="preserve"> zemljopisna ciljna područja koja se namjeravaju obuhvatiti javnom intervencijom i uz</w:t>
      </w:r>
      <w:r w:rsidR="006054AE">
        <w:rPr>
          <w:rFonts w:asciiTheme="majorHAnsi" w:eastAsiaTheme="majorEastAsia" w:hAnsiTheme="majorHAnsi" w:cstheme="majorBidi"/>
        </w:rPr>
        <w:t>eti</w:t>
      </w:r>
      <w:r w:rsidR="00940E28">
        <w:rPr>
          <w:rFonts w:asciiTheme="majorHAnsi" w:eastAsiaTheme="majorEastAsia" w:hAnsiTheme="majorHAnsi" w:cstheme="majorBidi"/>
        </w:rPr>
        <w:t xml:space="preserve"> se u obzir sve sadašnje mobilne mreže, ovisno o vrsti ulaganja</w:t>
      </w:r>
      <w:r w:rsidR="008001CF">
        <w:rPr>
          <w:rFonts w:asciiTheme="majorHAnsi" w:eastAsiaTheme="majorEastAsia" w:hAnsiTheme="majorHAnsi" w:cstheme="majorBidi"/>
        </w:rPr>
        <w:t xml:space="preserve">. </w:t>
      </w:r>
      <w:r w:rsidR="00441179">
        <w:rPr>
          <w:rFonts w:asciiTheme="majorHAnsi" w:eastAsiaTheme="majorEastAsia" w:hAnsiTheme="majorHAnsi" w:cstheme="majorBidi"/>
        </w:rPr>
        <w:t xml:space="preserve">Mapiranje se provodi na </w:t>
      </w:r>
      <w:r w:rsidR="009C38EE">
        <w:rPr>
          <w:rFonts w:asciiTheme="majorHAnsi" w:eastAsiaTheme="majorEastAsia" w:hAnsiTheme="majorHAnsi" w:cstheme="majorBidi"/>
        </w:rPr>
        <w:t xml:space="preserve">temelju mreže od najviše 100 x 100 metara. </w:t>
      </w:r>
      <w:r w:rsidR="008001CF">
        <w:rPr>
          <w:rFonts w:asciiTheme="majorHAnsi" w:eastAsiaTheme="majorEastAsia" w:hAnsiTheme="majorHAnsi" w:cstheme="majorBidi"/>
        </w:rPr>
        <w:t>Mapiranje se provjerava putem javnog savjetovanja;</w:t>
      </w:r>
    </w:p>
    <w:p w14:paraId="68DB34A0" w14:textId="2D7D2F97" w:rsidR="003E6822" w:rsidRDefault="00996232" w:rsidP="00D1497C">
      <w:pPr>
        <w:pStyle w:val="ListParagraph"/>
        <w:numPr>
          <w:ilvl w:val="0"/>
          <w:numId w:val="15"/>
        </w:numPr>
        <w:ind w:left="1434" w:hanging="357"/>
        <w:contextualSpacing w:val="0"/>
        <w:rPr>
          <w:rFonts w:asciiTheme="majorHAnsi" w:eastAsiaTheme="majorEastAsia" w:hAnsiTheme="majorHAnsi" w:cstheme="majorBidi"/>
        </w:rPr>
      </w:pPr>
      <w:r>
        <w:rPr>
          <w:rFonts w:asciiTheme="majorHAnsi" w:eastAsiaTheme="majorEastAsia" w:hAnsiTheme="majorHAnsi" w:cstheme="majorBidi"/>
        </w:rPr>
        <w:t>j</w:t>
      </w:r>
      <w:r w:rsidR="008001CF">
        <w:rPr>
          <w:rFonts w:asciiTheme="majorHAnsi" w:eastAsiaTheme="majorEastAsia" w:hAnsiTheme="majorHAnsi" w:cstheme="majorBidi"/>
        </w:rPr>
        <w:t xml:space="preserve">avno savjetovanje provodi </w:t>
      </w:r>
      <w:r w:rsidR="00822AFF">
        <w:rPr>
          <w:rFonts w:asciiTheme="majorHAnsi" w:eastAsiaTheme="majorEastAsia" w:hAnsiTheme="majorHAnsi" w:cstheme="majorBidi"/>
        </w:rPr>
        <w:t xml:space="preserve">nadležno javno tijelo države članice, odnosno </w:t>
      </w:r>
      <w:r w:rsidR="00920CD1">
        <w:rPr>
          <w:rFonts w:asciiTheme="majorHAnsi" w:eastAsiaTheme="majorEastAsia" w:hAnsiTheme="majorHAnsi" w:cstheme="majorBidi"/>
        </w:rPr>
        <w:t>Ministarstvo mora, prometa i infrastrukture</w:t>
      </w:r>
      <w:r w:rsidR="000A131D">
        <w:rPr>
          <w:rFonts w:asciiTheme="majorHAnsi" w:eastAsiaTheme="majorEastAsia" w:hAnsiTheme="majorHAnsi" w:cstheme="majorBidi"/>
        </w:rPr>
        <w:t>,</w:t>
      </w:r>
      <w:r w:rsidR="00920CD1">
        <w:rPr>
          <w:rFonts w:asciiTheme="majorHAnsi" w:eastAsiaTheme="majorEastAsia" w:hAnsiTheme="majorHAnsi" w:cstheme="majorBidi"/>
        </w:rPr>
        <w:t xml:space="preserve"> </w:t>
      </w:r>
      <w:r w:rsidR="00D248FA">
        <w:rPr>
          <w:rFonts w:asciiTheme="majorHAnsi" w:eastAsiaTheme="majorEastAsia" w:hAnsiTheme="majorHAnsi" w:cstheme="majorBidi"/>
        </w:rPr>
        <w:t xml:space="preserve">objavljivanjem glavnih značajki </w:t>
      </w:r>
      <w:r w:rsidR="00BF4B3F">
        <w:rPr>
          <w:rFonts w:asciiTheme="majorHAnsi" w:eastAsiaTheme="majorEastAsia" w:hAnsiTheme="majorHAnsi" w:cstheme="majorBidi"/>
        </w:rPr>
        <w:t xml:space="preserve">planirane mjere i popisa ciljnih </w:t>
      </w:r>
      <w:r w:rsidR="00332D8A">
        <w:rPr>
          <w:rFonts w:asciiTheme="majorHAnsi" w:eastAsiaTheme="majorEastAsia" w:hAnsiTheme="majorHAnsi" w:cstheme="majorBidi"/>
        </w:rPr>
        <w:t xml:space="preserve">zemljopisnih </w:t>
      </w:r>
      <w:r w:rsidR="00BF4B3F">
        <w:rPr>
          <w:rFonts w:asciiTheme="majorHAnsi" w:eastAsiaTheme="majorEastAsia" w:hAnsiTheme="majorHAnsi" w:cstheme="majorBidi"/>
        </w:rPr>
        <w:t xml:space="preserve">područja </w:t>
      </w:r>
      <w:r w:rsidR="00332D8A">
        <w:rPr>
          <w:rFonts w:asciiTheme="majorHAnsi" w:eastAsiaTheme="majorEastAsia" w:hAnsiTheme="majorHAnsi" w:cstheme="majorBidi"/>
        </w:rPr>
        <w:t xml:space="preserve">utvrđenih u naprijed navedenom postupku mapiranja </w:t>
      </w:r>
      <w:r w:rsidR="00DE2951">
        <w:rPr>
          <w:rFonts w:asciiTheme="majorHAnsi" w:eastAsiaTheme="majorEastAsia" w:hAnsiTheme="majorHAnsi" w:cstheme="majorBidi"/>
        </w:rPr>
        <w:t xml:space="preserve">u skladu s točkom (a) </w:t>
      </w:r>
      <w:r w:rsidR="003C3CD3">
        <w:rPr>
          <w:rFonts w:asciiTheme="majorHAnsi" w:eastAsiaTheme="majorEastAsia" w:hAnsiTheme="majorHAnsi" w:cstheme="majorBidi"/>
        </w:rPr>
        <w:t>objavom na svojim intern</w:t>
      </w:r>
      <w:r w:rsidR="002B61A9">
        <w:rPr>
          <w:rFonts w:asciiTheme="majorHAnsi" w:eastAsiaTheme="majorEastAsia" w:hAnsiTheme="majorHAnsi" w:cstheme="majorBidi"/>
        </w:rPr>
        <w:t>etskim stranicama.</w:t>
      </w:r>
      <w:r w:rsidR="00927EA1">
        <w:rPr>
          <w:rFonts w:asciiTheme="majorHAnsi" w:eastAsiaTheme="majorEastAsia" w:hAnsiTheme="majorHAnsi" w:cstheme="majorBidi"/>
        </w:rPr>
        <w:t xml:space="preserve"> </w:t>
      </w:r>
      <w:r w:rsidR="006026B9">
        <w:rPr>
          <w:rFonts w:asciiTheme="majorHAnsi" w:eastAsiaTheme="majorEastAsia" w:hAnsiTheme="majorHAnsi" w:cstheme="majorBidi"/>
        </w:rPr>
        <w:t>Javnim savjetovanjem se</w:t>
      </w:r>
      <w:r w:rsidR="00613393">
        <w:rPr>
          <w:rFonts w:asciiTheme="majorHAnsi" w:eastAsiaTheme="majorEastAsia" w:hAnsiTheme="majorHAnsi" w:cstheme="majorBidi"/>
        </w:rPr>
        <w:t xml:space="preserve"> moraju</w:t>
      </w:r>
      <w:r w:rsidR="006026B9">
        <w:rPr>
          <w:rFonts w:asciiTheme="majorHAnsi" w:eastAsiaTheme="majorEastAsia" w:hAnsiTheme="majorHAnsi" w:cstheme="majorBidi"/>
        </w:rPr>
        <w:t xml:space="preserve"> </w:t>
      </w:r>
      <w:r w:rsidR="00927EA1">
        <w:rPr>
          <w:rFonts w:asciiTheme="majorHAnsi" w:eastAsiaTheme="majorEastAsia" w:hAnsiTheme="majorHAnsi" w:cstheme="majorBidi"/>
        </w:rPr>
        <w:t>pozva</w:t>
      </w:r>
      <w:r w:rsidR="00613393">
        <w:rPr>
          <w:rFonts w:asciiTheme="majorHAnsi" w:eastAsiaTheme="majorEastAsia" w:hAnsiTheme="majorHAnsi" w:cstheme="majorBidi"/>
        </w:rPr>
        <w:t>ti</w:t>
      </w:r>
      <w:r w:rsidR="00927EA1">
        <w:rPr>
          <w:rFonts w:asciiTheme="majorHAnsi" w:eastAsiaTheme="majorEastAsia" w:hAnsiTheme="majorHAnsi" w:cstheme="majorBidi"/>
        </w:rPr>
        <w:t xml:space="preserve"> sve zainteresirane strane da </w:t>
      </w:r>
      <w:r w:rsidR="00C02A81">
        <w:rPr>
          <w:rFonts w:asciiTheme="majorHAnsi" w:eastAsiaTheme="majorEastAsia" w:hAnsiTheme="majorHAnsi" w:cstheme="majorBidi"/>
        </w:rPr>
        <w:t xml:space="preserve">dostave svoje komentare i obrazložene informacije </w:t>
      </w:r>
      <w:r w:rsidR="00AC0443">
        <w:rPr>
          <w:rFonts w:asciiTheme="majorHAnsi" w:eastAsiaTheme="majorEastAsia" w:hAnsiTheme="majorHAnsi" w:cstheme="majorBidi"/>
        </w:rPr>
        <w:t xml:space="preserve">u skladu s točkom (a) </w:t>
      </w:r>
      <w:r w:rsidR="00226D14">
        <w:rPr>
          <w:rFonts w:asciiTheme="majorHAnsi" w:eastAsiaTheme="majorEastAsia" w:hAnsiTheme="majorHAnsi" w:cstheme="majorBidi"/>
        </w:rPr>
        <w:t xml:space="preserve">o svojim mobilnim mrežama u ciljnom području koje već postoje ili se pouzdano </w:t>
      </w:r>
      <w:r w:rsidR="00650B8E">
        <w:rPr>
          <w:rFonts w:asciiTheme="majorHAnsi" w:eastAsiaTheme="majorEastAsia" w:hAnsiTheme="majorHAnsi" w:cstheme="majorBidi"/>
        </w:rPr>
        <w:t xml:space="preserve">planiraju uvesti u roku od tri godine od trenutka </w:t>
      </w:r>
      <w:r w:rsidR="006930FD">
        <w:rPr>
          <w:rFonts w:asciiTheme="majorHAnsi" w:eastAsiaTheme="majorEastAsia" w:hAnsiTheme="majorHAnsi" w:cstheme="majorBidi"/>
        </w:rPr>
        <w:t>objave planirane dodjele pot</w:t>
      </w:r>
      <w:r w:rsidR="007D1F8D">
        <w:rPr>
          <w:rFonts w:asciiTheme="majorHAnsi" w:eastAsiaTheme="majorEastAsia" w:hAnsiTheme="majorHAnsi" w:cstheme="majorBidi"/>
        </w:rPr>
        <w:t>p</w:t>
      </w:r>
      <w:r w:rsidR="006930FD">
        <w:rPr>
          <w:rFonts w:asciiTheme="majorHAnsi" w:eastAsiaTheme="majorEastAsia" w:hAnsiTheme="majorHAnsi" w:cstheme="majorBidi"/>
        </w:rPr>
        <w:t>ore.</w:t>
      </w:r>
      <w:r w:rsidR="00490C14">
        <w:rPr>
          <w:rFonts w:asciiTheme="majorHAnsi" w:eastAsiaTheme="majorEastAsia" w:hAnsiTheme="majorHAnsi" w:cstheme="majorBidi"/>
        </w:rPr>
        <w:t xml:space="preserve"> </w:t>
      </w:r>
      <w:r w:rsidR="000A131D">
        <w:rPr>
          <w:rFonts w:asciiTheme="majorHAnsi" w:eastAsiaTheme="majorEastAsia" w:hAnsiTheme="majorHAnsi" w:cstheme="majorBidi"/>
        </w:rPr>
        <w:t xml:space="preserve">U slučaju da davatelj potpore propiše </w:t>
      </w:r>
      <w:r w:rsidR="009C12F2">
        <w:rPr>
          <w:rFonts w:asciiTheme="majorHAnsi" w:eastAsiaTheme="majorEastAsia" w:hAnsiTheme="majorHAnsi" w:cstheme="majorBidi"/>
        </w:rPr>
        <w:t xml:space="preserve">vremenski okvir koji je kraći ili dulji od tri godine za uvođenje subvencionirane infrastrukture, </w:t>
      </w:r>
      <w:r w:rsidR="00D25045">
        <w:rPr>
          <w:rFonts w:asciiTheme="majorHAnsi" w:eastAsiaTheme="majorEastAsia" w:hAnsiTheme="majorHAnsi" w:cstheme="majorBidi"/>
        </w:rPr>
        <w:t>isti vremenski okvir</w:t>
      </w:r>
      <w:r w:rsidR="0007756A">
        <w:rPr>
          <w:rFonts w:asciiTheme="majorHAnsi" w:eastAsiaTheme="majorEastAsia" w:hAnsiTheme="majorHAnsi" w:cstheme="majorBidi"/>
        </w:rPr>
        <w:t xml:space="preserve">, </w:t>
      </w:r>
      <w:r w:rsidR="00D25045">
        <w:rPr>
          <w:rFonts w:asciiTheme="majorHAnsi" w:eastAsiaTheme="majorEastAsia" w:hAnsiTheme="majorHAnsi" w:cstheme="majorBidi"/>
        </w:rPr>
        <w:t xml:space="preserve">koji ne može biti kraći od dvije godine, </w:t>
      </w:r>
      <w:r w:rsidR="00420876">
        <w:rPr>
          <w:rFonts w:asciiTheme="majorHAnsi" w:eastAsiaTheme="majorEastAsia" w:hAnsiTheme="majorHAnsi" w:cstheme="majorBidi"/>
        </w:rPr>
        <w:t xml:space="preserve">mora se sukladno </w:t>
      </w:r>
      <w:r w:rsidR="00073594">
        <w:rPr>
          <w:rFonts w:asciiTheme="majorHAnsi" w:eastAsiaTheme="majorEastAsia" w:hAnsiTheme="majorHAnsi" w:cstheme="majorBidi"/>
        </w:rPr>
        <w:t xml:space="preserve">članku 52.a stavku 4. točki (b) </w:t>
      </w:r>
      <w:r w:rsidR="00D25045">
        <w:rPr>
          <w:rFonts w:asciiTheme="majorHAnsi" w:eastAsiaTheme="majorEastAsia" w:hAnsiTheme="majorHAnsi" w:cstheme="majorBidi"/>
        </w:rPr>
        <w:t>osigurat</w:t>
      </w:r>
      <w:r w:rsidR="00073594">
        <w:rPr>
          <w:rFonts w:asciiTheme="majorHAnsi" w:eastAsiaTheme="majorEastAsia" w:hAnsiTheme="majorHAnsi" w:cstheme="majorBidi"/>
        </w:rPr>
        <w:t>i</w:t>
      </w:r>
      <w:r w:rsidR="00B76D30">
        <w:rPr>
          <w:rFonts w:asciiTheme="majorHAnsi" w:eastAsiaTheme="majorEastAsia" w:hAnsiTheme="majorHAnsi" w:cstheme="majorBidi"/>
        </w:rPr>
        <w:t xml:space="preserve"> i za procjenu jesu li prethodno navedene mreže</w:t>
      </w:r>
      <w:r w:rsidR="002D4A49">
        <w:rPr>
          <w:rFonts w:asciiTheme="majorHAnsi" w:eastAsiaTheme="majorEastAsia" w:hAnsiTheme="majorHAnsi" w:cstheme="majorBidi"/>
        </w:rPr>
        <w:t xml:space="preserve"> pouzdano planirane za uvođenje. Javno savjetovanje mora trajati na</w:t>
      </w:r>
      <w:r w:rsidR="00B93CD7">
        <w:rPr>
          <w:rFonts w:asciiTheme="majorHAnsi" w:eastAsiaTheme="majorEastAsia" w:hAnsiTheme="majorHAnsi" w:cstheme="majorBidi"/>
        </w:rPr>
        <w:t>j</w:t>
      </w:r>
      <w:r w:rsidR="002D4A49">
        <w:rPr>
          <w:rFonts w:asciiTheme="majorHAnsi" w:eastAsiaTheme="majorEastAsia" w:hAnsiTheme="majorHAnsi" w:cstheme="majorBidi"/>
        </w:rPr>
        <w:t>m</w:t>
      </w:r>
      <w:r w:rsidR="008B4216">
        <w:rPr>
          <w:rFonts w:asciiTheme="majorHAnsi" w:eastAsiaTheme="majorEastAsia" w:hAnsiTheme="majorHAnsi" w:cstheme="majorBidi"/>
        </w:rPr>
        <w:t>anje 30 dana.</w:t>
      </w:r>
      <w:r w:rsidR="002D4A49">
        <w:rPr>
          <w:rFonts w:asciiTheme="majorHAnsi" w:eastAsiaTheme="majorEastAsia" w:hAnsiTheme="majorHAnsi" w:cstheme="majorBidi"/>
        </w:rPr>
        <w:t xml:space="preserve"> </w:t>
      </w:r>
    </w:p>
    <w:p w14:paraId="74ABA8D5" w14:textId="7ED91317" w:rsidR="00CD364C" w:rsidRPr="00CD364C" w:rsidRDefault="00CD364C" w:rsidP="00D1497C">
      <w:pPr>
        <w:pStyle w:val="ListParagraph"/>
        <w:numPr>
          <w:ilvl w:val="0"/>
          <w:numId w:val="20"/>
        </w:numPr>
        <w:ind w:left="714" w:hanging="357"/>
        <w:contextualSpacing w:val="0"/>
        <w:rPr>
          <w:rFonts w:asciiTheme="majorHAnsi" w:eastAsiaTheme="majorEastAsia" w:hAnsiTheme="majorHAnsi" w:cstheme="majorBidi"/>
        </w:rPr>
      </w:pPr>
      <w:r w:rsidRPr="00CD364C">
        <w:rPr>
          <w:rFonts w:asciiTheme="majorHAnsi" w:eastAsiaTheme="majorEastAsia" w:hAnsiTheme="majorHAnsi" w:cstheme="majorBidi"/>
        </w:rPr>
        <w:t xml:space="preserve">stavka </w:t>
      </w:r>
      <w:r>
        <w:rPr>
          <w:rFonts w:asciiTheme="majorHAnsi" w:eastAsiaTheme="majorEastAsia" w:hAnsiTheme="majorHAnsi" w:cstheme="majorBidi"/>
        </w:rPr>
        <w:t>11</w:t>
      </w:r>
      <w:r w:rsidRPr="00CD364C">
        <w:rPr>
          <w:rFonts w:asciiTheme="majorHAnsi" w:eastAsiaTheme="majorEastAsia" w:hAnsiTheme="majorHAnsi" w:cstheme="majorBidi"/>
        </w:rPr>
        <w:t>.</w:t>
      </w:r>
      <w:r w:rsidR="009F4397">
        <w:rPr>
          <w:rFonts w:asciiTheme="majorHAnsi" w:eastAsiaTheme="majorEastAsia" w:hAnsiTheme="majorHAnsi" w:cstheme="majorBidi"/>
        </w:rPr>
        <w:t>, podstavka a)</w:t>
      </w:r>
      <w:r w:rsidRPr="00CD364C">
        <w:rPr>
          <w:rFonts w:asciiTheme="majorHAnsi" w:eastAsiaTheme="majorEastAsia" w:hAnsiTheme="majorHAnsi" w:cstheme="majorBidi"/>
        </w:rPr>
        <w:t xml:space="preserve"> </w:t>
      </w:r>
      <w:r w:rsidR="004D7C34">
        <w:rPr>
          <w:rFonts w:asciiTheme="majorHAnsi" w:eastAsiaTheme="majorEastAsia" w:hAnsiTheme="majorHAnsi" w:cstheme="majorBidi"/>
        </w:rPr>
        <w:t xml:space="preserve">članka 52.a </w:t>
      </w:r>
      <w:r w:rsidRPr="00CD364C">
        <w:rPr>
          <w:rFonts w:asciiTheme="majorHAnsi" w:eastAsiaTheme="majorEastAsia" w:hAnsiTheme="majorHAnsi" w:cstheme="majorBidi"/>
        </w:rPr>
        <w:t>Uredbe 651/2014:</w:t>
      </w:r>
    </w:p>
    <w:p w14:paraId="731D9471" w14:textId="36978B99" w:rsidR="003E6822" w:rsidRDefault="00027627" w:rsidP="003E6822">
      <w:pPr>
        <w:pStyle w:val="ListParagraph"/>
        <w:numPr>
          <w:ilvl w:val="0"/>
          <w:numId w:val="17"/>
        </w:numPr>
        <w:rPr>
          <w:rFonts w:asciiTheme="majorHAnsi" w:eastAsiaTheme="majorEastAsia" w:hAnsiTheme="majorHAnsi" w:cstheme="majorBidi"/>
        </w:rPr>
      </w:pPr>
      <w:r>
        <w:rPr>
          <w:rFonts w:asciiTheme="majorHAnsi" w:eastAsiaTheme="majorEastAsia" w:hAnsiTheme="majorHAnsi" w:cstheme="majorBidi"/>
        </w:rPr>
        <w:t>u</w:t>
      </w:r>
      <w:r w:rsidR="003E6822">
        <w:rPr>
          <w:rFonts w:asciiTheme="majorHAnsi" w:eastAsiaTheme="majorEastAsia" w:hAnsiTheme="majorHAnsi" w:cstheme="majorBidi"/>
        </w:rPr>
        <w:t>p</w:t>
      </w:r>
      <w:r w:rsidR="003E6822" w:rsidRPr="005A58C9">
        <w:rPr>
          <w:rFonts w:asciiTheme="majorHAnsi" w:eastAsiaTheme="majorEastAsia" w:hAnsiTheme="majorHAnsi" w:cstheme="majorBidi"/>
        </w:rPr>
        <w:t>otreba javno financirane mreže 4G ili 5G za pružanje fiksnih usluga bežičnog pristupa dopušteno je samo kako slijedi:</w:t>
      </w:r>
    </w:p>
    <w:p w14:paraId="50D49CD9" w14:textId="77777777" w:rsidR="003E6822" w:rsidRDefault="003E6822" w:rsidP="003E6822">
      <w:pPr>
        <w:pStyle w:val="ListParagraph"/>
        <w:numPr>
          <w:ilvl w:val="0"/>
          <w:numId w:val="18"/>
        </w:numPr>
        <w:rPr>
          <w:rFonts w:asciiTheme="majorHAnsi" w:eastAsiaTheme="majorEastAsia" w:hAnsiTheme="majorHAnsi" w:cstheme="majorBidi"/>
        </w:rPr>
      </w:pPr>
      <w:r w:rsidRPr="005A58C9">
        <w:rPr>
          <w:rFonts w:asciiTheme="majorHAnsi" w:eastAsiaTheme="majorEastAsia" w:hAnsiTheme="majorHAnsi" w:cstheme="majorBidi"/>
        </w:rPr>
        <w:t>U područjima u kojima ne postoji mreža koja može pouzdano osigurati brzine preuzimanja od najmanje 30 Mbps niti se pouzdano planira u roku od tri godine od trenutka objave planirane mjere potpore ili u istom vremenskom okviru kao i uvođenje subvencionirane mreže, što ne smije biti kraće od dvije godine, ako su ispunjeni sljedeći kumulativni uvjeti: i. mapiranjem i javnim savjetovanjem uzimaju se u obzir i postojeće ili pouzdano planirane fiksne širokopojasne mreže utvrđene u skladu s člankom 52. stavkom 4.; ii. podržanim rješenjem 4G ili 5G fiksnog bežičnog pristupa mogu se pouzdano osigurati brzine preuzimanja od najmanje 30 Mbps te barem udvostručiti brzina preuzimanja i učitavanja u odnosu na postojeće ili pouzdano planirane fiksne mreže u tim područjima.</w:t>
      </w:r>
    </w:p>
    <w:p w14:paraId="23B6E1E2" w14:textId="1C0E5BC7" w:rsidR="0025199A" w:rsidRDefault="004903B6" w:rsidP="003E6822">
      <w:pPr>
        <w:rPr>
          <w:rFonts w:asciiTheme="majorHAnsi" w:eastAsiaTheme="majorEastAsia" w:hAnsiTheme="majorHAnsi" w:cstheme="majorBidi"/>
        </w:rPr>
      </w:pPr>
      <w:r w:rsidRPr="004903B6">
        <w:rPr>
          <w:rFonts w:asciiTheme="majorHAnsi" w:eastAsiaTheme="majorEastAsia" w:hAnsiTheme="majorHAnsi" w:cstheme="majorBidi"/>
        </w:rPr>
        <w:t xml:space="preserve">Napominje se da je EK </w:t>
      </w:r>
      <w:r w:rsidR="008B2C6C">
        <w:rPr>
          <w:rFonts w:asciiTheme="majorHAnsi" w:eastAsiaTheme="majorEastAsia" w:hAnsiTheme="majorHAnsi" w:cstheme="majorBidi"/>
        </w:rPr>
        <w:t>odobrila</w:t>
      </w:r>
      <w:r w:rsidR="00F82701">
        <w:rPr>
          <w:rFonts w:asciiTheme="majorHAnsi" w:eastAsiaTheme="majorEastAsia" w:hAnsiTheme="majorHAnsi" w:cstheme="majorBidi"/>
        </w:rPr>
        <w:t xml:space="preserve"> 09. ožujka 2023. godine</w:t>
      </w:r>
      <w:r w:rsidRPr="004903B6">
        <w:rPr>
          <w:rFonts w:asciiTheme="majorHAnsi" w:eastAsiaTheme="majorEastAsia" w:hAnsiTheme="majorHAnsi" w:cstheme="majorBidi"/>
        </w:rPr>
        <w:t xml:space="preserve"> Uredbu o izmjeni Uredbe (EU) br. 651/2014 o ocjenjivanju određenih kategorija potpora spojivima s unutarnjim tržištem </w:t>
      </w:r>
      <w:r w:rsidR="00CA0DE2">
        <w:rPr>
          <w:rFonts w:asciiTheme="majorHAnsi" w:eastAsiaTheme="majorEastAsia" w:hAnsiTheme="majorHAnsi" w:cstheme="majorBidi"/>
        </w:rPr>
        <w:t>o</w:t>
      </w:r>
      <w:r w:rsidRPr="004903B6">
        <w:rPr>
          <w:rFonts w:asciiTheme="majorHAnsi" w:eastAsiaTheme="majorEastAsia" w:hAnsiTheme="majorHAnsi" w:cstheme="majorBidi"/>
        </w:rPr>
        <w:t xml:space="preserve"> primjeni članka 107. i 108. </w:t>
      </w:r>
      <w:r w:rsidR="00CA0DE2">
        <w:rPr>
          <w:rFonts w:asciiTheme="majorHAnsi" w:eastAsiaTheme="majorEastAsia" w:hAnsiTheme="majorHAnsi" w:cstheme="majorBidi"/>
        </w:rPr>
        <w:t>UFEU</w:t>
      </w:r>
      <w:r w:rsidRPr="004903B6">
        <w:rPr>
          <w:rFonts w:asciiTheme="majorHAnsi" w:eastAsiaTheme="majorEastAsia" w:hAnsiTheme="majorHAnsi" w:cstheme="majorBidi"/>
        </w:rPr>
        <w:t>, no ista do trenutka objave ovog javnog savjetovanja nije objavljena u Službenom listu Europske Unije</w:t>
      </w:r>
      <w:r w:rsidR="007D5A52">
        <w:rPr>
          <w:rFonts w:asciiTheme="majorHAnsi" w:eastAsiaTheme="majorEastAsia" w:hAnsiTheme="majorHAnsi" w:cstheme="majorBidi"/>
        </w:rPr>
        <w:t>, odnosno nije stupila na snagu</w:t>
      </w:r>
      <w:r w:rsidRPr="004903B6">
        <w:rPr>
          <w:rFonts w:asciiTheme="majorHAnsi" w:eastAsiaTheme="majorEastAsia" w:hAnsiTheme="majorHAnsi" w:cstheme="majorBidi"/>
        </w:rPr>
        <w:t xml:space="preserve">. Sukladno </w:t>
      </w:r>
      <w:r w:rsidR="003B6355">
        <w:rPr>
          <w:rFonts w:asciiTheme="majorHAnsi" w:eastAsiaTheme="majorEastAsia" w:hAnsiTheme="majorHAnsi" w:cstheme="majorBidi"/>
        </w:rPr>
        <w:t xml:space="preserve">novoj Uredbi, </w:t>
      </w:r>
      <w:r w:rsidRPr="004903B6">
        <w:rPr>
          <w:rFonts w:asciiTheme="majorHAnsi" w:eastAsiaTheme="majorEastAsia" w:hAnsiTheme="majorHAnsi" w:cstheme="majorBidi"/>
        </w:rPr>
        <w:t xml:space="preserve">stavku 2. članka 52.a., prihvatljivi troškovi su i troškovi izgradnje, upravljanje i rada pasivnih i aktivnih komponenti mobilne mreže, </w:t>
      </w:r>
      <w:r w:rsidR="0032754D">
        <w:rPr>
          <w:rFonts w:asciiTheme="majorHAnsi" w:eastAsiaTheme="majorEastAsia" w:hAnsiTheme="majorHAnsi" w:cstheme="majorBidi"/>
        </w:rPr>
        <w:t>odnosno Uredba predviđa</w:t>
      </w:r>
      <w:r w:rsidRPr="004903B6">
        <w:rPr>
          <w:rFonts w:asciiTheme="majorHAnsi" w:eastAsiaTheme="majorEastAsia" w:hAnsiTheme="majorHAnsi" w:cstheme="majorBidi"/>
        </w:rPr>
        <w:t xml:space="preserve"> mogućnost </w:t>
      </w:r>
      <w:r w:rsidR="009E6376">
        <w:rPr>
          <w:rFonts w:asciiTheme="majorHAnsi" w:eastAsiaTheme="majorEastAsia" w:hAnsiTheme="majorHAnsi" w:cstheme="majorBidi"/>
        </w:rPr>
        <w:t xml:space="preserve">dodjele </w:t>
      </w:r>
      <w:r w:rsidR="00343982">
        <w:rPr>
          <w:rFonts w:asciiTheme="majorHAnsi" w:eastAsiaTheme="majorEastAsia" w:hAnsiTheme="majorHAnsi" w:cstheme="majorBidi"/>
        </w:rPr>
        <w:t>potpore</w:t>
      </w:r>
      <w:r w:rsidR="00DF4D74">
        <w:rPr>
          <w:rFonts w:asciiTheme="majorHAnsi" w:eastAsiaTheme="majorEastAsia" w:hAnsiTheme="majorHAnsi" w:cstheme="majorBidi"/>
        </w:rPr>
        <w:t xml:space="preserve"> i za </w:t>
      </w:r>
      <w:r w:rsidRPr="004903B6">
        <w:rPr>
          <w:rFonts w:asciiTheme="majorHAnsi" w:eastAsiaTheme="majorEastAsia" w:hAnsiTheme="majorHAnsi" w:cstheme="majorBidi"/>
        </w:rPr>
        <w:t>aktivn</w:t>
      </w:r>
      <w:r w:rsidR="00DF4D74">
        <w:rPr>
          <w:rFonts w:asciiTheme="majorHAnsi" w:eastAsiaTheme="majorEastAsia" w:hAnsiTheme="majorHAnsi" w:cstheme="majorBidi"/>
        </w:rPr>
        <w:t>e</w:t>
      </w:r>
      <w:r w:rsidRPr="004903B6">
        <w:rPr>
          <w:rFonts w:asciiTheme="majorHAnsi" w:eastAsiaTheme="majorEastAsia" w:hAnsiTheme="majorHAnsi" w:cstheme="majorBidi"/>
        </w:rPr>
        <w:t xml:space="preserve"> komponent</w:t>
      </w:r>
      <w:r w:rsidR="00DF4D74">
        <w:rPr>
          <w:rFonts w:asciiTheme="majorHAnsi" w:eastAsiaTheme="majorEastAsia" w:hAnsiTheme="majorHAnsi" w:cstheme="majorBidi"/>
        </w:rPr>
        <w:t>e</w:t>
      </w:r>
      <w:r w:rsidRPr="004903B6">
        <w:rPr>
          <w:rFonts w:asciiTheme="majorHAnsi" w:eastAsiaTheme="majorEastAsia" w:hAnsiTheme="majorHAnsi" w:cstheme="majorBidi"/>
        </w:rPr>
        <w:t xml:space="preserve"> mobilne mreže.</w:t>
      </w:r>
      <w:r w:rsidR="00EB79FA">
        <w:rPr>
          <w:rFonts w:asciiTheme="majorHAnsi" w:eastAsiaTheme="majorEastAsia" w:hAnsiTheme="majorHAnsi" w:cstheme="majorBidi"/>
        </w:rPr>
        <w:t xml:space="preserve"> </w:t>
      </w:r>
    </w:p>
    <w:p w14:paraId="0E56D692" w14:textId="0F4490BC" w:rsidR="00704DB0" w:rsidRPr="003E6822" w:rsidRDefault="00D143B9" w:rsidP="003E6822">
      <w:pPr>
        <w:rPr>
          <w:rFonts w:asciiTheme="majorHAnsi" w:eastAsiaTheme="majorEastAsia" w:hAnsiTheme="majorHAnsi" w:cstheme="majorBidi"/>
        </w:rPr>
      </w:pPr>
      <w:r>
        <w:rPr>
          <w:rFonts w:asciiTheme="majorHAnsi" w:eastAsiaTheme="majorEastAsia" w:hAnsiTheme="majorHAnsi" w:cstheme="majorBidi"/>
        </w:rPr>
        <w:t xml:space="preserve">Slijedom navedenih izmjena Uredbe 651/2014 </w:t>
      </w:r>
      <w:r w:rsidR="00A45F10">
        <w:rPr>
          <w:rFonts w:asciiTheme="majorHAnsi" w:eastAsiaTheme="majorEastAsia" w:hAnsiTheme="majorHAnsi" w:cstheme="majorBidi"/>
        </w:rPr>
        <w:t>i</w:t>
      </w:r>
      <w:r w:rsidR="00A3716A">
        <w:rPr>
          <w:rFonts w:asciiTheme="majorHAnsi" w:eastAsiaTheme="majorEastAsia" w:hAnsiTheme="majorHAnsi" w:cstheme="majorBidi"/>
        </w:rPr>
        <w:t xml:space="preserve"> otvara</w:t>
      </w:r>
      <w:r w:rsidR="00EB79FA">
        <w:rPr>
          <w:rFonts w:asciiTheme="majorHAnsi" w:eastAsiaTheme="majorEastAsia" w:hAnsiTheme="majorHAnsi" w:cstheme="majorBidi"/>
        </w:rPr>
        <w:t xml:space="preserve"> se mogućnost </w:t>
      </w:r>
      <w:r w:rsidR="000B2931">
        <w:rPr>
          <w:rFonts w:asciiTheme="majorHAnsi" w:eastAsiaTheme="majorEastAsia" w:hAnsiTheme="majorHAnsi" w:cstheme="majorBidi"/>
        </w:rPr>
        <w:t xml:space="preserve">da </w:t>
      </w:r>
      <w:r w:rsidR="00A3716A">
        <w:rPr>
          <w:rFonts w:asciiTheme="majorHAnsi" w:eastAsiaTheme="majorEastAsia" w:hAnsiTheme="majorHAnsi" w:cstheme="majorBidi"/>
        </w:rPr>
        <w:t xml:space="preserve">se u okviru </w:t>
      </w:r>
      <w:r w:rsidR="000B2931">
        <w:rPr>
          <w:rFonts w:asciiTheme="majorHAnsi" w:eastAsiaTheme="majorEastAsia" w:hAnsiTheme="majorHAnsi" w:cstheme="majorBidi"/>
        </w:rPr>
        <w:t>Studij</w:t>
      </w:r>
      <w:r w:rsidR="00A3716A">
        <w:rPr>
          <w:rFonts w:asciiTheme="majorHAnsi" w:eastAsiaTheme="majorEastAsia" w:hAnsiTheme="majorHAnsi" w:cstheme="majorBidi"/>
        </w:rPr>
        <w:t>e</w:t>
      </w:r>
      <w:r w:rsidR="000B2931">
        <w:rPr>
          <w:rFonts w:asciiTheme="majorHAnsi" w:eastAsiaTheme="majorEastAsia" w:hAnsiTheme="majorHAnsi" w:cstheme="majorBidi"/>
        </w:rPr>
        <w:t xml:space="preserve"> izvedivosti razmotri i </w:t>
      </w:r>
      <w:r w:rsidR="00D55245">
        <w:rPr>
          <w:rFonts w:asciiTheme="majorHAnsi" w:eastAsiaTheme="majorEastAsia" w:hAnsiTheme="majorHAnsi" w:cstheme="majorBidi"/>
        </w:rPr>
        <w:t>financiranj</w:t>
      </w:r>
      <w:r w:rsidR="0028048A">
        <w:rPr>
          <w:rFonts w:asciiTheme="majorHAnsi" w:eastAsiaTheme="majorEastAsia" w:hAnsiTheme="majorHAnsi" w:cstheme="majorBidi"/>
        </w:rPr>
        <w:t>e</w:t>
      </w:r>
      <w:r w:rsidR="00D55245">
        <w:rPr>
          <w:rFonts w:asciiTheme="majorHAnsi" w:eastAsiaTheme="majorEastAsia" w:hAnsiTheme="majorHAnsi" w:cstheme="majorBidi"/>
        </w:rPr>
        <w:t xml:space="preserve">  </w:t>
      </w:r>
      <w:r w:rsidR="006D546E">
        <w:rPr>
          <w:rFonts w:asciiTheme="majorHAnsi" w:eastAsiaTheme="majorEastAsia" w:hAnsiTheme="majorHAnsi" w:cstheme="majorBidi"/>
        </w:rPr>
        <w:t xml:space="preserve">određenih </w:t>
      </w:r>
      <w:r w:rsidR="00D55245">
        <w:rPr>
          <w:rFonts w:asciiTheme="majorHAnsi" w:eastAsiaTheme="majorEastAsia" w:hAnsiTheme="majorHAnsi" w:cstheme="majorBidi"/>
        </w:rPr>
        <w:t>aktivnih komponenti</w:t>
      </w:r>
      <w:r w:rsidR="000B2931">
        <w:rPr>
          <w:rFonts w:asciiTheme="majorHAnsi" w:eastAsiaTheme="majorEastAsia" w:hAnsiTheme="majorHAnsi" w:cstheme="majorBidi"/>
        </w:rPr>
        <w:t xml:space="preserve"> u okviru predmetn</w:t>
      </w:r>
      <w:r w:rsidR="00E82D00">
        <w:rPr>
          <w:rFonts w:asciiTheme="majorHAnsi" w:eastAsiaTheme="majorEastAsia" w:hAnsiTheme="majorHAnsi" w:cstheme="majorBidi"/>
        </w:rPr>
        <w:t>e</w:t>
      </w:r>
      <w:r w:rsidR="00242686">
        <w:rPr>
          <w:rFonts w:asciiTheme="majorHAnsi" w:eastAsiaTheme="majorEastAsia" w:hAnsiTheme="majorHAnsi" w:cstheme="majorBidi"/>
        </w:rPr>
        <w:t xml:space="preserve"> </w:t>
      </w:r>
      <w:r w:rsidR="00E82D00">
        <w:rPr>
          <w:rFonts w:asciiTheme="majorHAnsi" w:eastAsiaTheme="majorEastAsia" w:hAnsiTheme="majorHAnsi" w:cstheme="majorBidi"/>
        </w:rPr>
        <w:t>Investicije</w:t>
      </w:r>
      <w:r w:rsidR="000B2931">
        <w:rPr>
          <w:rFonts w:asciiTheme="majorHAnsi" w:eastAsiaTheme="majorEastAsia" w:hAnsiTheme="majorHAnsi" w:cstheme="majorBidi"/>
        </w:rPr>
        <w:t xml:space="preserve">, ukoliko se pokaže </w:t>
      </w:r>
      <w:r w:rsidR="000B2931">
        <w:rPr>
          <w:rFonts w:asciiTheme="majorHAnsi" w:eastAsiaTheme="majorEastAsia" w:hAnsiTheme="majorHAnsi" w:cstheme="majorBidi"/>
        </w:rPr>
        <w:lastRenderedPageBreak/>
        <w:t>potreba za</w:t>
      </w:r>
      <w:r w:rsidR="004C244D">
        <w:rPr>
          <w:rFonts w:asciiTheme="majorHAnsi" w:eastAsiaTheme="majorEastAsia" w:hAnsiTheme="majorHAnsi" w:cstheme="majorBidi"/>
        </w:rPr>
        <w:t xml:space="preserve">  </w:t>
      </w:r>
      <w:r w:rsidR="000B2931">
        <w:rPr>
          <w:rFonts w:asciiTheme="majorHAnsi" w:eastAsiaTheme="majorEastAsia" w:hAnsiTheme="majorHAnsi" w:cstheme="majorBidi"/>
        </w:rPr>
        <w:t>tim</w:t>
      </w:r>
      <w:r w:rsidR="0028048A">
        <w:rPr>
          <w:rFonts w:asciiTheme="majorHAnsi" w:eastAsiaTheme="majorEastAsia" w:hAnsiTheme="majorHAnsi" w:cstheme="majorBidi"/>
        </w:rPr>
        <w:t>e</w:t>
      </w:r>
      <w:r w:rsidR="000B2931">
        <w:rPr>
          <w:rFonts w:asciiTheme="majorHAnsi" w:eastAsiaTheme="majorEastAsia" w:hAnsiTheme="majorHAnsi" w:cstheme="majorBidi"/>
        </w:rPr>
        <w:t xml:space="preserve">, te </w:t>
      </w:r>
      <w:r w:rsidR="004064E0">
        <w:rPr>
          <w:rFonts w:asciiTheme="majorHAnsi" w:eastAsiaTheme="majorEastAsia" w:hAnsiTheme="majorHAnsi" w:cstheme="majorBidi"/>
        </w:rPr>
        <w:t xml:space="preserve">se </w:t>
      </w:r>
      <w:r w:rsidR="000B2931">
        <w:rPr>
          <w:rFonts w:asciiTheme="majorHAnsi" w:eastAsiaTheme="majorEastAsia" w:hAnsiTheme="majorHAnsi" w:cstheme="majorBidi"/>
        </w:rPr>
        <w:t xml:space="preserve">isto usuglasi </w:t>
      </w:r>
      <w:r w:rsidR="00BF029B">
        <w:rPr>
          <w:rFonts w:asciiTheme="majorHAnsi" w:eastAsiaTheme="majorEastAsia" w:hAnsiTheme="majorHAnsi" w:cstheme="majorBidi"/>
        </w:rPr>
        <w:t>između svih dionika</w:t>
      </w:r>
      <w:r w:rsidR="00914856">
        <w:rPr>
          <w:rFonts w:asciiTheme="majorHAnsi" w:eastAsiaTheme="majorEastAsia" w:hAnsiTheme="majorHAnsi" w:cstheme="majorBidi"/>
        </w:rPr>
        <w:t xml:space="preserve"> kao prihvatljiv trošak </w:t>
      </w:r>
      <w:r w:rsidR="007D3FD8">
        <w:rPr>
          <w:rFonts w:asciiTheme="majorHAnsi" w:eastAsiaTheme="majorEastAsia" w:hAnsiTheme="majorHAnsi" w:cstheme="majorBidi"/>
        </w:rPr>
        <w:t xml:space="preserve">financiranja iz </w:t>
      </w:r>
      <w:r w:rsidR="00701C66">
        <w:rPr>
          <w:rFonts w:asciiTheme="majorHAnsi" w:eastAsiaTheme="majorEastAsia" w:hAnsiTheme="majorHAnsi" w:cstheme="majorBidi"/>
        </w:rPr>
        <w:t xml:space="preserve">sredstava </w:t>
      </w:r>
      <w:r w:rsidR="007D3FD8">
        <w:rPr>
          <w:rFonts w:asciiTheme="majorHAnsi" w:eastAsiaTheme="majorEastAsia" w:hAnsiTheme="majorHAnsi" w:cstheme="majorBidi"/>
        </w:rPr>
        <w:t>Mehanizma oporavka i otpornosti</w:t>
      </w:r>
      <w:r w:rsidR="00701C66">
        <w:rPr>
          <w:rFonts w:asciiTheme="majorHAnsi" w:eastAsiaTheme="majorEastAsia" w:hAnsiTheme="majorHAnsi" w:cstheme="majorBidi"/>
        </w:rPr>
        <w:t>.</w:t>
      </w:r>
      <w:r w:rsidR="00704DB0" w:rsidRPr="003E6822">
        <w:rPr>
          <w:rFonts w:asciiTheme="majorHAnsi" w:eastAsiaTheme="majorEastAsia" w:hAnsiTheme="majorHAnsi" w:cstheme="majorBidi"/>
        </w:rPr>
        <w:br w:type="page"/>
      </w:r>
    </w:p>
    <w:p w14:paraId="5683F999" w14:textId="0BF064FF" w:rsidR="00301967" w:rsidRPr="007254F4" w:rsidRDefault="00301967" w:rsidP="003F7F10">
      <w:pPr>
        <w:pStyle w:val="Heading1"/>
        <w:numPr>
          <w:ilvl w:val="0"/>
          <w:numId w:val="10"/>
        </w:numPr>
        <w:rPr>
          <w:rFonts w:asciiTheme="majorHAnsi" w:hAnsiTheme="majorHAnsi"/>
        </w:rPr>
      </w:pPr>
      <w:bookmarkStart w:id="4" w:name="_Toc129338310"/>
      <w:bookmarkStart w:id="5" w:name="_Toc131158641"/>
      <w:r w:rsidRPr="4B614F43">
        <w:rPr>
          <w:rFonts w:asciiTheme="majorHAnsi" w:hAnsiTheme="majorHAnsi"/>
        </w:rPr>
        <w:lastRenderedPageBreak/>
        <w:t xml:space="preserve">Opis </w:t>
      </w:r>
      <w:r w:rsidR="0077730C">
        <w:rPr>
          <w:rFonts w:asciiTheme="majorHAnsi" w:hAnsiTheme="majorHAnsi"/>
        </w:rPr>
        <w:t>I</w:t>
      </w:r>
      <w:r w:rsidRPr="4B614F43">
        <w:rPr>
          <w:rFonts w:asciiTheme="majorHAnsi" w:hAnsiTheme="majorHAnsi"/>
        </w:rPr>
        <w:t>nvesticije</w:t>
      </w:r>
      <w:bookmarkEnd w:id="4"/>
      <w:bookmarkEnd w:id="5"/>
    </w:p>
    <w:p w14:paraId="6ECBA5CC" w14:textId="749713D2" w:rsidR="00131A9D" w:rsidRDefault="00131A9D" w:rsidP="003F7F10">
      <w:pPr>
        <w:rPr>
          <w:rFonts w:asciiTheme="majorHAnsi" w:eastAsiaTheme="majorEastAsia" w:hAnsiTheme="majorHAnsi" w:cstheme="majorBidi"/>
        </w:rPr>
      </w:pPr>
      <w:r w:rsidRPr="4B614F43">
        <w:rPr>
          <w:rFonts w:asciiTheme="majorHAnsi" w:eastAsiaTheme="majorEastAsia" w:hAnsiTheme="majorHAnsi" w:cstheme="majorBidi"/>
        </w:rPr>
        <w:t>Europska unija potiče digitalizaciju društva i to s čak dva od pet ciljeva kohezijske politike za višegodišnji financijski okvir koji se izravno odnose na digitalizaciju i digitalne mreže za što je potrebna učinkovita i pouzdana infrastruktura s fiksnom i mobilnom širokopojasnom mrežom velike brzine. No, Hrvatska zaostaje za prosjekom Europske unije u području pokrivenosti širokopojasnom infrastrukturom. Iako se u kategoriji pokrivenosti fiksnom širokopojasnom mrežom nove generacije ujednačila s prosjekom EU, i dalje znatno zaostaje u raširenosti korištenja širokopojasnim pristupom brzine 100 Mbps i nije spremna za uvođenje 5G mreže.</w:t>
      </w:r>
    </w:p>
    <w:p w14:paraId="47913128" w14:textId="26EB2CAF" w:rsidR="00F41C2B" w:rsidRDefault="00F41C2B" w:rsidP="003F7F10">
      <w:pPr>
        <w:rPr>
          <w:rFonts w:asciiTheme="majorHAnsi" w:eastAsiaTheme="majorEastAsia" w:hAnsiTheme="majorHAnsi" w:cstheme="majorBidi"/>
        </w:rPr>
      </w:pPr>
      <w:r w:rsidRPr="4B614F43">
        <w:rPr>
          <w:rFonts w:asciiTheme="majorHAnsi" w:eastAsiaTheme="majorEastAsia" w:hAnsiTheme="majorHAnsi" w:cstheme="majorBidi"/>
        </w:rPr>
        <w:t xml:space="preserve">Također, zbog visokih troškova izgradnje i smanjene naseljenosti nema dovoljnih ulaganja u digitalni razvoj u ruralnim područjima Hrvatske. Stoga se investicijom C2.3. R4-I2 Izgradnja pasivne elektroničke komunikacijske infrastrukture u okviru Nacionalnog plana oporavka i otpornosti želi osigurati dostupnost gigabitnih mreža u ruralnim i </w:t>
      </w:r>
      <w:r w:rsidR="00164DBB">
        <w:rPr>
          <w:rFonts w:asciiTheme="majorHAnsi" w:eastAsiaTheme="majorEastAsia" w:hAnsiTheme="majorHAnsi" w:cstheme="majorBidi"/>
        </w:rPr>
        <w:t>rijetko</w:t>
      </w:r>
      <w:r w:rsidR="00164DBB" w:rsidRPr="4B614F43">
        <w:rPr>
          <w:rFonts w:asciiTheme="majorHAnsi" w:eastAsiaTheme="majorEastAsia" w:hAnsiTheme="majorHAnsi" w:cstheme="majorBidi"/>
        </w:rPr>
        <w:t xml:space="preserve"> </w:t>
      </w:r>
      <w:r w:rsidRPr="4B614F43">
        <w:rPr>
          <w:rFonts w:asciiTheme="majorHAnsi" w:eastAsiaTheme="majorEastAsia" w:hAnsiTheme="majorHAnsi" w:cstheme="majorBidi"/>
        </w:rPr>
        <w:t xml:space="preserve">naseljenim područjima u kojima ne postoji komercijalni interes za gradnjom 5G mreža. </w:t>
      </w:r>
    </w:p>
    <w:p w14:paraId="71C70BF5" w14:textId="6242874D" w:rsidR="00031216" w:rsidRDefault="00031216" w:rsidP="003F7F10">
      <w:pPr>
        <w:rPr>
          <w:rFonts w:asciiTheme="majorHAnsi" w:eastAsiaTheme="majorEastAsia" w:hAnsiTheme="majorHAnsi" w:cstheme="majorBidi"/>
        </w:rPr>
      </w:pPr>
      <w:r w:rsidRPr="4B614F43">
        <w:rPr>
          <w:rFonts w:asciiTheme="majorHAnsi" w:eastAsiaTheme="majorEastAsia" w:hAnsiTheme="majorHAnsi" w:cstheme="majorBidi"/>
        </w:rPr>
        <w:t>Investicija</w:t>
      </w:r>
      <w:r w:rsidR="009944CE">
        <w:rPr>
          <w:rFonts w:asciiTheme="majorHAnsi" w:eastAsiaTheme="majorEastAsia" w:hAnsiTheme="majorHAnsi" w:cstheme="majorBidi"/>
        </w:rPr>
        <w:t>, kako je trenutno opisana u NPOO,</w:t>
      </w:r>
      <w:r w:rsidRPr="4B614F43">
        <w:rPr>
          <w:rFonts w:asciiTheme="majorHAnsi" w:eastAsiaTheme="majorEastAsia" w:hAnsiTheme="majorHAnsi" w:cstheme="majorBidi"/>
        </w:rPr>
        <w:t xml:space="preserve"> podrazumijeva razvoj i implementaciju pasivne elektroničke komunikacijske infrastrukture</w:t>
      </w:r>
      <w:r w:rsidR="00230DC3" w:rsidRPr="4B614F43">
        <w:rPr>
          <w:rFonts w:asciiTheme="majorHAnsi" w:eastAsiaTheme="majorEastAsia" w:hAnsiTheme="majorHAnsi" w:cstheme="majorBidi"/>
        </w:rPr>
        <w:t>,</w:t>
      </w:r>
      <w:r w:rsidRPr="4B614F43">
        <w:rPr>
          <w:rFonts w:asciiTheme="majorHAnsi" w:eastAsiaTheme="majorEastAsia" w:hAnsiTheme="majorHAnsi" w:cstheme="majorBidi"/>
        </w:rPr>
        <w:t xml:space="preserve"> </w:t>
      </w:r>
      <w:r w:rsidR="00230DC3" w:rsidRPr="4B614F43">
        <w:rPr>
          <w:rFonts w:asciiTheme="majorHAnsi" w:eastAsiaTheme="majorEastAsia" w:hAnsiTheme="majorHAnsi" w:cstheme="majorBidi"/>
        </w:rPr>
        <w:t xml:space="preserve">koja uključuje </w:t>
      </w:r>
      <w:r w:rsidRPr="4B614F43">
        <w:rPr>
          <w:rFonts w:asciiTheme="majorHAnsi" w:eastAsiaTheme="majorEastAsia" w:hAnsiTheme="majorHAnsi" w:cstheme="majorBidi"/>
        </w:rPr>
        <w:t xml:space="preserve">izgradnju </w:t>
      </w:r>
      <w:r w:rsidRPr="00684633">
        <w:rPr>
          <w:rFonts w:asciiTheme="majorHAnsi" w:eastAsiaTheme="majorEastAsia" w:hAnsiTheme="majorHAnsi" w:cstheme="majorBidi"/>
          <w:b/>
          <w:bCs/>
        </w:rPr>
        <w:t xml:space="preserve">samostojećih antenskih stupova, osiguravanje niskonaponskog priključka te osiguranje svjetlovodnih ili mikrovalnih prijenosnih </w:t>
      </w:r>
      <w:r w:rsidR="00DA6EAA">
        <w:rPr>
          <w:rFonts w:asciiTheme="majorHAnsi" w:eastAsiaTheme="majorEastAsia" w:hAnsiTheme="majorHAnsi" w:cstheme="majorBidi"/>
          <w:b/>
          <w:bCs/>
        </w:rPr>
        <w:t>sustava zadovoljavajućih kapaciteta</w:t>
      </w:r>
      <w:r w:rsidR="00DA6EAA" w:rsidRPr="4B614F43">
        <w:rPr>
          <w:rFonts w:asciiTheme="majorHAnsi" w:eastAsiaTheme="majorEastAsia" w:hAnsiTheme="majorHAnsi" w:cstheme="majorBidi"/>
        </w:rPr>
        <w:t xml:space="preserve"> </w:t>
      </w:r>
      <w:r w:rsidRPr="4B614F43">
        <w:rPr>
          <w:rFonts w:asciiTheme="majorHAnsi" w:eastAsiaTheme="majorEastAsia" w:hAnsiTheme="majorHAnsi" w:cstheme="majorBidi"/>
        </w:rPr>
        <w:t xml:space="preserve">u svrhu </w:t>
      </w:r>
      <w:r w:rsidR="00DA6EAA">
        <w:rPr>
          <w:rFonts w:asciiTheme="majorHAnsi" w:eastAsiaTheme="majorEastAsia" w:hAnsiTheme="majorHAnsi" w:cstheme="majorBidi"/>
        </w:rPr>
        <w:t xml:space="preserve">osiguranja </w:t>
      </w:r>
      <w:r w:rsidRPr="4B614F43">
        <w:rPr>
          <w:rFonts w:asciiTheme="majorHAnsi" w:eastAsiaTheme="majorEastAsia" w:hAnsiTheme="majorHAnsi" w:cstheme="majorBidi"/>
        </w:rPr>
        <w:t xml:space="preserve"> dostupnost</w:t>
      </w:r>
      <w:r w:rsidR="00DA6EAA">
        <w:rPr>
          <w:rFonts w:asciiTheme="majorHAnsi" w:eastAsiaTheme="majorEastAsia" w:hAnsiTheme="majorHAnsi" w:cstheme="majorBidi"/>
        </w:rPr>
        <w:t>i</w:t>
      </w:r>
      <w:r w:rsidRPr="4B614F43">
        <w:rPr>
          <w:rFonts w:asciiTheme="majorHAnsi" w:eastAsiaTheme="majorEastAsia" w:hAnsiTheme="majorHAnsi" w:cstheme="majorBidi"/>
        </w:rPr>
        <w:t xml:space="preserve"> širokopojasnih mreža velikog kapaciteta u ruralnim i </w:t>
      </w:r>
      <w:r w:rsidR="00164DBB">
        <w:rPr>
          <w:rFonts w:asciiTheme="majorHAnsi" w:eastAsiaTheme="majorEastAsia" w:hAnsiTheme="majorHAnsi" w:cstheme="majorBidi"/>
        </w:rPr>
        <w:t>rijetko</w:t>
      </w:r>
      <w:r w:rsidR="00164DBB" w:rsidRPr="4B614F43">
        <w:rPr>
          <w:rFonts w:asciiTheme="majorHAnsi" w:eastAsiaTheme="majorEastAsia" w:hAnsiTheme="majorHAnsi" w:cstheme="majorBidi"/>
        </w:rPr>
        <w:t xml:space="preserve"> </w:t>
      </w:r>
      <w:r w:rsidRPr="4B614F43">
        <w:rPr>
          <w:rFonts w:asciiTheme="majorHAnsi" w:eastAsiaTheme="majorEastAsia" w:hAnsiTheme="majorHAnsi" w:cstheme="majorBidi"/>
        </w:rPr>
        <w:t xml:space="preserve">naseljenim područjima u kojima ne postoji komercijalni interes za gradnjom takve infrastrukture. </w:t>
      </w:r>
    </w:p>
    <w:p w14:paraId="450B12A9" w14:textId="24097429" w:rsidR="00980731" w:rsidRDefault="00980731" w:rsidP="00980731">
      <w:pPr>
        <w:rPr>
          <w:rFonts w:asciiTheme="majorHAnsi" w:eastAsiaTheme="majorEastAsia" w:hAnsiTheme="majorHAnsi" w:cstheme="majorBidi"/>
        </w:rPr>
      </w:pPr>
      <w:r w:rsidRPr="658830B6">
        <w:rPr>
          <w:rFonts w:asciiTheme="majorHAnsi" w:eastAsiaTheme="majorEastAsia" w:hAnsiTheme="majorHAnsi" w:cstheme="majorBidi"/>
        </w:rPr>
        <w:t xml:space="preserve">Procijenjeno je postavljanje oko 58 stupova, međutim točan odabir lokacija (i konačan broj lokacija) definirat će se </w:t>
      </w:r>
      <w:r w:rsidR="00F71860">
        <w:rPr>
          <w:rFonts w:asciiTheme="majorHAnsi" w:eastAsiaTheme="majorEastAsia" w:hAnsiTheme="majorHAnsi" w:cstheme="majorBidi"/>
        </w:rPr>
        <w:t>S</w:t>
      </w:r>
      <w:r w:rsidRPr="658830B6">
        <w:rPr>
          <w:rFonts w:asciiTheme="majorHAnsi" w:eastAsiaTheme="majorEastAsia" w:hAnsiTheme="majorHAnsi" w:cstheme="majorBidi"/>
        </w:rPr>
        <w:t xml:space="preserve">tudijom </w:t>
      </w:r>
      <w:r w:rsidR="00F71860">
        <w:rPr>
          <w:rFonts w:asciiTheme="majorHAnsi" w:eastAsiaTheme="majorEastAsia" w:hAnsiTheme="majorHAnsi" w:cstheme="majorBidi"/>
        </w:rPr>
        <w:t>izvedivosti</w:t>
      </w:r>
      <w:r w:rsidRPr="658830B6">
        <w:rPr>
          <w:rFonts w:asciiTheme="majorHAnsi" w:eastAsiaTheme="majorEastAsia" w:hAnsiTheme="majorHAnsi" w:cstheme="majorBidi"/>
        </w:rPr>
        <w:t xml:space="preserve">, čija je izrada trenutno u tijeku. Studija </w:t>
      </w:r>
      <w:r w:rsidR="00F71860">
        <w:rPr>
          <w:rFonts w:asciiTheme="majorHAnsi" w:eastAsiaTheme="majorEastAsia" w:hAnsiTheme="majorHAnsi" w:cstheme="majorBidi"/>
        </w:rPr>
        <w:t>izvedivosti</w:t>
      </w:r>
      <w:r w:rsidRPr="658830B6">
        <w:rPr>
          <w:rFonts w:asciiTheme="majorHAnsi" w:eastAsiaTheme="majorEastAsia" w:hAnsiTheme="majorHAnsi" w:cstheme="majorBidi"/>
        </w:rPr>
        <w:t xml:space="preserve"> uzet će u obzir  kao polaznu točku </w:t>
      </w:r>
      <w:r>
        <w:rPr>
          <w:rFonts w:asciiTheme="majorHAnsi" w:eastAsiaTheme="majorEastAsia" w:hAnsiTheme="majorHAnsi" w:cstheme="majorBidi"/>
        </w:rPr>
        <w:t>multikriterijske analize</w:t>
      </w:r>
      <w:r w:rsidRPr="658830B6">
        <w:rPr>
          <w:rFonts w:asciiTheme="majorHAnsi" w:eastAsiaTheme="majorEastAsia" w:hAnsiTheme="majorHAnsi" w:cstheme="majorBidi"/>
        </w:rPr>
        <w:t xml:space="preserve"> prihvatljiv</w:t>
      </w:r>
      <w:r>
        <w:rPr>
          <w:rFonts w:asciiTheme="majorHAnsi" w:eastAsiaTheme="majorEastAsia" w:hAnsiTheme="majorHAnsi" w:cstheme="majorBidi"/>
        </w:rPr>
        <w:t xml:space="preserve">e površine </w:t>
      </w:r>
      <w:r w:rsidRPr="658830B6">
        <w:rPr>
          <w:rFonts w:asciiTheme="majorHAnsi" w:eastAsiaTheme="majorEastAsia" w:hAnsiTheme="majorHAnsi" w:cstheme="majorBidi"/>
        </w:rPr>
        <w:t>područja potvrđena kroz ovo javno savjetovanje</w:t>
      </w:r>
      <w:r>
        <w:rPr>
          <w:rFonts w:asciiTheme="majorHAnsi" w:eastAsiaTheme="majorEastAsia" w:hAnsiTheme="majorHAnsi" w:cstheme="majorBidi"/>
        </w:rPr>
        <w:t xml:space="preserve">, </w:t>
      </w:r>
      <w:r w:rsidR="00182B13">
        <w:rPr>
          <w:rFonts w:asciiTheme="majorHAnsi" w:eastAsiaTheme="majorEastAsia" w:hAnsiTheme="majorHAnsi" w:cstheme="majorBidi"/>
        </w:rPr>
        <w:t>kako</w:t>
      </w:r>
      <w:r w:rsidRPr="658830B6">
        <w:rPr>
          <w:rFonts w:asciiTheme="majorHAnsi" w:eastAsiaTheme="majorEastAsia" w:hAnsiTheme="majorHAnsi" w:cstheme="majorBidi"/>
        </w:rPr>
        <w:t xml:space="preserve"> bi se osiguralo </w:t>
      </w:r>
      <w:r w:rsidR="00182B13">
        <w:rPr>
          <w:rFonts w:asciiTheme="majorHAnsi" w:eastAsiaTheme="majorEastAsia" w:hAnsiTheme="majorHAnsi" w:cstheme="majorBidi"/>
        </w:rPr>
        <w:t>da</w:t>
      </w:r>
      <w:r w:rsidRPr="658830B6">
        <w:rPr>
          <w:rFonts w:asciiTheme="majorHAnsi" w:eastAsiaTheme="majorEastAsia" w:hAnsiTheme="majorHAnsi" w:cstheme="majorBidi"/>
        </w:rPr>
        <w:t xml:space="preserve"> je investicija predviđena na prihvatljivom području u odnosu na odredbe članka 52.a Uredbe 651/2014.</w:t>
      </w:r>
      <w:r w:rsidR="00093F47">
        <w:rPr>
          <w:rFonts w:asciiTheme="majorHAnsi" w:eastAsiaTheme="majorEastAsia" w:hAnsiTheme="majorHAnsi" w:cstheme="majorBidi"/>
        </w:rPr>
        <w:t xml:space="preserve"> Napominje se kako stupovi neće biti postavljeni na svim </w:t>
      </w:r>
      <w:r w:rsidR="00996DDE">
        <w:rPr>
          <w:rFonts w:asciiTheme="majorHAnsi" w:eastAsiaTheme="majorEastAsia" w:hAnsiTheme="majorHAnsi" w:cstheme="majorBidi"/>
        </w:rPr>
        <w:t>prihvatljivim područjima definiranim kroz ovo javno savjetovanje, već na onima</w:t>
      </w:r>
      <w:r w:rsidR="00293171">
        <w:rPr>
          <w:rFonts w:asciiTheme="majorHAnsi" w:eastAsiaTheme="majorEastAsia" w:hAnsiTheme="majorHAnsi" w:cstheme="majorBidi"/>
        </w:rPr>
        <w:t xml:space="preserve"> koje Studija potvrdi kao moguće lokacije </w:t>
      </w:r>
      <w:r w:rsidR="00E647A7">
        <w:rPr>
          <w:rFonts w:asciiTheme="majorHAnsi" w:eastAsiaTheme="majorEastAsia" w:hAnsiTheme="majorHAnsi" w:cstheme="majorBidi"/>
        </w:rPr>
        <w:t>koje će opravdati ekonomsku isplativost investicije.</w:t>
      </w:r>
    </w:p>
    <w:p w14:paraId="15281715" w14:textId="6F04E568" w:rsidR="710D8941" w:rsidRDefault="710D8941" w:rsidP="003F7F10">
      <w:pPr>
        <w:rPr>
          <w:rFonts w:asciiTheme="majorHAnsi" w:eastAsiaTheme="majorEastAsia" w:hAnsiTheme="majorHAnsi" w:cstheme="majorBidi"/>
        </w:rPr>
      </w:pPr>
      <w:r w:rsidRPr="4B614F43">
        <w:rPr>
          <w:rFonts w:asciiTheme="majorHAnsi" w:eastAsiaTheme="majorEastAsia" w:hAnsiTheme="majorHAnsi" w:cstheme="majorBidi"/>
        </w:rPr>
        <w:t xml:space="preserve">U sklopu </w:t>
      </w:r>
      <w:r w:rsidR="000139FD">
        <w:rPr>
          <w:rFonts w:asciiTheme="majorHAnsi" w:eastAsiaTheme="majorEastAsia" w:hAnsiTheme="majorHAnsi" w:cstheme="majorBidi"/>
        </w:rPr>
        <w:t>S</w:t>
      </w:r>
      <w:r w:rsidRPr="4B614F43">
        <w:rPr>
          <w:rFonts w:asciiTheme="majorHAnsi" w:eastAsiaTheme="majorEastAsia" w:hAnsiTheme="majorHAnsi" w:cstheme="majorBidi"/>
        </w:rPr>
        <w:t>tudije izvršit će se: utvrđivanje točnih potreba za pojedinim vidovima komunikacije; utvrđivanje potreba pokrivanja signalom na točno definiranim područjima</w:t>
      </w:r>
      <w:r w:rsidR="0013E9E3" w:rsidRPr="4B614F43">
        <w:rPr>
          <w:rFonts w:asciiTheme="majorHAnsi" w:eastAsiaTheme="majorEastAsia" w:hAnsiTheme="majorHAnsi" w:cstheme="majorBidi"/>
        </w:rPr>
        <w:t xml:space="preserve">, te će se sukladno rezultatima iste </w:t>
      </w:r>
      <w:r w:rsidRPr="4B614F43">
        <w:rPr>
          <w:rFonts w:asciiTheme="majorHAnsi" w:eastAsiaTheme="majorEastAsia" w:hAnsiTheme="majorHAnsi" w:cstheme="majorBidi"/>
        </w:rPr>
        <w:t xml:space="preserve">izgraditi pasivna infrastruktura za povezivanje infrastrukturnih točaka.  </w:t>
      </w:r>
    </w:p>
    <w:p w14:paraId="127686E6" w14:textId="4C2951FA" w:rsidR="006E0E95" w:rsidRDefault="006E0E95" w:rsidP="006E0E95">
      <w:pPr>
        <w:rPr>
          <w:rFonts w:asciiTheme="majorHAnsi" w:eastAsiaTheme="majorEastAsia" w:hAnsiTheme="majorHAnsi" w:cstheme="majorBidi"/>
        </w:rPr>
      </w:pPr>
      <w:r>
        <w:rPr>
          <w:rFonts w:asciiTheme="majorHAnsi" w:eastAsiaTheme="majorEastAsia" w:hAnsiTheme="majorHAnsi" w:cstheme="majorBidi"/>
        </w:rPr>
        <w:t xml:space="preserve">U odnosu na izmjenu Uredbe 615/2014 spomenutu u točci 1. Uvod, </w:t>
      </w:r>
      <w:r w:rsidR="00E37D7F">
        <w:rPr>
          <w:rFonts w:asciiTheme="majorHAnsi" w:eastAsiaTheme="majorEastAsia" w:hAnsiTheme="majorHAnsi" w:cstheme="majorBidi"/>
        </w:rPr>
        <w:t xml:space="preserve">ukazuje </w:t>
      </w:r>
      <w:r>
        <w:rPr>
          <w:rFonts w:asciiTheme="majorHAnsi" w:eastAsiaTheme="majorEastAsia" w:hAnsiTheme="majorHAnsi" w:cstheme="majorBidi"/>
        </w:rPr>
        <w:t xml:space="preserve"> se</w:t>
      </w:r>
      <w:r w:rsidR="00953B19">
        <w:rPr>
          <w:rFonts w:asciiTheme="majorHAnsi" w:eastAsiaTheme="majorEastAsia" w:hAnsiTheme="majorHAnsi" w:cstheme="majorBidi"/>
        </w:rPr>
        <w:t xml:space="preserve"> na</w:t>
      </w:r>
      <w:r>
        <w:rPr>
          <w:rFonts w:asciiTheme="majorHAnsi" w:eastAsiaTheme="majorEastAsia" w:hAnsiTheme="majorHAnsi" w:cstheme="majorBidi"/>
        </w:rPr>
        <w:t xml:space="preserve"> mogućnost da Studija izvedivosti razmotri i mogućnost financiranja i određenih aktivnih komponenti u okviru predmetne NPOO investicije, ukoliko se pokaže potreba za </w:t>
      </w:r>
      <w:r w:rsidR="00B124E8">
        <w:rPr>
          <w:rFonts w:asciiTheme="majorHAnsi" w:eastAsiaTheme="majorEastAsia" w:hAnsiTheme="majorHAnsi" w:cstheme="majorBidi"/>
        </w:rPr>
        <w:t>time</w:t>
      </w:r>
      <w:r>
        <w:rPr>
          <w:rFonts w:asciiTheme="majorHAnsi" w:eastAsiaTheme="majorEastAsia" w:hAnsiTheme="majorHAnsi" w:cstheme="majorBidi"/>
        </w:rPr>
        <w:t xml:space="preserve">, te </w:t>
      </w:r>
      <w:r w:rsidR="00B124E8">
        <w:rPr>
          <w:rFonts w:asciiTheme="majorHAnsi" w:eastAsiaTheme="majorEastAsia" w:hAnsiTheme="majorHAnsi" w:cstheme="majorBidi"/>
        </w:rPr>
        <w:t xml:space="preserve">se </w:t>
      </w:r>
      <w:r>
        <w:rPr>
          <w:rFonts w:asciiTheme="majorHAnsi" w:eastAsiaTheme="majorEastAsia" w:hAnsiTheme="majorHAnsi" w:cstheme="majorBidi"/>
        </w:rPr>
        <w:t>t</w:t>
      </w:r>
      <w:r w:rsidR="007323F0">
        <w:rPr>
          <w:rFonts w:asciiTheme="majorHAnsi" w:eastAsiaTheme="majorEastAsia" w:hAnsiTheme="majorHAnsi" w:cstheme="majorBidi"/>
        </w:rPr>
        <w:t>akav pristup</w:t>
      </w:r>
      <w:r>
        <w:rPr>
          <w:rFonts w:asciiTheme="majorHAnsi" w:eastAsiaTheme="majorEastAsia" w:hAnsiTheme="majorHAnsi" w:cstheme="majorBidi"/>
        </w:rPr>
        <w:t xml:space="preserve"> usuglasi između svih dionika kao prihvatljiv trošak financiranja iz Mehanizma oporavka i otpornosti.</w:t>
      </w:r>
    </w:p>
    <w:p w14:paraId="5E45E5D0" w14:textId="460E93F5" w:rsidR="0AB124E2" w:rsidRDefault="0AB124E2" w:rsidP="003F7F10">
      <w:pPr>
        <w:rPr>
          <w:rFonts w:asciiTheme="majorHAnsi" w:eastAsiaTheme="majorEastAsia" w:hAnsiTheme="majorHAnsi" w:cstheme="majorBidi"/>
        </w:rPr>
      </w:pPr>
      <w:r w:rsidRPr="4B614F43">
        <w:rPr>
          <w:rFonts w:asciiTheme="majorHAnsi" w:eastAsiaTheme="majorEastAsia" w:hAnsiTheme="majorHAnsi" w:cstheme="majorBidi"/>
        </w:rPr>
        <w:t>Predviđen iznos investicije C2.3. R4-I2 Izgradnja pasivne elektroničke komunikacijske infrastrukture u okviru Nacionalnog plana oporavka i otpornosti iznosi 19.555.114,20 EUR.</w:t>
      </w:r>
    </w:p>
    <w:p w14:paraId="4815F3AF" w14:textId="740CF4D7" w:rsidR="54517438" w:rsidRDefault="54517438" w:rsidP="003F7F10">
      <w:pPr>
        <w:rPr>
          <w:rFonts w:asciiTheme="majorHAnsi" w:eastAsiaTheme="majorEastAsia" w:hAnsiTheme="majorHAnsi" w:cstheme="majorBidi"/>
        </w:rPr>
      </w:pPr>
      <w:r w:rsidRPr="4B614F43">
        <w:rPr>
          <w:rFonts w:asciiTheme="majorHAnsi" w:eastAsiaTheme="majorEastAsia" w:hAnsiTheme="majorHAnsi" w:cstheme="majorBidi"/>
        </w:rPr>
        <w:t>Predviđeni završetak provedbe predmetne investicije jest 30. lipnja 2026. godine.</w:t>
      </w:r>
    </w:p>
    <w:p w14:paraId="6C07F38F" w14:textId="753C95D1" w:rsidR="004B2EDA" w:rsidRDefault="00C9499F" w:rsidP="003F7F10">
      <w:pPr>
        <w:rPr>
          <w:rFonts w:asciiTheme="majorHAnsi" w:eastAsiaTheme="majorEastAsia" w:hAnsiTheme="majorHAnsi" w:cstheme="majorBidi"/>
        </w:rPr>
      </w:pPr>
      <w:r w:rsidRPr="4B614F43">
        <w:rPr>
          <w:rFonts w:asciiTheme="majorHAnsi" w:eastAsiaTheme="majorEastAsia" w:hAnsiTheme="majorHAnsi" w:cstheme="majorBidi"/>
        </w:rPr>
        <w:t xml:space="preserve">Provedbom investicije </w:t>
      </w:r>
      <w:r w:rsidR="004B2EDA" w:rsidRPr="4B614F43">
        <w:rPr>
          <w:rFonts w:asciiTheme="majorHAnsi" w:eastAsiaTheme="majorEastAsia" w:hAnsiTheme="majorHAnsi" w:cstheme="majorBidi"/>
        </w:rPr>
        <w:t>osigurat će se dostupnost gigabitnih mreža</w:t>
      </w:r>
      <w:r w:rsidR="002C5D93">
        <w:rPr>
          <w:rFonts w:asciiTheme="majorHAnsi" w:eastAsiaTheme="majorEastAsia" w:hAnsiTheme="majorHAnsi" w:cstheme="majorBidi"/>
        </w:rPr>
        <w:t>, VHCN</w:t>
      </w:r>
      <w:r w:rsidR="00B31041" w:rsidRPr="4B614F43">
        <w:rPr>
          <w:rFonts w:asciiTheme="majorHAnsi" w:eastAsiaTheme="majorEastAsia" w:hAnsiTheme="majorHAnsi" w:cstheme="majorBidi"/>
        </w:rPr>
        <w:t xml:space="preserve">  </w:t>
      </w:r>
      <w:r w:rsidR="004B2EDA" w:rsidRPr="4B614F43">
        <w:rPr>
          <w:rFonts w:asciiTheme="majorHAnsi" w:eastAsiaTheme="majorEastAsia" w:hAnsiTheme="majorHAnsi" w:cstheme="majorBidi"/>
        </w:rPr>
        <w:t xml:space="preserve">u ruralnim i </w:t>
      </w:r>
      <w:r w:rsidR="00164DBB">
        <w:rPr>
          <w:rFonts w:asciiTheme="majorHAnsi" w:eastAsiaTheme="majorEastAsia" w:hAnsiTheme="majorHAnsi" w:cstheme="majorBidi"/>
        </w:rPr>
        <w:t>rijetko</w:t>
      </w:r>
      <w:r w:rsidR="00164DBB" w:rsidRPr="4B614F43">
        <w:rPr>
          <w:rFonts w:asciiTheme="majorHAnsi" w:eastAsiaTheme="majorEastAsia" w:hAnsiTheme="majorHAnsi" w:cstheme="majorBidi"/>
        </w:rPr>
        <w:t xml:space="preserve"> </w:t>
      </w:r>
      <w:r w:rsidR="004B2EDA" w:rsidRPr="4B614F43">
        <w:rPr>
          <w:rFonts w:asciiTheme="majorHAnsi" w:eastAsiaTheme="majorEastAsia" w:hAnsiTheme="majorHAnsi" w:cstheme="majorBidi"/>
        </w:rPr>
        <w:t xml:space="preserve">naseljenim područjima (prosječna gustoća naseljenosti manje od 20 stanovnika/km²), </w:t>
      </w:r>
      <w:r w:rsidRPr="4B614F43">
        <w:rPr>
          <w:rFonts w:asciiTheme="majorHAnsi" w:eastAsiaTheme="majorEastAsia" w:hAnsiTheme="majorHAnsi" w:cstheme="majorBidi"/>
        </w:rPr>
        <w:t xml:space="preserve">smanjiti će se digitalni jaz između urbanih i ruralnih područja Hrvatske </w:t>
      </w:r>
      <w:r w:rsidR="004B2EDA" w:rsidRPr="4B614F43">
        <w:rPr>
          <w:rFonts w:asciiTheme="majorHAnsi" w:eastAsiaTheme="majorEastAsia" w:hAnsiTheme="majorHAnsi" w:cstheme="majorBidi"/>
        </w:rPr>
        <w:t xml:space="preserve">te </w:t>
      </w:r>
      <w:r w:rsidRPr="4B614F43">
        <w:rPr>
          <w:rFonts w:asciiTheme="majorHAnsi" w:eastAsiaTheme="majorEastAsia" w:hAnsiTheme="majorHAnsi" w:cstheme="majorBidi"/>
        </w:rPr>
        <w:t xml:space="preserve">stvoriti preduvjeti za daljnji razvoj digitalnih usluga koje za nesmetani rad zahtijevaju vrlo velike brzine, kapacitete i pouzdanost prijenosa ostvarivu samo gigabitnim mrežama. </w:t>
      </w:r>
    </w:p>
    <w:p w14:paraId="7092AAFA" w14:textId="77777777" w:rsidR="00F47F4D" w:rsidRDefault="00C9499F" w:rsidP="003F7F10">
      <w:pPr>
        <w:rPr>
          <w:rFonts w:asciiTheme="majorHAnsi" w:eastAsiaTheme="majorEastAsia" w:hAnsiTheme="majorHAnsi" w:cstheme="majorBidi"/>
        </w:rPr>
      </w:pPr>
      <w:r w:rsidRPr="4B614F43">
        <w:rPr>
          <w:rFonts w:asciiTheme="majorHAnsi" w:eastAsiaTheme="majorEastAsia" w:hAnsiTheme="majorHAnsi" w:cstheme="majorBidi"/>
        </w:rPr>
        <w:lastRenderedPageBreak/>
        <w:t>Državna otvorena elektroničko komunikacijska infrastruktura će između ostaloga omogućiti i razvoj 5G mreža na području obuhvata</w:t>
      </w:r>
      <w:r w:rsidR="00967B90">
        <w:rPr>
          <w:rFonts w:asciiTheme="majorHAnsi" w:eastAsiaTheme="majorEastAsia" w:hAnsiTheme="majorHAnsi" w:cstheme="majorBidi"/>
        </w:rPr>
        <w:t xml:space="preserve"> te će sukladno </w:t>
      </w:r>
      <w:r w:rsidR="00311E70">
        <w:rPr>
          <w:rFonts w:asciiTheme="majorHAnsi" w:eastAsiaTheme="majorEastAsia" w:hAnsiTheme="majorHAnsi" w:cstheme="majorBidi"/>
        </w:rPr>
        <w:t>uvjetima za dodjelu potpore iz članka 52.a Uredbe 651/2014</w:t>
      </w:r>
      <w:r w:rsidRPr="4B614F43">
        <w:rPr>
          <w:rFonts w:asciiTheme="majorHAnsi" w:eastAsiaTheme="majorEastAsia" w:hAnsiTheme="majorHAnsi" w:cstheme="majorBidi"/>
        </w:rPr>
        <w:t xml:space="preserve"> bit</w:t>
      </w:r>
      <w:r w:rsidR="001D1F19">
        <w:rPr>
          <w:rFonts w:asciiTheme="majorHAnsi" w:eastAsiaTheme="majorEastAsia" w:hAnsiTheme="majorHAnsi" w:cstheme="majorBidi"/>
        </w:rPr>
        <w:t>i</w:t>
      </w:r>
      <w:r w:rsidRPr="4B614F43">
        <w:rPr>
          <w:rFonts w:asciiTheme="majorHAnsi" w:eastAsiaTheme="majorEastAsia" w:hAnsiTheme="majorHAnsi" w:cstheme="majorBidi"/>
        </w:rPr>
        <w:t xml:space="preserve"> dostupna na korištenje svim</w:t>
      </w:r>
      <w:r w:rsidR="05977A30" w:rsidRPr="4B614F43">
        <w:rPr>
          <w:rFonts w:asciiTheme="majorHAnsi" w:eastAsiaTheme="majorEastAsia" w:hAnsiTheme="majorHAnsi" w:cstheme="majorBidi"/>
        </w:rPr>
        <w:t xml:space="preserve"> operat</w:t>
      </w:r>
      <w:r w:rsidR="0024064D">
        <w:rPr>
          <w:rFonts w:asciiTheme="majorHAnsi" w:eastAsiaTheme="majorEastAsia" w:hAnsiTheme="majorHAnsi" w:cstheme="majorBidi"/>
        </w:rPr>
        <w:t>o</w:t>
      </w:r>
      <w:r w:rsidR="05977A30" w:rsidRPr="4B614F43">
        <w:rPr>
          <w:rFonts w:asciiTheme="majorHAnsi" w:eastAsiaTheme="majorEastAsia" w:hAnsiTheme="majorHAnsi" w:cstheme="majorBidi"/>
        </w:rPr>
        <w:t>rima</w:t>
      </w:r>
      <w:r w:rsidRPr="4B614F43">
        <w:rPr>
          <w:rFonts w:asciiTheme="majorHAnsi" w:eastAsiaTheme="majorEastAsia" w:hAnsiTheme="majorHAnsi" w:cstheme="majorBidi"/>
        </w:rPr>
        <w:t xml:space="preserve"> pod jednakim uvjetima</w:t>
      </w:r>
      <w:r w:rsidR="00BF7BCC">
        <w:rPr>
          <w:rFonts w:asciiTheme="majorHAnsi" w:eastAsiaTheme="majorEastAsia" w:hAnsiTheme="majorHAnsi" w:cstheme="majorBidi"/>
        </w:rPr>
        <w:t>, a</w:t>
      </w:r>
      <w:r w:rsidRPr="4B614F43">
        <w:rPr>
          <w:rFonts w:asciiTheme="majorHAnsi" w:eastAsiaTheme="majorEastAsia" w:hAnsiTheme="majorHAnsi" w:cstheme="majorBidi"/>
        </w:rPr>
        <w:t xml:space="preserve"> svojim kapacitetom, tržišnom dostupnošću i prihvatljivim veleprodajnim cijenama omogućit</w:t>
      </w:r>
      <w:r w:rsidR="00BF7BCC">
        <w:rPr>
          <w:rFonts w:asciiTheme="majorHAnsi" w:eastAsiaTheme="majorEastAsia" w:hAnsiTheme="majorHAnsi" w:cstheme="majorBidi"/>
        </w:rPr>
        <w:t xml:space="preserve"> će </w:t>
      </w:r>
      <w:r w:rsidRPr="4B614F43">
        <w:rPr>
          <w:rFonts w:asciiTheme="majorHAnsi" w:eastAsiaTheme="majorEastAsia" w:hAnsiTheme="majorHAnsi" w:cstheme="majorBidi"/>
        </w:rPr>
        <w:t xml:space="preserve"> svim operatorima pristup do krajnjih korisnika u naseljima, kako bi svi korisnici imali jednake mogućnosti izbora operatora i usluga širokopojasnog pristupa.</w:t>
      </w:r>
      <w:r w:rsidR="00A70E02">
        <w:rPr>
          <w:rFonts w:asciiTheme="majorHAnsi" w:eastAsiaTheme="majorEastAsia" w:hAnsiTheme="majorHAnsi" w:cstheme="majorBidi"/>
        </w:rPr>
        <w:t xml:space="preserve"> </w:t>
      </w:r>
    </w:p>
    <w:p w14:paraId="27678637" w14:textId="2C20D932" w:rsidR="004B2EDA" w:rsidRDefault="00A70E02" w:rsidP="003F7F10">
      <w:pPr>
        <w:rPr>
          <w:rFonts w:asciiTheme="majorHAnsi" w:eastAsiaTheme="majorEastAsia" w:hAnsiTheme="majorHAnsi" w:cstheme="majorBidi"/>
        </w:rPr>
      </w:pPr>
      <w:r>
        <w:rPr>
          <w:rFonts w:asciiTheme="majorHAnsi" w:eastAsiaTheme="majorEastAsia" w:hAnsiTheme="majorHAnsi" w:cstheme="majorBidi"/>
        </w:rPr>
        <w:t>Pritom</w:t>
      </w:r>
      <w:r w:rsidR="006171FB">
        <w:rPr>
          <w:rFonts w:asciiTheme="majorHAnsi" w:eastAsiaTheme="majorEastAsia" w:hAnsiTheme="majorHAnsi" w:cstheme="majorBidi"/>
        </w:rPr>
        <w:t xml:space="preserve"> će se osigurati računovodstveno razdvajanje </w:t>
      </w:r>
      <w:r w:rsidR="00FE10FF">
        <w:rPr>
          <w:rFonts w:asciiTheme="majorHAnsi" w:eastAsiaTheme="majorEastAsia" w:hAnsiTheme="majorHAnsi" w:cstheme="majorBidi"/>
        </w:rPr>
        <w:t xml:space="preserve">sredstava koja se koriste za funkcioniranje mreže i ostalih </w:t>
      </w:r>
      <w:r w:rsidR="00813E8B">
        <w:rPr>
          <w:rFonts w:asciiTheme="majorHAnsi" w:eastAsiaTheme="majorEastAsia" w:hAnsiTheme="majorHAnsi" w:cstheme="majorBidi"/>
        </w:rPr>
        <w:t xml:space="preserve">sredstava kojima raspolaže </w:t>
      </w:r>
      <w:r w:rsidR="00134D8D">
        <w:rPr>
          <w:rFonts w:asciiTheme="majorHAnsi" w:eastAsiaTheme="majorEastAsia" w:hAnsiTheme="majorHAnsi" w:cstheme="majorBidi"/>
        </w:rPr>
        <w:t>interni operat</w:t>
      </w:r>
      <w:r w:rsidR="0024064D">
        <w:rPr>
          <w:rFonts w:asciiTheme="majorHAnsi" w:eastAsiaTheme="majorEastAsia" w:hAnsiTheme="majorHAnsi" w:cstheme="majorBidi"/>
        </w:rPr>
        <w:t>o</w:t>
      </w:r>
      <w:r w:rsidR="00134D8D">
        <w:rPr>
          <w:rFonts w:asciiTheme="majorHAnsi" w:eastAsiaTheme="majorEastAsia" w:hAnsiTheme="majorHAnsi" w:cstheme="majorBidi"/>
        </w:rPr>
        <w:t xml:space="preserve">r </w:t>
      </w:r>
      <w:r w:rsidR="005E3644">
        <w:rPr>
          <w:rFonts w:asciiTheme="majorHAnsi" w:eastAsiaTheme="majorEastAsia" w:hAnsiTheme="majorHAnsi" w:cstheme="majorBidi"/>
        </w:rPr>
        <w:t>kojemu se dodjeljuj</w:t>
      </w:r>
      <w:r w:rsidR="00603C54">
        <w:rPr>
          <w:rFonts w:asciiTheme="majorHAnsi" w:eastAsiaTheme="majorEastAsia" w:hAnsiTheme="majorHAnsi" w:cstheme="majorBidi"/>
        </w:rPr>
        <w:t>e</w:t>
      </w:r>
      <w:r w:rsidR="005E3644">
        <w:rPr>
          <w:rFonts w:asciiTheme="majorHAnsi" w:eastAsiaTheme="majorEastAsia" w:hAnsiTheme="majorHAnsi" w:cstheme="majorBidi"/>
        </w:rPr>
        <w:t xml:space="preserve"> državn</w:t>
      </w:r>
      <w:r w:rsidR="00603C54">
        <w:rPr>
          <w:rFonts w:asciiTheme="majorHAnsi" w:eastAsiaTheme="majorEastAsia" w:hAnsiTheme="majorHAnsi" w:cstheme="majorBidi"/>
        </w:rPr>
        <w:t>a</w:t>
      </w:r>
      <w:r w:rsidR="005E3644">
        <w:rPr>
          <w:rFonts w:asciiTheme="majorHAnsi" w:eastAsiaTheme="majorEastAsia" w:hAnsiTheme="majorHAnsi" w:cstheme="majorBidi"/>
        </w:rPr>
        <w:t xml:space="preserve"> potpor</w:t>
      </w:r>
      <w:r w:rsidR="00603C54">
        <w:rPr>
          <w:rFonts w:asciiTheme="majorHAnsi" w:eastAsiaTheme="majorEastAsia" w:hAnsiTheme="majorHAnsi" w:cstheme="majorBidi"/>
        </w:rPr>
        <w:t>a</w:t>
      </w:r>
      <w:r w:rsidR="005E3644">
        <w:rPr>
          <w:rFonts w:asciiTheme="majorHAnsi" w:eastAsiaTheme="majorEastAsia" w:hAnsiTheme="majorHAnsi" w:cstheme="majorBidi"/>
        </w:rPr>
        <w:t xml:space="preserve"> za </w:t>
      </w:r>
      <w:r w:rsidR="00692B7B">
        <w:rPr>
          <w:rFonts w:asciiTheme="majorHAnsi" w:eastAsiaTheme="majorEastAsia" w:hAnsiTheme="majorHAnsi" w:cstheme="majorBidi"/>
        </w:rPr>
        <w:t>uvođenje 5G mreže.</w:t>
      </w:r>
      <w:r w:rsidR="00C612DF">
        <w:rPr>
          <w:rFonts w:asciiTheme="majorHAnsi" w:eastAsiaTheme="majorEastAsia" w:hAnsiTheme="majorHAnsi" w:cstheme="majorBidi"/>
        </w:rPr>
        <w:t xml:space="preserve"> </w:t>
      </w:r>
      <w:r w:rsidR="005A58C9">
        <w:rPr>
          <w:rFonts w:asciiTheme="majorHAnsi" w:eastAsiaTheme="majorEastAsia" w:hAnsiTheme="majorHAnsi" w:cstheme="majorBidi"/>
        </w:rPr>
        <w:t xml:space="preserve">Realizacija </w:t>
      </w:r>
      <w:r w:rsidR="001975E1">
        <w:rPr>
          <w:rFonts w:asciiTheme="majorHAnsi" w:eastAsiaTheme="majorEastAsia" w:hAnsiTheme="majorHAnsi" w:cstheme="majorBidi"/>
        </w:rPr>
        <w:t xml:space="preserve">Investicije </w:t>
      </w:r>
      <w:r w:rsidR="005A58C9">
        <w:rPr>
          <w:rFonts w:asciiTheme="majorHAnsi" w:eastAsiaTheme="majorEastAsia" w:hAnsiTheme="majorHAnsi" w:cstheme="majorBidi"/>
        </w:rPr>
        <w:t xml:space="preserve"> provest će se ispunjavanjem svih uvjeta za dodjelu potpore iz članka 52.a Uredbe 651/2014</w:t>
      </w:r>
      <w:r w:rsidR="00375702">
        <w:rPr>
          <w:rFonts w:asciiTheme="majorHAnsi" w:eastAsiaTheme="majorEastAsia" w:hAnsiTheme="majorHAnsi" w:cstheme="majorBidi"/>
        </w:rPr>
        <w:t>.</w:t>
      </w:r>
      <w:r w:rsidR="005A58C9">
        <w:rPr>
          <w:rFonts w:asciiTheme="majorHAnsi" w:eastAsiaTheme="majorEastAsia" w:hAnsiTheme="majorHAnsi" w:cstheme="majorBidi"/>
        </w:rPr>
        <w:t xml:space="preserve">  </w:t>
      </w:r>
    </w:p>
    <w:p w14:paraId="7DF8DEAF" w14:textId="683ABC62" w:rsidR="00326B44" w:rsidRDefault="00F6189A" w:rsidP="003F7F10">
      <w:pPr>
        <w:rPr>
          <w:rFonts w:asciiTheme="majorHAnsi" w:eastAsiaTheme="majorEastAsia" w:hAnsiTheme="majorHAnsi" w:cstheme="majorBidi"/>
        </w:rPr>
      </w:pPr>
      <w:r>
        <w:rPr>
          <w:rFonts w:asciiTheme="majorHAnsi" w:eastAsiaTheme="majorEastAsia" w:hAnsiTheme="majorHAnsi" w:cstheme="majorBidi"/>
        </w:rPr>
        <w:t>D</w:t>
      </w:r>
      <w:r w:rsidR="00191005">
        <w:rPr>
          <w:rFonts w:asciiTheme="majorHAnsi" w:eastAsiaTheme="majorEastAsia" w:hAnsiTheme="majorHAnsi" w:cstheme="majorBidi"/>
        </w:rPr>
        <w:t>ržavn</w:t>
      </w:r>
      <w:r w:rsidR="007A1E22">
        <w:rPr>
          <w:rFonts w:asciiTheme="majorHAnsi" w:eastAsiaTheme="majorEastAsia" w:hAnsiTheme="majorHAnsi" w:cstheme="majorBidi"/>
        </w:rPr>
        <w:t>e</w:t>
      </w:r>
      <w:r w:rsidR="00191005">
        <w:rPr>
          <w:rFonts w:asciiTheme="majorHAnsi" w:eastAsiaTheme="majorEastAsia" w:hAnsiTheme="majorHAnsi" w:cstheme="majorBidi"/>
        </w:rPr>
        <w:t xml:space="preserve"> potpore za realizaciju </w:t>
      </w:r>
      <w:r w:rsidR="00C13026">
        <w:rPr>
          <w:rFonts w:asciiTheme="majorHAnsi" w:eastAsiaTheme="majorEastAsia" w:hAnsiTheme="majorHAnsi" w:cstheme="majorBidi"/>
        </w:rPr>
        <w:t xml:space="preserve">Investicije </w:t>
      </w:r>
      <w:r>
        <w:rPr>
          <w:rFonts w:asciiTheme="majorHAnsi" w:eastAsiaTheme="majorEastAsia" w:hAnsiTheme="majorHAnsi" w:cstheme="majorBidi"/>
        </w:rPr>
        <w:t xml:space="preserve">dodijelit će se u skladu s </w:t>
      </w:r>
      <w:r w:rsidR="00697F48">
        <w:rPr>
          <w:rFonts w:asciiTheme="majorHAnsi" w:eastAsiaTheme="majorEastAsia" w:hAnsiTheme="majorHAnsi" w:cstheme="majorBidi"/>
        </w:rPr>
        <w:t>uvjetima utvrđenim Uredbom 651/2014</w:t>
      </w:r>
      <w:r w:rsidR="00193721">
        <w:rPr>
          <w:rFonts w:asciiTheme="majorHAnsi" w:eastAsiaTheme="majorEastAsia" w:hAnsiTheme="majorHAnsi" w:cstheme="majorBidi"/>
        </w:rPr>
        <w:t xml:space="preserve">, </w:t>
      </w:r>
      <w:r w:rsidR="00427FB0">
        <w:rPr>
          <w:rFonts w:asciiTheme="majorHAnsi" w:eastAsiaTheme="majorEastAsia" w:hAnsiTheme="majorHAnsi" w:cstheme="majorBidi"/>
        </w:rPr>
        <w:t xml:space="preserve">danom donošenja odluke o dodjeli pojedinačne </w:t>
      </w:r>
      <w:r w:rsidR="00D20CBD">
        <w:rPr>
          <w:rFonts w:asciiTheme="majorHAnsi" w:eastAsiaTheme="majorEastAsia" w:hAnsiTheme="majorHAnsi" w:cstheme="majorBidi"/>
        </w:rPr>
        <w:t>jednokratne potpore</w:t>
      </w:r>
      <w:r w:rsidR="00EB7F34">
        <w:rPr>
          <w:rFonts w:asciiTheme="majorHAnsi" w:eastAsiaTheme="majorEastAsia" w:hAnsiTheme="majorHAnsi" w:cstheme="majorBidi"/>
        </w:rPr>
        <w:t xml:space="preserve"> od strane Ministarstva mora, prometa i infrastrukture</w:t>
      </w:r>
      <w:r w:rsidR="007D723F">
        <w:rPr>
          <w:rFonts w:asciiTheme="majorHAnsi" w:eastAsiaTheme="majorEastAsia" w:hAnsiTheme="majorHAnsi" w:cstheme="majorBidi"/>
        </w:rPr>
        <w:t xml:space="preserve">, </w:t>
      </w:r>
      <w:r w:rsidR="001804ED">
        <w:rPr>
          <w:rFonts w:asciiTheme="majorHAnsi" w:eastAsiaTheme="majorEastAsia" w:hAnsiTheme="majorHAnsi" w:cstheme="majorBidi"/>
        </w:rPr>
        <w:t xml:space="preserve">a </w:t>
      </w:r>
      <w:r w:rsidR="0067206A">
        <w:rPr>
          <w:rFonts w:asciiTheme="majorHAnsi" w:eastAsiaTheme="majorEastAsia" w:hAnsiTheme="majorHAnsi" w:cstheme="majorBidi"/>
        </w:rPr>
        <w:t xml:space="preserve">nakon </w:t>
      </w:r>
      <w:r w:rsidR="007D723F">
        <w:rPr>
          <w:rFonts w:asciiTheme="majorHAnsi" w:eastAsiaTheme="majorEastAsia" w:hAnsiTheme="majorHAnsi" w:cstheme="majorBidi"/>
        </w:rPr>
        <w:t xml:space="preserve">prethodno </w:t>
      </w:r>
      <w:r w:rsidR="0067206A">
        <w:rPr>
          <w:rFonts w:asciiTheme="majorHAnsi" w:eastAsiaTheme="majorEastAsia" w:hAnsiTheme="majorHAnsi" w:cstheme="majorBidi"/>
        </w:rPr>
        <w:t>dobiv</w:t>
      </w:r>
      <w:r w:rsidR="007D723F">
        <w:rPr>
          <w:rFonts w:asciiTheme="majorHAnsi" w:eastAsiaTheme="majorEastAsia" w:hAnsiTheme="majorHAnsi" w:cstheme="majorBidi"/>
        </w:rPr>
        <w:t>enog</w:t>
      </w:r>
      <w:r w:rsidR="0067206A">
        <w:rPr>
          <w:rFonts w:asciiTheme="majorHAnsi" w:eastAsiaTheme="majorEastAsia" w:hAnsiTheme="majorHAnsi" w:cstheme="majorBidi"/>
        </w:rPr>
        <w:t xml:space="preserve"> </w:t>
      </w:r>
      <w:r w:rsidR="00D20CBD">
        <w:rPr>
          <w:rFonts w:asciiTheme="majorHAnsi" w:eastAsiaTheme="majorEastAsia" w:hAnsiTheme="majorHAnsi" w:cstheme="majorBidi"/>
        </w:rPr>
        <w:t xml:space="preserve">pozitivnog </w:t>
      </w:r>
      <w:r w:rsidR="0067206A">
        <w:rPr>
          <w:rFonts w:asciiTheme="majorHAnsi" w:eastAsiaTheme="majorEastAsia" w:hAnsiTheme="majorHAnsi" w:cstheme="majorBidi"/>
        </w:rPr>
        <w:t xml:space="preserve">mišljenja Ministarstva financija </w:t>
      </w:r>
      <w:r w:rsidR="0015640E">
        <w:rPr>
          <w:rFonts w:asciiTheme="majorHAnsi" w:eastAsiaTheme="majorEastAsia" w:hAnsiTheme="majorHAnsi" w:cstheme="majorBidi"/>
        </w:rPr>
        <w:t>sukladno Zakonu o državnim potporama</w:t>
      </w:r>
      <w:r w:rsidR="00A15A2D">
        <w:rPr>
          <w:rStyle w:val="FootnoteReference"/>
          <w:rFonts w:asciiTheme="majorHAnsi" w:eastAsiaTheme="majorEastAsia" w:hAnsiTheme="majorHAnsi" w:cstheme="majorBidi"/>
        </w:rPr>
        <w:footnoteReference w:id="6"/>
      </w:r>
      <w:r w:rsidR="00D20CBD">
        <w:rPr>
          <w:rFonts w:asciiTheme="majorHAnsi" w:eastAsiaTheme="majorEastAsia" w:hAnsiTheme="majorHAnsi" w:cstheme="majorBidi"/>
        </w:rPr>
        <w:t>.</w:t>
      </w:r>
    </w:p>
    <w:p w14:paraId="23755E7B" w14:textId="3059F044" w:rsidR="00C9499F" w:rsidRDefault="00AB1CB7" w:rsidP="003F7F10">
      <w:pPr>
        <w:rPr>
          <w:rFonts w:asciiTheme="majorHAnsi" w:eastAsiaTheme="majorEastAsia" w:hAnsiTheme="majorHAnsi" w:cstheme="majorBidi"/>
        </w:rPr>
      </w:pPr>
      <w:r>
        <w:rPr>
          <w:rFonts w:asciiTheme="majorHAnsi" w:eastAsiaTheme="majorEastAsia" w:hAnsiTheme="majorHAnsi" w:cstheme="majorBidi"/>
        </w:rPr>
        <w:t>Predviđa se da će ova</w:t>
      </w:r>
      <w:r w:rsidR="004B2EDA" w:rsidRPr="4B614F43">
        <w:rPr>
          <w:rFonts w:asciiTheme="majorHAnsi" w:eastAsiaTheme="majorEastAsia" w:hAnsiTheme="majorHAnsi" w:cstheme="majorBidi"/>
        </w:rPr>
        <w:t xml:space="preserve"> </w:t>
      </w:r>
      <w:r w:rsidR="00C13026">
        <w:rPr>
          <w:rFonts w:asciiTheme="majorHAnsi" w:eastAsiaTheme="majorEastAsia" w:hAnsiTheme="majorHAnsi" w:cstheme="majorBidi"/>
        </w:rPr>
        <w:t>I</w:t>
      </w:r>
      <w:r w:rsidR="004B2EDA" w:rsidRPr="4B614F43">
        <w:rPr>
          <w:rFonts w:asciiTheme="majorHAnsi" w:eastAsiaTheme="majorEastAsia" w:hAnsiTheme="majorHAnsi" w:cstheme="majorBidi"/>
        </w:rPr>
        <w:t xml:space="preserve">nvesticija potaknuti i otvaranje novih radnih mjesta s obzirom na to da će se stvoriti preduvjeti za zapošljavanje većeg broja osoba, prvenstveno na upravljanju i održavanju izgrađene infrastrukture, </w:t>
      </w:r>
      <w:r w:rsidR="00933E56" w:rsidRPr="4B614F43">
        <w:rPr>
          <w:rFonts w:asciiTheme="majorHAnsi" w:eastAsiaTheme="majorEastAsia" w:hAnsiTheme="majorHAnsi" w:cstheme="majorBidi"/>
        </w:rPr>
        <w:t xml:space="preserve">kao i </w:t>
      </w:r>
      <w:r w:rsidR="004B2EDA" w:rsidRPr="4B614F43">
        <w:rPr>
          <w:rFonts w:asciiTheme="majorHAnsi" w:eastAsiaTheme="majorEastAsia" w:hAnsiTheme="majorHAnsi" w:cstheme="majorBidi"/>
        </w:rPr>
        <w:t xml:space="preserve">otvaranje </w:t>
      </w:r>
      <w:r w:rsidR="005402AF" w:rsidRPr="4B614F43">
        <w:rPr>
          <w:rFonts w:asciiTheme="majorHAnsi" w:eastAsiaTheme="majorEastAsia" w:hAnsiTheme="majorHAnsi" w:cstheme="majorBidi"/>
        </w:rPr>
        <w:t xml:space="preserve">novih </w:t>
      </w:r>
      <w:r w:rsidR="004B2EDA" w:rsidRPr="4B614F43">
        <w:rPr>
          <w:rFonts w:asciiTheme="majorHAnsi" w:eastAsiaTheme="majorEastAsia" w:hAnsiTheme="majorHAnsi" w:cstheme="majorBidi"/>
        </w:rPr>
        <w:t xml:space="preserve">djelatnosti koje će rezultirati novim zapošljavanjem. S obzirom na to da će se kroz investiciju graditi infrastruktura prvenstveno u ruralnim i </w:t>
      </w:r>
      <w:r w:rsidR="00D1497C">
        <w:rPr>
          <w:rFonts w:asciiTheme="majorHAnsi" w:eastAsiaTheme="majorEastAsia" w:hAnsiTheme="majorHAnsi" w:cstheme="majorBidi"/>
        </w:rPr>
        <w:t xml:space="preserve">rijetko naseljenim </w:t>
      </w:r>
      <w:r w:rsidR="004B2EDA" w:rsidRPr="4B614F43">
        <w:rPr>
          <w:rFonts w:asciiTheme="majorHAnsi" w:eastAsiaTheme="majorEastAsia" w:hAnsiTheme="majorHAnsi" w:cstheme="majorBidi"/>
        </w:rPr>
        <w:t xml:space="preserve"> dijelovima zemlje, znatno će se pridonijeti razvoju i poboljšanju uvjeta za</w:t>
      </w:r>
      <w:r w:rsidR="0041458C">
        <w:rPr>
          <w:rFonts w:asciiTheme="majorHAnsi" w:eastAsiaTheme="majorEastAsia" w:hAnsiTheme="majorHAnsi" w:cstheme="majorBidi"/>
        </w:rPr>
        <w:t xml:space="preserve"> </w:t>
      </w:r>
      <w:r w:rsidR="00155D11">
        <w:rPr>
          <w:rFonts w:asciiTheme="majorHAnsi" w:eastAsiaTheme="majorEastAsia" w:hAnsiTheme="majorHAnsi" w:cstheme="majorBidi"/>
        </w:rPr>
        <w:t xml:space="preserve"> </w:t>
      </w:r>
      <w:r w:rsidR="004B2EDA" w:rsidRPr="4B614F43">
        <w:rPr>
          <w:rFonts w:asciiTheme="majorHAnsi" w:eastAsiaTheme="majorEastAsia" w:hAnsiTheme="majorHAnsi" w:cstheme="majorBidi"/>
        </w:rPr>
        <w:t xml:space="preserve"> </w:t>
      </w:r>
      <w:r w:rsidR="0017067D">
        <w:rPr>
          <w:rFonts w:asciiTheme="majorHAnsi" w:eastAsiaTheme="majorEastAsia" w:hAnsiTheme="majorHAnsi" w:cstheme="majorBidi"/>
        </w:rPr>
        <w:t xml:space="preserve">proizvodnju novih </w:t>
      </w:r>
      <w:r w:rsidR="004B2EDA" w:rsidRPr="4B614F43">
        <w:rPr>
          <w:rFonts w:asciiTheme="majorHAnsi" w:eastAsiaTheme="majorEastAsia" w:hAnsiTheme="majorHAnsi" w:cstheme="majorBidi"/>
        </w:rPr>
        <w:t>proizvod</w:t>
      </w:r>
      <w:r w:rsidR="0017067D">
        <w:rPr>
          <w:rFonts w:asciiTheme="majorHAnsi" w:eastAsiaTheme="majorEastAsia" w:hAnsiTheme="majorHAnsi" w:cstheme="majorBidi"/>
        </w:rPr>
        <w:t>a</w:t>
      </w:r>
      <w:r w:rsidR="004B2EDA" w:rsidRPr="4B614F43">
        <w:rPr>
          <w:rFonts w:asciiTheme="majorHAnsi" w:eastAsiaTheme="majorEastAsia" w:hAnsiTheme="majorHAnsi" w:cstheme="majorBidi"/>
        </w:rPr>
        <w:t xml:space="preserve"> </w:t>
      </w:r>
      <w:r w:rsidR="0017067D">
        <w:rPr>
          <w:rFonts w:asciiTheme="majorHAnsi" w:eastAsiaTheme="majorEastAsia" w:hAnsiTheme="majorHAnsi" w:cstheme="majorBidi"/>
        </w:rPr>
        <w:t>i/</w:t>
      </w:r>
      <w:r w:rsidR="004B2EDA" w:rsidRPr="4B614F43">
        <w:rPr>
          <w:rFonts w:asciiTheme="majorHAnsi" w:eastAsiaTheme="majorEastAsia" w:hAnsiTheme="majorHAnsi" w:cstheme="majorBidi"/>
        </w:rPr>
        <w:t>ili</w:t>
      </w:r>
      <w:r w:rsidR="0017067D">
        <w:rPr>
          <w:rFonts w:asciiTheme="majorHAnsi" w:eastAsiaTheme="majorEastAsia" w:hAnsiTheme="majorHAnsi" w:cstheme="majorBidi"/>
        </w:rPr>
        <w:t xml:space="preserve"> pružanje</w:t>
      </w:r>
      <w:r w:rsidR="004B2EDA" w:rsidRPr="4B614F43">
        <w:rPr>
          <w:rFonts w:asciiTheme="majorHAnsi" w:eastAsiaTheme="majorEastAsia" w:hAnsiTheme="majorHAnsi" w:cstheme="majorBidi"/>
        </w:rPr>
        <w:t xml:space="preserve"> usluge na lokacijama na kojima to do sada nije bilo ostvarivo. Izgrađena infrastruktura će stvaranjem dodatne vrijednosti pozitivno utjecati na razne gospodarske djelatnosti, a svakako će doprinijeti održivom razvitku i zaštiti prostora, okoliša i kulture te, u konačnici, doprinijeti konkurentnosti hrvatskog gospodarstva.</w:t>
      </w:r>
    </w:p>
    <w:p w14:paraId="1318AF11" w14:textId="466E0DE0" w:rsidR="00D10315" w:rsidRDefault="00D10315">
      <w:pPr>
        <w:spacing w:before="0"/>
        <w:jc w:val="left"/>
        <w:rPr>
          <w:rFonts w:asciiTheme="majorHAnsi" w:eastAsiaTheme="majorEastAsia" w:hAnsiTheme="majorHAnsi" w:cstheme="majorBidi"/>
        </w:rPr>
      </w:pPr>
      <w:r>
        <w:rPr>
          <w:rFonts w:asciiTheme="majorHAnsi" w:eastAsiaTheme="majorEastAsia" w:hAnsiTheme="majorHAnsi" w:cstheme="majorBidi"/>
        </w:rPr>
        <w:br w:type="page"/>
      </w:r>
    </w:p>
    <w:p w14:paraId="07171E4C" w14:textId="4FE20A4E" w:rsidR="00C50ABC" w:rsidRPr="00D360A9" w:rsidRDefault="00A06B28" w:rsidP="00D360A9">
      <w:pPr>
        <w:pStyle w:val="Heading1"/>
        <w:numPr>
          <w:ilvl w:val="0"/>
          <w:numId w:val="10"/>
        </w:numPr>
        <w:rPr>
          <w:rFonts w:asciiTheme="majorHAnsi" w:hAnsiTheme="majorHAnsi"/>
        </w:rPr>
      </w:pPr>
      <w:bookmarkStart w:id="6" w:name="_Toc131158642"/>
      <w:r w:rsidRPr="00D360A9">
        <w:rPr>
          <w:rFonts w:asciiTheme="majorHAnsi" w:hAnsiTheme="majorHAnsi"/>
        </w:rPr>
        <w:lastRenderedPageBreak/>
        <w:t>Odabrana područja za javno savjetovanje</w:t>
      </w:r>
      <w:bookmarkEnd w:id="6"/>
    </w:p>
    <w:p w14:paraId="4C8EBBCC" w14:textId="77777777" w:rsidR="007F6B48" w:rsidRDefault="00C5564B" w:rsidP="007F6B48">
      <w:pPr>
        <w:rPr>
          <w:rFonts w:asciiTheme="majorHAnsi" w:eastAsiaTheme="majorEastAsia" w:hAnsiTheme="majorHAnsi" w:cstheme="majorBidi"/>
        </w:rPr>
      </w:pPr>
      <w:r w:rsidRPr="00C5564B">
        <w:rPr>
          <w:rFonts w:asciiTheme="majorHAnsi" w:eastAsiaTheme="majorEastAsia" w:hAnsiTheme="majorHAnsi" w:cstheme="majorBidi"/>
        </w:rPr>
        <w:t>Predmetna područja koja će ući u obuhvat definiranja lokacija za investiciju C2.3. R4-I2 Izgradnja pasivne elektroničke komunikacijske infrastrukture u okviru NPOO, nalaze se u</w:t>
      </w:r>
      <w:r w:rsidR="007F6B48">
        <w:rPr>
          <w:rFonts w:asciiTheme="majorHAnsi" w:eastAsiaTheme="majorEastAsia" w:hAnsiTheme="majorHAnsi" w:cstheme="majorBidi"/>
        </w:rPr>
        <w:t>:</w:t>
      </w:r>
      <w:r w:rsidRPr="007F6B48">
        <w:rPr>
          <w:rFonts w:asciiTheme="majorHAnsi" w:eastAsiaTheme="majorEastAsia" w:hAnsiTheme="majorHAnsi" w:cstheme="majorBidi"/>
        </w:rPr>
        <w:t xml:space="preserve"> </w:t>
      </w:r>
    </w:p>
    <w:p w14:paraId="3F3578AA" w14:textId="77777777" w:rsidR="007F6B48" w:rsidRDefault="00C5564B" w:rsidP="007F6B48">
      <w:pPr>
        <w:pStyle w:val="ListParagraph"/>
        <w:numPr>
          <w:ilvl w:val="0"/>
          <w:numId w:val="20"/>
        </w:numPr>
        <w:rPr>
          <w:rFonts w:asciiTheme="majorHAnsi" w:eastAsiaTheme="majorEastAsia" w:hAnsiTheme="majorHAnsi" w:cstheme="majorBidi"/>
        </w:rPr>
      </w:pPr>
      <w:r w:rsidRPr="007F6B48">
        <w:rPr>
          <w:rFonts w:asciiTheme="majorHAnsi" w:eastAsiaTheme="majorEastAsia" w:hAnsiTheme="majorHAnsi" w:cstheme="majorBidi"/>
        </w:rPr>
        <w:t xml:space="preserve">Prilogu 1. (Excel format) i </w:t>
      </w:r>
    </w:p>
    <w:p w14:paraId="2E393F1B" w14:textId="1870C061" w:rsidR="00EE0ED1" w:rsidRDefault="00C5564B" w:rsidP="00EE0ED1">
      <w:pPr>
        <w:pStyle w:val="ListParagraph"/>
        <w:numPr>
          <w:ilvl w:val="0"/>
          <w:numId w:val="20"/>
        </w:numPr>
        <w:jc w:val="left"/>
        <w:rPr>
          <w:rFonts w:asciiTheme="majorHAnsi" w:eastAsiaTheme="majorEastAsia" w:hAnsiTheme="majorHAnsi" w:cstheme="majorBidi"/>
        </w:rPr>
      </w:pPr>
      <w:r w:rsidRPr="00EE0ED1">
        <w:rPr>
          <w:rFonts w:asciiTheme="majorHAnsi" w:eastAsiaTheme="majorEastAsia" w:hAnsiTheme="majorHAnsi" w:cstheme="majorBidi"/>
        </w:rPr>
        <w:t xml:space="preserve">Prilogu 2. (web GIS karte) </w:t>
      </w:r>
      <w:r w:rsidR="00E32BC0" w:rsidRPr="00EE0ED1">
        <w:rPr>
          <w:rFonts w:asciiTheme="majorHAnsi" w:eastAsiaTheme="majorEastAsia" w:hAnsiTheme="majorHAnsi" w:cstheme="majorBidi"/>
        </w:rPr>
        <w:t>– poveznica:</w:t>
      </w:r>
      <w:r w:rsidR="00993A7D">
        <w:rPr>
          <w:rFonts w:asciiTheme="majorHAnsi" w:eastAsiaTheme="majorEastAsia" w:hAnsiTheme="majorHAnsi" w:cstheme="majorBidi"/>
        </w:rPr>
        <w:t xml:space="preserve"> </w:t>
      </w:r>
      <w:hyperlink r:id="rId10" w:history="1">
        <w:r w:rsidR="00993A7D" w:rsidRPr="002047E1">
          <w:rPr>
            <w:rStyle w:val="Hyperlink"/>
            <w:rFonts w:asciiTheme="majorHAnsi" w:eastAsiaTheme="majorEastAsia" w:hAnsiTheme="majorHAnsi" w:cstheme="majorBidi"/>
          </w:rPr>
          <w:t>https://qgiscloud.com/Karta_JS/Karta_javno_savjetovanje/</w:t>
        </w:r>
      </w:hyperlink>
      <w:r w:rsidR="00993A7D">
        <w:rPr>
          <w:rFonts w:asciiTheme="majorHAnsi" w:eastAsiaTheme="majorEastAsia" w:hAnsiTheme="majorHAnsi" w:cstheme="majorBidi"/>
        </w:rPr>
        <w:t xml:space="preserve"> </w:t>
      </w:r>
    </w:p>
    <w:p w14:paraId="348C11B6" w14:textId="5A37EAD8" w:rsidR="00C5564B" w:rsidRPr="00EE0ED1" w:rsidRDefault="00C5564B" w:rsidP="00EE0ED1">
      <w:pPr>
        <w:rPr>
          <w:rFonts w:asciiTheme="majorHAnsi" w:eastAsiaTheme="majorEastAsia" w:hAnsiTheme="majorHAnsi" w:cstheme="majorBidi"/>
        </w:rPr>
      </w:pPr>
      <w:r w:rsidRPr="00EE0ED1">
        <w:rPr>
          <w:rFonts w:asciiTheme="majorHAnsi" w:eastAsiaTheme="majorEastAsia" w:hAnsiTheme="majorHAnsi" w:cstheme="majorBidi"/>
        </w:rPr>
        <w:t>ovog dokumenta.</w:t>
      </w:r>
    </w:p>
    <w:p w14:paraId="514F06C9" w14:textId="30D7EF30" w:rsidR="00C50ABC" w:rsidRPr="00E71687" w:rsidRDefault="00C50ABC" w:rsidP="00C50ABC">
      <w:pPr>
        <w:rPr>
          <w:rFonts w:asciiTheme="majorHAnsi" w:eastAsiaTheme="majorEastAsia" w:hAnsiTheme="majorHAnsi" w:cstheme="majorBidi"/>
        </w:rPr>
      </w:pPr>
      <w:r w:rsidRPr="00E71687">
        <w:rPr>
          <w:rFonts w:asciiTheme="majorHAnsi" w:eastAsiaTheme="majorEastAsia" w:hAnsiTheme="majorHAnsi" w:cstheme="majorBidi"/>
        </w:rPr>
        <w:t>Dobivena prihvatljiva područja ispunjavaju uvjete iz stavka 3. i stavka 11. članka 52.a Uredbe 651/2014,</w:t>
      </w:r>
      <w:r>
        <w:rPr>
          <w:rFonts w:asciiTheme="majorHAnsi" w:eastAsiaTheme="majorEastAsia" w:hAnsiTheme="majorHAnsi" w:cstheme="majorBidi"/>
        </w:rPr>
        <w:t xml:space="preserve"> </w:t>
      </w:r>
      <w:r w:rsidRPr="00E71687">
        <w:rPr>
          <w:rFonts w:asciiTheme="majorHAnsi" w:eastAsiaTheme="majorEastAsia" w:hAnsiTheme="majorHAnsi" w:cstheme="majorBidi"/>
        </w:rPr>
        <w:t xml:space="preserve">te se smatraju ulaznim podatkom za daljnju multikriterijsku analizu Studije </w:t>
      </w:r>
      <w:r w:rsidR="000C6072">
        <w:rPr>
          <w:rFonts w:asciiTheme="majorHAnsi" w:eastAsiaTheme="majorEastAsia" w:hAnsiTheme="majorHAnsi" w:cstheme="majorBidi"/>
        </w:rPr>
        <w:t>izvedivosti</w:t>
      </w:r>
      <w:r w:rsidRPr="00E71687">
        <w:rPr>
          <w:rFonts w:asciiTheme="majorHAnsi" w:eastAsiaTheme="majorEastAsia" w:hAnsiTheme="majorHAnsi" w:cstheme="majorBidi"/>
        </w:rPr>
        <w:t xml:space="preserve">. </w:t>
      </w:r>
    </w:p>
    <w:p w14:paraId="3D25C040" w14:textId="77777777" w:rsidR="00C50ABC" w:rsidRDefault="00C50ABC" w:rsidP="00C50ABC">
      <w:pPr>
        <w:rPr>
          <w:rFonts w:asciiTheme="majorHAnsi" w:eastAsiaTheme="majorEastAsia" w:hAnsiTheme="majorHAnsi" w:cstheme="majorBidi"/>
        </w:rPr>
      </w:pPr>
      <w:r>
        <w:rPr>
          <w:rFonts w:asciiTheme="majorHAnsi" w:eastAsiaTheme="majorEastAsia" w:hAnsiTheme="majorHAnsi" w:cstheme="majorBidi"/>
          <w:b/>
          <w:bCs/>
        </w:rPr>
        <w:t>P</w:t>
      </w:r>
      <w:r w:rsidRPr="00684633">
        <w:rPr>
          <w:rFonts w:asciiTheme="majorHAnsi" w:eastAsiaTheme="majorEastAsia" w:hAnsiTheme="majorHAnsi" w:cstheme="majorBidi"/>
          <w:b/>
          <w:bCs/>
        </w:rPr>
        <w:t>ozivaju</w:t>
      </w:r>
      <w:r>
        <w:rPr>
          <w:rFonts w:asciiTheme="majorHAnsi" w:eastAsiaTheme="majorEastAsia" w:hAnsiTheme="majorHAnsi" w:cstheme="majorBidi"/>
          <w:b/>
          <w:bCs/>
        </w:rPr>
        <w:t xml:space="preserve"> se</w:t>
      </w:r>
      <w:r w:rsidRPr="00684633">
        <w:rPr>
          <w:rFonts w:asciiTheme="majorHAnsi" w:eastAsiaTheme="majorEastAsia" w:hAnsiTheme="majorHAnsi" w:cstheme="majorBidi"/>
          <w:b/>
          <w:bCs/>
        </w:rPr>
        <w:t xml:space="preserve"> zainteresirane strane da komentiraju navedena područja i dostave informacije i dokaze o svojim mrežama u ciljnom području koje ili već postoje, ili se namjeravaju uvesti u roku </w:t>
      </w:r>
      <w:r>
        <w:rPr>
          <w:rFonts w:asciiTheme="majorHAnsi" w:eastAsiaTheme="majorEastAsia" w:hAnsiTheme="majorHAnsi" w:cstheme="majorBidi"/>
          <w:b/>
          <w:bCs/>
        </w:rPr>
        <w:t>do 30. lipnja 2026. godine</w:t>
      </w:r>
      <w:r w:rsidRPr="00684633">
        <w:rPr>
          <w:rFonts w:asciiTheme="majorHAnsi" w:eastAsiaTheme="majorEastAsia" w:hAnsiTheme="majorHAnsi" w:cstheme="majorBidi"/>
          <w:b/>
          <w:bCs/>
        </w:rPr>
        <w:t xml:space="preserve">, ukoliko </w:t>
      </w:r>
      <w:r>
        <w:rPr>
          <w:rFonts w:asciiTheme="majorHAnsi" w:eastAsiaTheme="majorEastAsia" w:hAnsiTheme="majorHAnsi" w:cstheme="majorBidi"/>
          <w:b/>
          <w:bCs/>
        </w:rPr>
        <w:t>su područja postojećih ili planiranih mreža</w:t>
      </w:r>
      <w:r w:rsidRPr="00684633">
        <w:rPr>
          <w:rFonts w:asciiTheme="majorHAnsi" w:eastAsiaTheme="majorEastAsia" w:hAnsiTheme="majorHAnsi" w:cstheme="majorBidi"/>
          <w:b/>
          <w:bCs/>
        </w:rPr>
        <w:t xml:space="preserve"> </w:t>
      </w:r>
      <w:r>
        <w:rPr>
          <w:rFonts w:asciiTheme="majorHAnsi" w:eastAsiaTheme="majorEastAsia" w:hAnsiTheme="majorHAnsi" w:cstheme="majorBidi"/>
          <w:b/>
          <w:bCs/>
        </w:rPr>
        <w:t>uključena</w:t>
      </w:r>
      <w:r w:rsidRPr="00684633">
        <w:rPr>
          <w:rFonts w:asciiTheme="majorHAnsi" w:eastAsiaTheme="majorEastAsia" w:hAnsiTheme="majorHAnsi" w:cstheme="majorBidi"/>
          <w:b/>
          <w:bCs/>
        </w:rPr>
        <w:t xml:space="preserve"> u ovom dokumentu</w:t>
      </w:r>
      <w:r>
        <w:rPr>
          <w:rFonts w:asciiTheme="majorHAnsi" w:eastAsiaTheme="majorEastAsia" w:hAnsiTheme="majorHAnsi" w:cstheme="majorBidi"/>
          <w:b/>
          <w:bCs/>
        </w:rPr>
        <w:t xml:space="preserve"> kao područje investicije izgradnje pasivne infrastrukture, a ne bi trebale biti</w:t>
      </w:r>
      <w:r w:rsidRPr="4B614F43">
        <w:rPr>
          <w:rFonts w:asciiTheme="majorHAnsi" w:eastAsiaTheme="majorEastAsia" w:hAnsiTheme="majorHAnsi" w:cstheme="majorBidi"/>
        </w:rPr>
        <w:t>.</w:t>
      </w:r>
    </w:p>
    <w:p w14:paraId="6C4D37D5" w14:textId="3710856D" w:rsidR="00C50ABC" w:rsidRDefault="00C50ABC" w:rsidP="00C50ABC">
      <w:pPr>
        <w:rPr>
          <w:rFonts w:asciiTheme="majorHAnsi" w:eastAsiaTheme="majorEastAsia" w:hAnsiTheme="majorHAnsi" w:cstheme="majorBidi"/>
        </w:rPr>
      </w:pPr>
      <w:r>
        <w:rPr>
          <w:rFonts w:asciiTheme="majorHAnsi" w:eastAsiaTheme="majorEastAsia" w:hAnsiTheme="majorHAnsi" w:cstheme="majorBidi"/>
        </w:rPr>
        <w:t xml:space="preserve">Komentari se mogu dostaviti putem </w:t>
      </w:r>
      <w:r w:rsidRPr="007E6F98">
        <w:rPr>
          <w:rFonts w:asciiTheme="majorHAnsi" w:eastAsiaTheme="majorEastAsia" w:hAnsiTheme="majorHAnsi" w:cstheme="majorBidi"/>
        </w:rPr>
        <w:t>stranice e-Savjetovanja</w:t>
      </w:r>
      <w:r w:rsidRPr="007E6F98">
        <w:rPr>
          <w:rStyle w:val="FootnoteReference"/>
          <w:rFonts w:asciiTheme="majorHAnsi" w:eastAsiaTheme="majorEastAsia" w:hAnsiTheme="majorHAnsi" w:cstheme="majorBidi"/>
        </w:rPr>
        <w:footnoteReference w:id="7"/>
      </w:r>
      <w:r w:rsidRPr="007E6F98">
        <w:rPr>
          <w:rFonts w:asciiTheme="majorHAnsi" w:eastAsiaTheme="majorEastAsia" w:hAnsiTheme="majorHAnsi" w:cstheme="majorBidi"/>
        </w:rPr>
        <w:t xml:space="preserve"> </w:t>
      </w:r>
      <w:r>
        <w:rPr>
          <w:rFonts w:asciiTheme="majorHAnsi" w:eastAsiaTheme="majorEastAsia" w:hAnsiTheme="majorHAnsi" w:cstheme="majorBidi"/>
        </w:rPr>
        <w:t xml:space="preserve">gdje će biti dostupno ovo javno savjetovanje, </w:t>
      </w:r>
      <w:r w:rsidRPr="00D813FB">
        <w:rPr>
          <w:rFonts w:asciiTheme="majorHAnsi" w:eastAsiaTheme="majorEastAsia" w:hAnsiTheme="majorHAnsi" w:cstheme="majorBidi"/>
        </w:rPr>
        <w:t xml:space="preserve">putem opcije „Komentiraj“ </w:t>
      </w:r>
      <w:r>
        <w:rPr>
          <w:rFonts w:asciiTheme="majorHAnsi" w:eastAsiaTheme="majorEastAsia" w:hAnsiTheme="majorHAnsi" w:cstheme="majorBidi"/>
        </w:rPr>
        <w:t xml:space="preserve">ili je isto moguće dostaviti na adresu </w:t>
      </w:r>
      <w:hyperlink r:id="rId11" w:history="1">
        <w:r w:rsidR="00FB0B7B" w:rsidRPr="00DA1D23">
          <w:rPr>
            <w:rStyle w:val="Hyperlink"/>
            <w:rFonts w:asciiTheme="majorHAnsi" w:eastAsiaTheme="majorEastAsia" w:hAnsiTheme="majorHAnsi" w:cstheme="majorBidi"/>
          </w:rPr>
          <w:t>npoo@mmpi.hr</w:t>
        </w:r>
      </w:hyperlink>
      <w:r w:rsidR="00FB0B7B">
        <w:rPr>
          <w:rFonts w:asciiTheme="majorHAnsi" w:eastAsiaTheme="majorEastAsia" w:hAnsiTheme="majorHAnsi" w:cstheme="majorBidi"/>
          <w:color w:val="FF0000"/>
        </w:rPr>
        <w:t xml:space="preserve"> </w:t>
      </w:r>
      <w:bookmarkStart w:id="7" w:name="_GoBack"/>
      <w:bookmarkEnd w:id="7"/>
      <w:r>
        <w:rPr>
          <w:rFonts w:asciiTheme="majorHAnsi" w:eastAsiaTheme="majorEastAsia" w:hAnsiTheme="majorHAnsi" w:cstheme="majorBidi"/>
        </w:rPr>
        <w:t xml:space="preserve">putem ispunjenog obrasca </w:t>
      </w:r>
      <w:r w:rsidR="006C2F5F">
        <w:rPr>
          <w:rFonts w:asciiTheme="majorHAnsi" w:eastAsiaTheme="majorEastAsia" w:hAnsiTheme="majorHAnsi" w:cstheme="majorBidi"/>
        </w:rPr>
        <w:t xml:space="preserve">u </w:t>
      </w:r>
      <w:r w:rsidR="000C6072">
        <w:rPr>
          <w:rFonts w:asciiTheme="majorHAnsi" w:eastAsiaTheme="majorEastAsia" w:hAnsiTheme="majorHAnsi" w:cstheme="majorBidi"/>
        </w:rPr>
        <w:t xml:space="preserve">Excel formatu </w:t>
      </w:r>
      <w:r>
        <w:rPr>
          <w:rFonts w:asciiTheme="majorHAnsi" w:eastAsiaTheme="majorEastAsia" w:hAnsiTheme="majorHAnsi" w:cstheme="majorBidi"/>
        </w:rPr>
        <w:t xml:space="preserve">– </w:t>
      </w:r>
      <w:r w:rsidRPr="000C6072">
        <w:rPr>
          <w:rFonts w:asciiTheme="majorHAnsi" w:eastAsiaTheme="majorEastAsia" w:hAnsiTheme="majorHAnsi" w:cstheme="majorBidi"/>
          <w:i/>
          <w:iCs/>
        </w:rPr>
        <w:t>Prilog 1.</w:t>
      </w:r>
      <w:r w:rsidR="000C6072" w:rsidRPr="000C6072">
        <w:rPr>
          <w:rFonts w:asciiTheme="majorHAnsi" w:eastAsiaTheme="majorEastAsia" w:hAnsiTheme="majorHAnsi" w:cstheme="majorBidi"/>
          <w:i/>
          <w:iCs/>
        </w:rPr>
        <w:t xml:space="preserve"> Tablica prihvatljivih područja za razvoj i implementaciju pasivne elektroničke komunikacijske infrastrukture</w:t>
      </w:r>
      <w:r w:rsidR="000C6072">
        <w:rPr>
          <w:rFonts w:asciiTheme="majorHAnsi" w:eastAsiaTheme="majorEastAsia" w:hAnsiTheme="majorHAnsi" w:cstheme="majorBidi"/>
        </w:rPr>
        <w:t>.</w:t>
      </w:r>
    </w:p>
    <w:p w14:paraId="6963C563" w14:textId="77777777" w:rsidR="00C50ABC" w:rsidRPr="0051505B" w:rsidRDefault="00C50ABC" w:rsidP="00C50ABC">
      <w:pPr>
        <w:rPr>
          <w:rFonts w:asciiTheme="majorHAnsi" w:eastAsiaTheme="majorEastAsia" w:hAnsiTheme="majorHAnsi" w:cstheme="majorBidi"/>
          <w:b/>
        </w:rPr>
      </w:pPr>
      <w:r w:rsidRPr="0051505B">
        <w:rPr>
          <w:rFonts w:asciiTheme="majorHAnsi" w:eastAsiaTheme="majorEastAsia" w:hAnsiTheme="majorHAnsi" w:cstheme="majorBidi"/>
          <w:b/>
        </w:rPr>
        <w:t>Uputa za dostavu informacija po naseljima</w:t>
      </w:r>
    </w:p>
    <w:p w14:paraId="0FF81AF1" w14:textId="5D30A5E0" w:rsidR="00E52858" w:rsidRDefault="00C50ABC" w:rsidP="00C50ABC">
      <w:pPr>
        <w:spacing w:before="0"/>
        <w:rPr>
          <w:rFonts w:asciiTheme="majorHAnsi" w:eastAsiaTheme="majorEastAsia" w:hAnsiTheme="majorHAnsi" w:cstheme="majorBidi"/>
        </w:rPr>
      </w:pPr>
      <w:r w:rsidRPr="0051505B">
        <w:rPr>
          <w:rFonts w:asciiTheme="majorHAnsi" w:eastAsiaTheme="majorEastAsia" w:hAnsiTheme="majorHAnsi" w:cstheme="majorBidi"/>
        </w:rPr>
        <w:t xml:space="preserve">U odgovorima i komentarima koji se odnose na dostupnost i/ili planove ulaganja u infrastrukturu i mreže po naseljima, molimo svakako se koristiti </w:t>
      </w:r>
      <w:r w:rsidRPr="00FE1B92">
        <w:rPr>
          <w:rFonts w:asciiTheme="majorHAnsi" w:eastAsiaTheme="majorEastAsia" w:hAnsiTheme="majorHAnsi" w:cstheme="majorBidi"/>
          <w:i/>
          <w:iCs/>
        </w:rPr>
        <w:t>Prilogom 1.</w:t>
      </w:r>
      <w:r w:rsidRPr="0051505B">
        <w:rPr>
          <w:rFonts w:asciiTheme="majorHAnsi" w:eastAsiaTheme="majorEastAsia" w:hAnsiTheme="majorHAnsi" w:cstheme="majorBidi"/>
        </w:rPr>
        <w:t xml:space="preserve"> </w:t>
      </w:r>
      <w:r w:rsidR="00FE1B92" w:rsidRPr="000C6072">
        <w:rPr>
          <w:rFonts w:asciiTheme="majorHAnsi" w:eastAsiaTheme="majorEastAsia" w:hAnsiTheme="majorHAnsi" w:cstheme="majorBidi"/>
          <w:i/>
          <w:iCs/>
        </w:rPr>
        <w:t>Tablica prihvatljivih područja za razvoj i implementaciju pasivne elektroničke komunikacijske infrastrukture</w:t>
      </w:r>
      <w:r w:rsidRPr="0051505B">
        <w:rPr>
          <w:rFonts w:asciiTheme="majorHAnsi" w:eastAsiaTheme="majorEastAsia" w:hAnsiTheme="majorHAnsi" w:cstheme="majorBidi"/>
        </w:rPr>
        <w:t xml:space="preserve">, za unos relevantnih podataka po naseljima (podatke unijeti u dodatne stupce, </w:t>
      </w:r>
      <w:r w:rsidRPr="0051505B">
        <w:rPr>
          <w:rFonts w:asciiTheme="majorHAnsi" w:eastAsiaTheme="majorEastAsia" w:hAnsiTheme="majorHAnsi" w:cstheme="majorBidi"/>
          <w:u w:val="single"/>
        </w:rPr>
        <w:t>zadržavajući postojeću strukturu popisa naselja u tablici bez brisanja ili korekcija stupaca A-</w:t>
      </w:r>
      <w:r w:rsidR="008D3D4B">
        <w:rPr>
          <w:rFonts w:asciiTheme="majorHAnsi" w:eastAsiaTheme="majorEastAsia" w:hAnsiTheme="majorHAnsi" w:cstheme="majorBidi"/>
          <w:u w:val="single"/>
        </w:rPr>
        <w:t>G</w:t>
      </w:r>
      <w:r>
        <w:rPr>
          <w:rFonts w:asciiTheme="majorHAnsi" w:eastAsiaTheme="majorEastAsia" w:hAnsiTheme="majorHAnsi" w:cstheme="majorBidi"/>
          <w:u w:val="single"/>
        </w:rPr>
        <w:t>.</w:t>
      </w:r>
      <w:r w:rsidR="00E52858" w:rsidRPr="4B614F43">
        <w:rPr>
          <w:rFonts w:asciiTheme="majorHAnsi" w:eastAsiaTheme="majorEastAsia" w:hAnsiTheme="majorHAnsi" w:cstheme="majorBidi"/>
        </w:rPr>
        <w:br w:type="page"/>
      </w:r>
    </w:p>
    <w:p w14:paraId="66720852" w14:textId="4721D5E9" w:rsidR="007254F4" w:rsidRPr="00D6484A" w:rsidRDefault="007254F4" w:rsidP="00BC42F5">
      <w:pPr>
        <w:pStyle w:val="Heading1"/>
        <w:numPr>
          <w:ilvl w:val="0"/>
          <w:numId w:val="10"/>
        </w:numPr>
        <w:rPr>
          <w:rFonts w:asciiTheme="majorHAnsi" w:hAnsiTheme="majorHAnsi"/>
        </w:rPr>
      </w:pPr>
      <w:bookmarkStart w:id="8" w:name="_Toc129338313"/>
      <w:bookmarkStart w:id="9" w:name="_Toc131158643"/>
      <w:r w:rsidRPr="4B614F43">
        <w:rPr>
          <w:rFonts w:asciiTheme="majorHAnsi" w:hAnsiTheme="majorHAnsi"/>
        </w:rPr>
        <w:lastRenderedPageBreak/>
        <w:t>Popis priloga u Savjetovanju</w:t>
      </w:r>
      <w:bookmarkEnd w:id="8"/>
      <w:bookmarkEnd w:id="9"/>
    </w:p>
    <w:p w14:paraId="431FF063" w14:textId="0A59395C" w:rsidR="00436D0F" w:rsidRPr="00436D0F" w:rsidRDefault="00436D0F" w:rsidP="00436D0F">
      <w:pPr>
        <w:rPr>
          <w:rFonts w:asciiTheme="majorHAnsi" w:eastAsiaTheme="majorEastAsia" w:hAnsiTheme="majorHAnsi" w:cstheme="majorBidi"/>
        </w:rPr>
      </w:pPr>
      <w:r w:rsidRPr="0045266B">
        <w:rPr>
          <w:rFonts w:asciiTheme="majorHAnsi" w:eastAsiaTheme="majorEastAsia" w:hAnsiTheme="majorHAnsi" w:cstheme="majorBidi"/>
          <w:b/>
          <w:bCs/>
        </w:rPr>
        <w:t>Prilog 1.</w:t>
      </w:r>
      <w:r w:rsidRPr="00436D0F">
        <w:rPr>
          <w:rFonts w:asciiTheme="majorHAnsi" w:eastAsiaTheme="majorEastAsia" w:hAnsiTheme="majorHAnsi" w:cstheme="majorBidi"/>
        </w:rPr>
        <w:t xml:space="preserve"> </w:t>
      </w:r>
      <w:r w:rsidR="00FC589E">
        <w:rPr>
          <w:rFonts w:asciiTheme="majorHAnsi" w:eastAsiaTheme="majorEastAsia" w:hAnsiTheme="majorHAnsi" w:cstheme="majorBidi"/>
        </w:rPr>
        <w:t>Tablica prihvatljivih područja</w:t>
      </w:r>
      <w:r w:rsidR="003826F3">
        <w:rPr>
          <w:rFonts w:asciiTheme="majorHAnsi" w:eastAsiaTheme="majorEastAsia" w:hAnsiTheme="majorHAnsi" w:cstheme="majorBidi"/>
        </w:rPr>
        <w:t xml:space="preserve"> za </w:t>
      </w:r>
      <w:r w:rsidR="004753FB" w:rsidRPr="004753FB">
        <w:rPr>
          <w:rFonts w:asciiTheme="majorHAnsi" w:eastAsiaTheme="majorEastAsia" w:hAnsiTheme="majorHAnsi" w:cstheme="majorBidi"/>
        </w:rPr>
        <w:t>razvoj i implementaciju pasivne elektroničke komunikacijske infrastrukture</w:t>
      </w:r>
      <w:r w:rsidRPr="00436D0F">
        <w:rPr>
          <w:rFonts w:asciiTheme="majorHAnsi" w:eastAsiaTheme="majorEastAsia" w:hAnsiTheme="majorHAnsi" w:cstheme="majorBidi"/>
        </w:rPr>
        <w:t xml:space="preserve"> </w:t>
      </w:r>
    </w:p>
    <w:p w14:paraId="666E34B4" w14:textId="36B596E0" w:rsidR="00401E87" w:rsidRDefault="00436D0F" w:rsidP="00436D0F">
      <w:pPr>
        <w:rPr>
          <w:rFonts w:asciiTheme="majorHAnsi" w:eastAsiaTheme="majorEastAsia" w:hAnsiTheme="majorHAnsi" w:cstheme="majorBidi"/>
        </w:rPr>
      </w:pPr>
      <w:r w:rsidRPr="0045266B">
        <w:rPr>
          <w:rFonts w:asciiTheme="majorHAnsi" w:eastAsiaTheme="majorEastAsia" w:hAnsiTheme="majorHAnsi" w:cstheme="majorBidi"/>
          <w:b/>
          <w:bCs/>
        </w:rPr>
        <w:t>Prilog 2.</w:t>
      </w:r>
      <w:r w:rsidRPr="00436D0F">
        <w:rPr>
          <w:rFonts w:asciiTheme="majorHAnsi" w:eastAsiaTheme="majorEastAsia" w:hAnsiTheme="majorHAnsi" w:cstheme="majorBidi"/>
        </w:rPr>
        <w:t xml:space="preserve"> </w:t>
      </w:r>
      <w:r w:rsidR="00FC589E">
        <w:rPr>
          <w:rFonts w:asciiTheme="majorHAnsi" w:eastAsiaTheme="majorEastAsia" w:hAnsiTheme="majorHAnsi" w:cstheme="majorBidi"/>
        </w:rPr>
        <w:t xml:space="preserve">Karta prihvatljivih područja za </w:t>
      </w:r>
      <w:r w:rsidR="00FC589E" w:rsidRPr="004753FB">
        <w:rPr>
          <w:rFonts w:asciiTheme="majorHAnsi" w:eastAsiaTheme="majorEastAsia" w:hAnsiTheme="majorHAnsi" w:cstheme="majorBidi"/>
        </w:rPr>
        <w:t>razvoj i implementaciju pasivne elektroničke komunikacijske infrastrukture</w:t>
      </w:r>
      <w:r w:rsidR="00FC589E" w:rsidRPr="00436D0F">
        <w:rPr>
          <w:rFonts w:asciiTheme="majorHAnsi" w:eastAsiaTheme="majorEastAsia" w:hAnsiTheme="majorHAnsi" w:cstheme="majorBidi"/>
        </w:rPr>
        <w:t xml:space="preserve"> </w:t>
      </w:r>
      <w:r w:rsidR="0009361D">
        <w:rPr>
          <w:rFonts w:asciiTheme="majorHAnsi" w:eastAsiaTheme="majorEastAsia" w:hAnsiTheme="majorHAnsi" w:cstheme="majorBidi"/>
        </w:rPr>
        <w:t>(</w:t>
      </w:r>
      <w:hyperlink r:id="rId12" w:history="1">
        <w:r w:rsidR="0009361D" w:rsidRPr="00A27C7A">
          <w:rPr>
            <w:rStyle w:val="Hyperlink"/>
            <w:rFonts w:asciiTheme="majorHAnsi" w:eastAsiaTheme="majorEastAsia" w:hAnsiTheme="majorHAnsi" w:cstheme="majorBidi"/>
          </w:rPr>
          <w:t>https://qgiscloud.com/Karta_JS/Karta_javno_savjetovanje/</w:t>
        </w:r>
      </w:hyperlink>
      <w:r w:rsidR="0009361D">
        <w:t>)</w:t>
      </w:r>
      <w:r w:rsidR="00E940E8">
        <w:rPr>
          <w:rStyle w:val="Hyperlink"/>
          <w:rFonts w:asciiTheme="majorHAnsi" w:eastAsiaTheme="majorEastAsia" w:hAnsiTheme="majorHAnsi" w:cstheme="majorBidi"/>
        </w:rPr>
        <w:t xml:space="preserve"> </w:t>
      </w:r>
    </w:p>
    <w:p w14:paraId="167F87C7" w14:textId="77777777" w:rsidR="00401E87" w:rsidRPr="007254F4" w:rsidRDefault="00401E87" w:rsidP="003F7F10">
      <w:pPr>
        <w:rPr>
          <w:rFonts w:asciiTheme="majorHAnsi" w:eastAsiaTheme="majorEastAsia" w:hAnsiTheme="majorHAnsi" w:cstheme="majorBidi"/>
        </w:rPr>
      </w:pPr>
    </w:p>
    <w:sectPr w:rsidR="00401E87" w:rsidRPr="007254F4">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AB042" w16cid:durableId="27D41C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4614" w14:textId="77777777" w:rsidR="00A9133B" w:rsidRDefault="00A9133B" w:rsidP="00214D26">
      <w:pPr>
        <w:spacing w:after="0" w:line="240" w:lineRule="auto"/>
      </w:pPr>
      <w:r>
        <w:separator/>
      </w:r>
    </w:p>
  </w:endnote>
  <w:endnote w:type="continuationSeparator" w:id="0">
    <w:p w14:paraId="54B23FC2" w14:textId="77777777" w:rsidR="00A9133B" w:rsidRDefault="00A9133B" w:rsidP="00214D26">
      <w:pPr>
        <w:spacing w:after="0" w:line="240" w:lineRule="auto"/>
      </w:pPr>
      <w:r>
        <w:continuationSeparator/>
      </w:r>
    </w:p>
  </w:endnote>
  <w:endnote w:type="continuationNotice" w:id="1">
    <w:p w14:paraId="4DB5125F" w14:textId="77777777" w:rsidR="00A9133B" w:rsidRDefault="00A913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YInterstate Light">
    <w:altName w:val="Calibri"/>
    <w:charset w:val="EE"/>
    <w:family w:val="auto"/>
    <w:pitch w:val="variable"/>
    <w:sig w:usb0="A00002AF" w:usb1="5000206A"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5080"/>
      <w:docPartObj>
        <w:docPartGallery w:val="Page Numbers (Bottom of Page)"/>
        <w:docPartUnique/>
      </w:docPartObj>
    </w:sdtPr>
    <w:sdtEndPr/>
    <w:sdtContent>
      <w:p w14:paraId="08267373" w14:textId="5C7779B3" w:rsidR="00DD1DA8" w:rsidRDefault="00A9133B">
        <w:pPr>
          <w:pStyle w:val="Footer"/>
          <w:jc w:val="right"/>
        </w:pPr>
      </w:p>
    </w:sdtContent>
  </w:sdt>
  <w:p w14:paraId="36B1B603" w14:textId="77777777" w:rsidR="00DD1DA8" w:rsidRDefault="00DD1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A887" w14:textId="2B3A44E1" w:rsidR="001734D7" w:rsidRDefault="001734D7">
    <w:pPr>
      <w:pStyle w:val="Footer"/>
      <w:jc w:val="right"/>
    </w:pPr>
  </w:p>
  <w:p w14:paraId="29813268" w14:textId="77777777" w:rsidR="00DD1DA8" w:rsidRDefault="00DD1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84578"/>
      <w:docPartObj>
        <w:docPartGallery w:val="Page Numbers (Bottom of Page)"/>
        <w:docPartUnique/>
      </w:docPartObj>
    </w:sdtPr>
    <w:sdtEndPr>
      <w:rPr>
        <w:rFonts w:asciiTheme="majorHAnsi" w:hAnsiTheme="majorHAnsi" w:cstheme="majorHAnsi"/>
      </w:rPr>
    </w:sdtEndPr>
    <w:sdtContent>
      <w:p w14:paraId="7225A6E9" w14:textId="2A037A8F" w:rsidR="001734D7" w:rsidRPr="00787E87" w:rsidRDefault="001734D7">
        <w:pPr>
          <w:pStyle w:val="Footer"/>
          <w:jc w:val="right"/>
          <w:rPr>
            <w:rFonts w:asciiTheme="majorHAnsi" w:hAnsiTheme="majorHAnsi" w:cstheme="majorHAnsi"/>
          </w:rPr>
        </w:pPr>
        <w:r w:rsidRPr="00787E87">
          <w:rPr>
            <w:rFonts w:asciiTheme="majorHAnsi" w:hAnsiTheme="majorHAnsi" w:cstheme="majorHAnsi"/>
          </w:rPr>
          <w:fldChar w:fldCharType="begin"/>
        </w:r>
        <w:r w:rsidRPr="00787E87">
          <w:rPr>
            <w:rFonts w:asciiTheme="majorHAnsi" w:hAnsiTheme="majorHAnsi" w:cstheme="majorHAnsi"/>
          </w:rPr>
          <w:instrText>PAGE   \* MERGEFORMAT</w:instrText>
        </w:r>
        <w:r w:rsidRPr="00787E87">
          <w:rPr>
            <w:rFonts w:asciiTheme="majorHAnsi" w:hAnsiTheme="majorHAnsi" w:cstheme="majorHAnsi"/>
          </w:rPr>
          <w:fldChar w:fldCharType="separate"/>
        </w:r>
        <w:r w:rsidR="00FB0B7B">
          <w:rPr>
            <w:rFonts w:asciiTheme="majorHAnsi" w:hAnsiTheme="majorHAnsi" w:cstheme="majorHAnsi"/>
            <w:noProof/>
          </w:rPr>
          <w:t>10</w:t>
        </w:r>
        <w:r w:rsidRPr="00787E87">
          <w:rPr>
            <w:rFonts w:asciiTheme="majorHAnsi" w:hAnsiTheme="majorHAnsi" w:cstheme="majorHAnsi"/>
          </w:rPr>
          <w:fldChar w:fldCharType="end"/>
        </w:r>
      </w:p>
    </w:sdtContent>
  </w:sdt>
  <w:p w14:paraId="35BDD679" w14:textId="77777777" w:rsidR="001734D7" w:rsidRDefault="0017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C99" w14:textId="77777777" w:rsidR="00A9133B" w:rsidRDefault="00A9133B" w:rsidP="00214D26">
      <w:pPr>
        <w:spacing w:after="0" w:line="240" w:lineRule="auto"/>
      </w:pPr>
      <w:r>
        <w:separator/>
      </w:r>
    </w:p>
  </w:footnote>
  <w:footnote w:type="continuationSeparator" w:id="0">
    <w:p w14:paraId="13CB0215" w14:textId="77777777" w:rsidR="00A9133B" w:rsidRDefault="00A9133B" w:rsidP="00214D26">
      <w:pPr>
        <w:spacing w:after="0" w:line="240" w:lineRule="auto"/>
      </w:pPr>
      <w:r>
        <w:continuationSeparator/>
      </w:r>
    </w:p>
  </w:footnote>
  <w:footnote w:type="continuationNotice" w:id="1">
    <w:p w14:paraId="34D88E1C" w14:textId="77777777" w:rsidR="00A9133B" w:rsidRDefault="00A9133B">
      <w:pPr>
        <w:spacing w:before="0" w:after="0" w:line="240" w:lineRule="auto"/>
      </w:pPr>
    </w:p>
  </w:footnote>
  <w:footnote w:id="2">
    <w:p w14:paraId="5AA9308C" w14:textId="198FDFD5" w:rsidR="00874B54" w:rsidRPr="00D47514" w:rsidRDefault="00874B54" w:rsidP="00D47514">
      <w:pPr>
        <w:pStyle w:val="FootnoteText"/>
        <w:spacing w:before="0"/>
        <w:rPr>
          <w:rFonts w:asciiTheme="majorHAnsi" w:hAnsiTheme="majorHAnsi" w:cstheme="majorHAnsi"/>
          <w:sz w:val="18"/>
          <w:szCs w:val="18"/>
        </w:rPr>
      </w:pPr>
      <w:r w:rsidRPr="00D47514">
        <w:rPr>
          <w:rStyle w:val="FootnoteReference"/>
          <w:rFonts w:asciiTheme="majorHAnsi" w:hAnsiTheme="majorHAnsi" w:cstheme="majorHAnsi"/>
          <w:sz w:val="18"/>
          <w:szCs w:val="18"/>
        </w:rPr>
        <w:footnoteRef/>
      </w:r>
      <w:r w:rsidRPr="00D47514">
        <w:rPr>
          <w:rFonts w:asciiTheme="majorHAnsi" w:hAnsiTheme="majorHAnsi" w:cstheme="majorHAnsi"/>
          <w:sz w:val="18"/>
          <w:szCs w:val="18"/>
        </w:rPr>
        <w:t xml:space="preserve"> S</w:t>
      </w:r>
      <w:r w:rsidR="00DE449C">
        <w:rPr>
          <w:rFonts w:asciiTheme="majorHAnsi" w:hAnsiTheme="majorHAnsi" w:cstheme="majorHAnsi"/>
          <w:sz w:val="18"/>
          <w:szCs w:val="18"/>
        </w:rPr>
        <w:t xml:space="preserve">lužbeni list Europske Unije L </w:t>
      </w:r>
      <w:r w:rsidRPr="00D47514">
        <w:rPr>
          <w:rFonts w:asciiTheme="majorHAnsi" w:hAnsiTheme="majorHAnsi" w:cstheme="majorHAnsi"/>
          <w:sz w:val="18"/>
          <w:szCs w:val="18"/>
        </w:rPr>
        <w:t>187, 26.6.2014.</w:t>
      </w:r>
    </w:p>
  </w:footnote>
  <w:footnote w:id="3">
    <w:p w14:paraId="27B83EB5" w14:textId="77777777" w:rsidR="00874B54" w:rsidRPr="00D47514" w:rsidRDefault="00874B54" w:rsidP="00D47514">
      <w:pPr>
        <w:pStyle w:val="FootnoteText"/>
        <w:spacing w:before="0"/>
        <w:rPr>
          <w:rFonts w:asciiTheme="majorHAnsi" w:hAnsiTheme="majorHAnsi" w:cstheme="majorHAnsi"/>
          <w:sz w:val="18"/>
          <w:szCs w:val="18"/>
        </w:rPr>
      </w:pPr>
      <w:r w:rsidRPr="00D47514">
        <w:rPr>
          <w:rStyle w:val="FootnoteReference"/>
          <w:rFonts w:asciiTheme="majorHAnsi" w:hAnsiTheme="majorHAnsi" w:cstheme="majorHAnsi"/>
          <w:sz w:val="18"/>
          <w:szCs w:val="18"/>
        </w:rPr>
        <w:footnoteRef/>
      </w:r>
      <w:r w:rsidRPr="00D47514">
        <w:rPr>
          <w:rFonts w:asciiTheme="majorHAnsi" w:hAnsiTheme="majorHAnsi" w:cstheme="majorHAnsi"/>
          <w:sz w:val="18"/>
          <w:szCs w:val="18"/>
        </w:rPr>
        <w:t xml:space="preserve"> SL L 156/1, 20.6.2017.</w:t>
      </w:r>
    </w:p>
  </w:footnote>
  <w:footnote w:id="4">
    <w:p w14:paraId="624A630B" w14:textId="77777777" w:rsidR="00874B54" w:rsidRPr="00D47514" w:rsidRDefault="00874B54" w:rsidP="00D47514">
      <w:pPr>
        <w:pStyle w:val="FootnoteText"/>
        <w:spacing w:before="0"/>
        <w:rPr>
          <w:rFonts w:asciiTheme="majorHAnsi" w:hAnsiTheme="majorHAnsi" w:cstheme="majorHAnsi"/>
          <w:sz w:val="18"/>
          <w:szCs w:val="18"/>
        </w:rPr>
      </w:pPr>
      <w:r w:rsidRPr="00D47514">
        <w:rPr>
          <w:rStyle w:val="FootnoteReference"/>
          <w:rFonts w:asciiTheme="majorHAnsi" w:hAnsiTheme="majorHAnsi" w:cstheme="majorHAnsi"/>
          <w:sz w:val="18"/>
          <w:szCs w:val="18"/>
        </w:rPr>
        <w:footnoteRef/>
      </w:r>
      <w:r w:rsidRPr="00D47514">
        <w:rPr>
          <w:rFonts w:asciiTheme="majorHAnsi" w:hAnsiTheme="majorHAnsi" w:cstheme="majorHAnsi"/>
          <w:sz w:val="18"/>
          <w:szCs w:val="18"/>
        </w:rPr>
        <w:t xml:space="preserve"> SL L 215/2020, 7.7.2020.</w:t>
      </w:r>
    </w:p>
  </w:footnote>
  <w:footnote w:id="5">
    <w:p w14:paraId="5AC68D2A" w14:textId="77777777" w:rsidR="00874B54" w:rsidRPr="00D06A91" w:rsidRDefault="00874B54" w:rsidP="00D47514">
      <w:pPr>
        <w:pStyle w:val="FootnoteText"/>
        <w:spacing w:before="0"/>
        <w:rPr>
          <w:rFonts w:asciiTheme="majorHAnsi" w:hAnsiTheme="majorHAnsi" w:cstheme="majorHAnsi"/>
        </w:rPr>
      </w:pPr>
      <w:r w:rsidRPr="00D47514">
        <w:rPr>
          <w:rStyle w:val="FootnoteReference"/>
          <w:rFonts w:asciiTheme="majorHAnsi" w:hAnsiTheme="majorHAnsi" w:cstheme="majorHAnsi"/>
          <w:sz w:val="18"/>
          <w:szCs w:val="18"/>
        </w:rPr>
        <w:footnoteRef/>
      </w:r>
      <w:r w:rsidRPr="00D47514">
        <w:rPr>
          <w:rFonts w:asciiTheme="majorHAnsi" w:hAnsiTheme="majorHAnsi" w:cstheme="majorHAnsi"/>
          <w:sz w:val="18"/>
          <w:szCs w:val="18"/>
        </w:rPr>
        <w:t xml:space="preserve"> SL L 270/39, 29.7.2021.</w:t>
      </w:r>
    </w:p>
  </w:footnote>
  <w:footnote w:id="6">
    <w:p w14:paraId="0C828556" w14:textId="452AF7D3" w:rsidR="00A15A2D" w:rsidRPr="00D47514" w:rsidRDefault="00A15A2D" w:rsidP="00D47514">
      <w:pPr>
        <w:pStyle w:val="FootnoteText"/>
        <w:spacing w:before="0"/>
        <w:rPr>
          <w:rFonts w:asciiTheme="majorHAnsi" w:hAnsiTheme="majorHAnsi" w:cstheme="majorHAnsi"/>
        </w:rPr>
      </w:pPr>
      <w:r w:rsidRPr="00D47514">
        <w:rPr>
          <w:rStyle w:val="FootnoteReference"/>
          <w:rFonts w:asciiTheme="majorHAnsi" w:hAnsiTheme="majorHAnsi" w:cstheme="majorHAnsi"/>
          <w:sz w:val="18"/>
          <w:szCs w:val="18"/>
        </w:rPr>
        <w:footnoteRef/>
      </w:r>
      <w:r w:rsidRPr="00D47514">
        <w:rPr>
          <w:rFonts w:asciiTheme="majorHAnsi" w:hAnsiTheme="majorHAnsi" w:cstheme="majorHAnsi"/>
          <w:sz w:val="18"/>
          <w:szCs w:val="18"/>
        </w:rPr>
        <w:t xml:space="preserve"> N</w:t>
      </w:r>
      <w:r w:rsidR="00C40712">
        <w:rPr>
          <w:rFonts w:asciiTheme="majorHAnsi" w:hAnsiTheme="majorHAnsi" w:cstheme="majorHAnsi"/>
          <w:sz w:val="18"/>
          <w:szCs w:val="18"/>
        </w:rPr>
        <w:t xml:space="preserve">arodne novine </w:t>
      </w:r>
      <w:r w:rsidR="00F85BA7" w:rsidRPr="00D47514">
        <w:rPr>
          <w:rFonts w:asciiTheme="majorHAnsi" w:hAnsiTheme="majorHAnsi" w:cstheme="majorHAnsi"/>
          <w:sz w:val="18"/>
          <w:szCs w:val="18"/>
        </w:rPr>
        <w:t>47/14, 69/17</w:t>
      </w:r>
    </w:p>
  </w:footnote>
  <w:footnote w:id="7">
    <w:p w14:paraId="74D25B4C" w14:textId="77777777" w:rsidR="00C50ABC" w:rsidRPr="00D47514" w:rsidRDefault="00C50ABC" w:rsidP="00C50ABC">
      <w:pPr>
        <w:pStyle w:val="FootnoteText"/>
        <w:spacing w:before="0"/>
        <w:rPr>
          <w:rFonts w:asciiTheme="majorHAnsi" w:hAnsiTheme="majorHAnsi" w:cstheme="majorHAnsi"/>
          <w:sz w:val="18"/>
          <w:szCs w:val="18"/>
        </w:rPr>
      </w:pPr>
      <w:r w:rsidRPr="00D47514">
        <w:rPr>
          <w:rStyle w:val="FootnoteReference"/>
          <w:rFonts w:asciiTheme="majorHAnsi" w:hAnsiTheme="majorHAnsi" w:cstheme="majorHAnsi"/>
          <w:sz w:val="18"/>
          <w:szCs w:val="18"/>
        </w:rPr>
        <w:footnoteRef/>
      </w:r>
      <w:r w:rsidRPr="00D47514">
        <w:rPr>
          <w:rFonts w:asciiTheme="majorHAnsi" w:hAnsiTheme="majorHAnsi" w:cstheme="majorHAnsi"/>
          <w:sz w:val="18"/>
          <w:szCs w:val="18"/>
        </w:rPr>
        <w:t xml:space="preserve"> </w:t>
      </w:r>
      <w:hyperlink r:id="rId1" w:history="1">
        <w:r w:rsidRPr="00D47514">
          <w:rPr>
            <w:rStyle w:val="Hyperlink"/>
            <w:rFonts w:asciiTheme="majorHAnsi" w:hAnsiTheme="majorHAnsi" w:cstheme="majorHAnsi"/>
            <w:sz w:val="18"/>
            <w:szCs w:val="18"/>
          </w:rPr>
          <w:t>https://esavjetovanja.gov.hr/ECon/Dashboard</w:t>
        </w:r>
      </w:hyperlink>
      <w:r w:rsidRPr="00D47514">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AC6"/>
    <w:multiLevelType w:val="hybridMultilevel"/>
    <w:tmpl w:val="EAD814D4"/>
    <w:lvl w:ilvl="0" w:tplc="48F2F07C">
      <w:start w:val="1"/>
      <w:numFmt w:val="lowerLetter"/>
      <w:lvlText w:val="(%1)"/>
      <w:lvlJc w:val="left"/>
      <w:pPr>
        <w:ind w:left="1440" w:hanging="360"/>
      </w:pPr>
      <w:rPr>
        <w:rFonts w:asciiTheme="majorHAnsi" w:eastAsiaTheme="majorEastAsia" w:hAnsiTheme="majorHAnsi" w:cstheme="majorBidi"/>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6AE6B60"/>
    <w:multiLevelType w:val="hybridMultilevel"/>
    <w:tmpl w:val="CD42EF52"/>
    <w:lvl w:ilvl="0" w:tplc="7FDE08E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1C6B22"/>
    <w:multiLevelType w:val="hybridMultilevel"/>
    <w:tmpl w:val="8086F19C"/>
    <w:lvl w:ilvl="0" w:tplc="041A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90C91"/>
    <w:multiLevelType w:val="hybridMultilevel"/>
    <w:tmpl w:val="87044F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063260"/>
    <w:multiLevelType w:val="hybridMultilevel"/>
    <w:tmpl w:val="55CCFB2C"/>
    <w:lvl w:ilvl="0" w:tplc="75C21C34">
      <w:numFmt w:val="bullet"/>
      <w:lvlText w:val="-"/>
      <w:lvlJc w:val="left"/>
      <w:pPr>
        <w:ind w:left="720" w:hanging="360"/>
      </w:pPr>
      <w:rPr>
        <w:rFonts w:ascii="Calibri Light" w:eastAsiaTheme="maj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467362"/>
    <w:multiLevelType w:val="hybridMultilevel"/>
    <w:tmpl w:val="716E10EC"/>
    <w:lvl w:ilvl="0" w:tplc="B17445EC">
      <w:numFmt w:val="bullet"/>
      <w:lvlText w:val="-"/>
      <w:lvlJc w:val="left"/>
      <w:pPr>
        <w:ind w:left="360" w:hanging="360"/>
      </w:pPr>
      <w:rPr>
        <w:rFonts w:ascii="Calibri" w:hAnsi="Calibri" w:hint="default"/>
        <w:color w:val="000000" w:themeColor="text1"/>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64D35EF"/>
    <w:multiLevelType w:val="hybridMultilevel"/>
    <w:tmpl w:val="69EAB866"/>
    <w:lvl w:ilvl="0" w:tplc="A6E65004">
      <w:start w:val="1"/>
      <w:numFmt w:val="lowerLetter"/>
      <w:lvlText w:val="(%1)"/>
      <w:lvlJc w:val="left"/>
      <w:pPr>
        <w:ind w:left="1440" w:hanging="360"/>
      </w:pPr>
      <w:rPr>
        <w:rFonts w:asciiTheme="majorHAnsi" w:eastAsiaTheme="majorEastAsia" w:hAnsiTheme="majorHAnsi" w:cstheme="majorBid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003409E"/>
    <w:multiLevelType w:val="hybridMultilevel"/>
    <w:tmpl w:val="41721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EE0CA7"/>
    <w:multiLevelType w:val="hybridMultilevel"/>
    <w:tmpl w:val="26FCD3EE"/>
    <w:lvl w:ilvl="0" w:tplc="041A0001">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6A78D0"/>
    <w:multiLevelType w:val="hybridMultilevel"/>
    <w:tmpl w:val="424CD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266E9E"/>
    <w:multiLevelType w:val="hybridMultilevel"/>
    <w:tmpl w:val="CB18D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A600F1"/>
    <w:multiLevelType w:val="hybridMultilevel"/>
    <w:tmpl w:val="ACAAA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BF53F5"/>
    <w:multiLevelType w:val="hybridMultilevel"/>
    <w:tmpl w:val="E8A0C29E"/>
    <w:lvl w:ilvl="0" w:tplc="3D3A3E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B56ECD"/>
    <w:multiLevelType w:val="hybridMultilevel"/>
    <w:tmpl w:val="F54AB474"/>
    <w:lvl w:ilvl="0" w:tplc="041A0001">
      <w:start w:val="1"/>
      <w:numFmt w:val="bullet"/>
      <w:lvlText w:val=""/>
      <w:lvlJc w:val="left"/>
      <w:pPr>
        <w:ind w:left="717" w:hanging="360"/>
      </w:pPr>
      <w:rPr>
        <w:rFonts w:ascii="Symbol" w:hAnsi="Symbol" w:hint="default"/>
        <w:color w:val="000000" w:themeColor="text1"/>
        <w:sz w:val="20"/>
        <w:szCs w:val="20"/>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4" w15:restartNumberingAfterBreak="0">
    <w:nsid w:val="537033DF"/>
    <w:multiLevelType w:val="hybridMultilevel"/>
    <w:tmpl w:val="5FA0DEDA"/>
    <w:lvl w:ilvl="0" w:tplc="B17445EC">
      <w:numFmt w:val="bullet"/>
      <w:lvlText w:val="-"/>
      <w:lvlJc w:val="left"/>
      <w:pPr>
        <w:ind w:left="360" w:hanging="360"/>
      </w:pPr>
      <w:rPr>
        <w:rFonts w:ascii="Calibri" w:hAnsi="Calibri" w:hint="default"/>
        <w:color w:val="000000" w:themeColor="text1"/>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66776A0"/>
    <w:multiLevelType w:val="hybridMultilevel"/>
    <w:tmpl w:val="81BA324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E64995"/>
    <w:multiLevelType w:val="hybridMultilevel"/>
    <w:tmpl w:val="4A3E8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D30F62"/>
    <w:multiLevelType w:val="hybridMultilevel"/>
    <w:tmpl w:val="2E6E8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F17474"/>
    <w:multiLevelType w:val="hybridMultilevel"/>
    <w:tmpl w:val="B6F2ED8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CA08B1"/>
    <w:multiLevelType w:val="hybridMultilevel"/>
    <w:tmpl w:val="F5A2EF76"/>
    <w:lvl w:ilvl="0" w:tplc="92F06C08">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744775"/>
    <w:multiLevelType w:val="hybridMultilevel"/>
    <w:tmpl w:val="424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4C1973"/>
    <w:multiLevelType w:val="hybridMultilevel"/>
    <w:tmpl w:val="E8A0C2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7C62E4"/>
    <w:multiLevelType w:val="hybridMultilevel"/>
    <w:tmpl w:val="1F0C8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
  </w:num>
  <w:num w:numId="5">
    <w:abstractNumId w:val="10"/>
  </w:num>
  <w:num w:numId="6">
    <w:abstractNumId w:val="3"/>
  </w:num>
  <w:num w:numId="7">
    <w:abstractNumId w:val="22"/>
  </w:num>
  <w:num w:numId="8">
    <w:abstractNumId w:val="20"/>
  </w:num>
  <w:num w:numId="9">
    <w:abstractNumId w:val="11"/>
  </w:num>
  <w:num w:numId="10">
    <w:abstractNumId w:val="12"/>
  </w:num>
  <w:num w:numId="11">
    <w:abstractNumId w:val="17"/>
  </w:num>
  <w:num w:numId="12">
    <w:abstractNumId w:val="16"/>
  </w:num>
  <w:num w:numId="13">
    <w:abstractNumId w:val="5"/>
  </w:num>
  <w:num w:numId="14">
    <w:abstractNumId w:val="15"/>
  </w:num>
  <w:num w:numId="15">
    <w:abstractNumId w:val="6"/>
  </w:num>
  <w:num w:numId="16">
    <w:abstractNumId w:val="14"/>
  </w:num>
  <w:num w:numId="17">
    <w:abstractNumId w:val="13"/>
  </w:num>
  <w:num w:numId="18">
    <w:abstractNumId w:val="0"/>
  </w:num>
  <w:num w:numId="19">
    <w:abstractNumId w:val="8"/>
  </w:num>
  <w:num w:numId="20">
    <w:abstractNumId w:val="4"/>
  </w:num>
  <w:num w:numId="21">
    <w:abstractNumId w:val="9"/>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B"/>
    <w:rsid w:val="0000497B"/>
    <w:rsid w:val="00004C6E"/>
    <w:rsid w:val="000065C4"/>
    <w:rsid w:val="00010D31"/>
    <w:rsid w:val="000139FD"/>
    <w:rsid w:val="000148A3"/>
    <w:rsid w:val="00017D04"/>
    <w:rsid w:val="00021480"/>
    <w:rsid w:val="00022E40"/>
    <w:rsid w:val="00024CF5"/>
    <w:rsid w:val="00026572"/>
    <w:rsid w:val="00027627"/>
    <w:rsid w:val="0003018B"/>
    <w:rsid w:val="00031216"/>
    <w:rsid w:val="000359AF"/>
    <w:rsid w:val="00040291"/>
    <w:rsid w:val="00041410"/>
    <w:rsid w:val="0004302B"/>
    <w:rsid w:val="00043E54"/>
    <w:rsid w:val="00046C51"/>
    <w:rsid w:val="00046EA5"/>
    <w:rsid w:val="00055531"/>
    <w:rsid w:val="000603BD"/>
    <w:rsid w:val="00062B57"/>
    <w:rsid w:val="00072247"/>
    <w:rsid w:val="00073594"/>
    <w:rsid w:val="00073B39"/>
    <w:rsid w:val="00074CF6"/>
    <w:rsid w:val="0007756A"/>
    <w:rsid w:val="00084BF8"/>
    <w:rsid w:val="000854C9"/>
    <w:rsid w:val="00085965"/>
    <w:rsid w:val="00090CF0"/>
    <w:rsid w:val="0009361D"/>
    <w:rsid w:val="00093F47"/>
    <w:rsid w:val="00094D81"/>
    <w:rsid w:val="00095C79"/>
    <w:rsid w:val="0009756B"/>
    <w:rsid w:val="00097C62"/>
    <w:rsid w:val="000A0C86"/>
    <w:rsid w:val="000A131D"/>
    <w:rsid w:val="000A1DF2"/>
    <w:rsid w:val="000A3CDC"/>
    <w:rsid w:val="000B1A65"/>
    <w:rsid w:val="000B2931"/>
    <w:rsid w:val="000B318C"/>
    <w:rsid w:val="000B50F3"/>
    <w:rsid w:val="000C324F"/>
    <w:rsid w:val="000C33EE"/>
    <w:rsid w:val="000C6072"/>
    <w:rsid w:val="000C72AD"/>
    <w:rsid w:val="000D48D8"/>
    <w:rsid w:val="000F11E0"/>
    <w:rsid w:val="000F29FB"/>
    <w:rsid w:val="000F330C"/>
    <w:rsid w:val="000F58DA"/>
    <w:rsid w:val="000F5CF4"/>
    <w:rsid w:val="000F6692"/>
    <w:rsid w:val="0010682C"/>
    <w:rsid w:val="001106E9"/>
    <w:rsid w:val="00110807"/>
    <w:rsid w:val="00110849"/>
    <w:rsid w:val="00110FBB"/>
    <w:rsid w:val="00112737"/>
    <w:rsid w:val="00113E04"/>
    <w:rsid w:val="00113E6F"/>
    <w:rsid w:val="00116261"/>
    <w:rsid w:val="00116A59"/>
    <w:rsid w:val="00117CA2"/>
    <w:rsid w:val="00121FD1"/>
    <w:rsid w:val="0012614C"/>
    <w:rsid w:val="0012713D"/>
    <w:rsid w:val="00131A9D"/>
    <w:rsid w:val="0013231D"/>
    <w:rsid w:val="00132ED6"/>
    <w:rsid w:val="00133C4B"/>
    <w:rsid w:val="00134D8D"/>
    <w:rsid w:val="0013E9E3"/>
    <w:rsid w:val="00141C46"/>
    <w:rsid w:val="001447E5"/>
    <w:rsid w:val="001454B8"/>
    <w:rsid w:val="00147CFA"/>
    <w:rsid w:val="00151969"/>
    <w:rsid w:val="00155D11"/>
    <w:rsid w:val="0015640E"/>
    <w:rsid w:val="001578A9"/>
    <w:rsid w:val="001609AB"/>
    <w:rsid w:val="00161232"/>
    <w:rsid w:val="001622FE"/>
    <w:rsid w:val="00164415"/>
    <w:rsid w:val="00164D27"/>
    <w:rsid w:val="00164DBB"/>
    <w:rsid w:val="0016575B"/>
    <w:rsid w:val="0017067D"/>
    <w:rsid w:val="001726A5"/>
    <w:rsid w:val="001734D7"/>
    <w:rsid w:val="00173547"/>
    <w:rsid w:val="00175DE8"/>
    <w:rsid w:val="001804ED"/>
    <w:rsid w:val="00182AD9"/>
    <w:rsid w:val="00182B13"/>
    <w:rsid w:val="00182F62"/>
    <w:rsid w:val="0019011D"/>
    <w:rsid w:val="00191005"/>
    <w:rsid w:val="00193721"/>
    <w:rsid w:val="00195307"/>
    <w:rsid w:val="00196875"/>
    <w:rsid w:val="00196E8D"/>
    <w:rsid w:val="001975E1"/>
    <w:rsid w:val="001A7966"/>
    <w:rsid w:val="001B729F"/>
    <w:rsid w:val="001C00EA"/>
    <w:rsid w:val="001C346D"/>
    <w:rsid w:val="001C37EA"/>
    <w:rsid w:val="001C38DE"/>
    <w:rsid w:val="001C58AB"/>
    <w:rsid w:val="001C6F26"/>
    <w:rsid w:val="001D0FE6"/>
    <w:rsid w:val="001D1F19"/>
    <w:rsid w:val="001D57A3"/>
    <w:rsid w:val="001D5BB9"/>
    <w:rsid w:val="001D639E"/>
    <w:rsid w:val="001E16E5"/>
    <w:rsid w:val="001E1FED"/>
    <w:rsid w:val="001E2012"/>
    <w:rsid w:val="001E3ABA"/>
    <w:rsid w:val="001E48B1"/>
    <w:rsid w:val="001E5157"/>
    <w:rsid w:val="001E5B51"/>
    <w:rsid w:val="001F3269"/>
    <w:rsid w:val="001F34F0"/>
    <w:rsid w:val="001F5ABA"/>
    <w:rsid w:val="002003A0"/>
    <w:rsid w:val="00200D60"/>
    <w:rsid w:val="0020276C"/>
    <w:rsid w:val="00202ADE"/>
    <w:rsid w:val="00205E15"/>
    <w:rsid w:val="00207965"/>
    <w:rsid w:val="002109CB"/>
    <w:rsid w:val="002111BD"/>
    <w:rsid w:val="00212B22"/>
    <w:rsid w:val="00214D26"/>
    <w:rsid w:val="00216EDD"/>
    <w:rsid w:val="00217515"/>
    <w:rsid w:val="00221208"/>
    <w:rsid w:val="002251CC"/>
    <w:rsid w:val="002257D6"/>
    <w:rsid w:val="0022674E"/>
    <w:rsid w:val="00226D14"/>
    <w:rsid w:val="00230DC3"/>
    <w:rsid w:val="00231AD2"/>
    <w:rsid w:val="00233FE7"/>
    <w:rsid w:val="00234B23"/>
    <w:rsid w:val="0023601E"/>
    <w:rsid w:val="00236EC5"/>
    <w:rsid w:val="0024064D"/>
    <w:rsid w:val="00242686"/>
    <w:rsid w:val="00244145"/>
    <w:rsid w:val="0025171A"/>
    <w:rsid w:val="0025199A"/>
    <w:rsid w:val="002525DF"/>
    <w:rsid w:val="0025473B"/>
    <w:rsid w:val="0025537F"/>
    <w:rsid w:val="00257BB4"/>
    <w:rsid w:val="00257D58"/>
    <w:rsid w:val="0026378F"/>
    <w:rsid w:val="00263BB2"/>
    <w:rsid w:val="00266ECE"/>
    <w:rsid w:val="002720F8"/>
    <w:rsid w:val="0028048A"/>
    <w:rsid w:val="00283F55"/>
    <w:rsid w:val="00285854"/>
    <w:rsid w:val="00290711"/>
    <w:rsid w:val="002924DC"/>
    <w:rsid w:val="00293171"/>
    <w:rsid w:val="002A08B3"/>
    <w:rsid w:val="002A62D6"/>
    <w:rsid w:val="002B0703"/>
    <w:rsid w:val="002B085E"/>
    <w:rsid w:val="002B3E75"/>
    <w:rsid w:val="002B61A9"/>
    <w:rsid w:val="002C518D"/>
    <w:rsid w:val="002C5D93"/>
    <w:rsid w:val="002D4A49"/>
    <w:rsid w:val="002D54E6"/>
    <w:rsid w:val="002F37BA"/>
    <w:rsid w:val="003003EE"/>
    <w:rsid w:val="00301967"/>
    <w:rsid w:val="00301DB6"/>
    <w:rsid w:val="003024D6"/>
    <w:rsid w:val="0030668A"/>
    <w:rsid w:val="00310977"/>
    <w:rsid w:val="00311E70"/>
    <w:rsid w:val="00316F7E"/>
    <w:rsid w:val="00321CFA"/>
    <w:rsid w:val="00326B44"/>
    <w:rsid w:val="0032754D"/>
    <w:rsid w:val="00332D8A"/>
    <w:rsid w:val="0033513E"/>
    <w:rsid w:val="00343982"/>
    <w:rsid w:val="00346A20"/>
    <w:rsid w:val="00346F12"/>
    <w:rsid w:val="0035538C"/>
    <w:rsid w:val="003619AB"/>
    <w:rsid w:val="00364655"/>
    <w:rsid w:val="00364BF2"/>
    <w:rsid w:val="003676A3"/>
    <w:rsid w:val="00370C43"/>
    <w:rsid w:val="00374386"/>
    <w:rsid w:val="00375702"/>
    <w:rsid w:val="00377CB8"/>
    <w:rsid w:val="003826F3"/>
    <w:rsid w:val="00387740"/>
    <w:rsid w:val="00391648"/>
    <w:rsid w:val="00392997"/>
    <w:rsid w:val="003A1D43"/>
    <w:rsid w:val="003A203F"/>
    <w:rsid w:val="003A3172"/>
    <w:rsid w:val="003A3A6C"/>
    <w:rsid w:val="003A3B4C"/>
    <w:rsid w:val="003B3EB2"/>
    <w:rsid w:val="003B6355"/>
    <w:rsid w:val="003C1B44"/>
    <w:rsid w:val="003C374D"/>
    <w:rsid w:val="003C3CD3"/>
    <w:rsid w:val="003C61C1"/>
    <w:rsid w:val="003C78E3"/>
    <w:rsid w:val="003D000F"/>
    <w:rsid w:val="003D53E3"/>
    <w:rsid w:val="003E3204"/>
    <w:rsid w:val="003E6822"/>
    <w:rsid w:val="003F5732"/>
    <w:rsid w:val="003F654D"/>
    <w:rsid w:val="003F76ED"/>
    <w:rsid w:val="003F7F10"/>
    <w:rsid w:val="0040172D"/>
    <w:rsid w:val="00401E87"/>
    <w:rsid w:val="0040378E"/>
    <w:rsid w:val="004064E0"/>
    <w:rsid w:val="0041458C"/>
    <w:rsid w:val="00414F5D"/>
    <w:rsid w:val="00420876"/>
    <w:rsid w:val="00427501"/>
    <w:rsid w:val="00427FB0"/>
    <w:rsid w:val="00427FCA"/>
    <w:rsid w:val="00436D0F"/>
    <w:rsid w:val="00437549"/>
    <w:rsid w:val="0044106B"/>
    <w:rsid w:val="00441179"/>
    <w:rsid w:val="00444C13"/>
    <w:rsid w:val="00450C69"/>
    <w:rsid w:val="004524AD"/>
    <w:rsid w:val="0045266B"/>
    <w:rsid w:val="0045446D"/>
    <w:rsid w:val="00457FB4"/>
    <w:rsid w:val="00461643"/>
    <w:rsid w:val="004621E8"/>
    <w:rsid w:val="00463514"/>
    <w:rsid w:val="0046384E"/>
    <w:rsid w:val="00474836"/>
    <w:rsid w:val="004753FB"/>
    <w:rsid w:val="0048072D"/>
    <w:rsid w:val="00485488"/>
    <w:rsid w:val="004903B6"/>
    <w:rsid w:val="00490C14"/>
    <w:rsid w:val="00490FF7"/>
    <w:rsid w:val="00497002"/>
    <w:rsid w:val="004A1FC2"/>
    <w:rsid w:val="004A3B51"/>
    <w:rsid w:val="004B2EDA"/>
    <w:rsid w:val="004B2F7E"/>
    <w:rsid w:val="004B4E5C"/>
    <w:rsid w:val="004C244D"/>
    <w:rsid w:val="004C394A"/>
    <w:rsid w:val="004D0841"/>
    <w:rsid w:val="004D4FDA"/>
    <w:rsid w:val="004D7C34"/>
    <w:rsid w:val="004D7DA5"/>
    <w:rsid w:val="004E5635"/>
    <w:rsid w:val="004F1697"/>
    <w:rsid w:val="004F2ABF"/>
    <w:rsid w:val="004F40B7"/>
    <w:rsid w:val="004F46E1"/>
    <w:rsid w:val="004F6451"/>
    <w:rsid w:val="004F6458"/>
    <w:rsid w:val="004F76A8"/>
    <w:rsid w:val="005011E5"/>
    <w:rsid w:val="00501701"/>
    <w:rsid w:val="0050653E"/>
    <w:rsid w:val="0051098F"/>
    <w:rsid w:val="005115B8"/>
    <w:rsid w:val="0051462B"/>
    <w:rsid w:val="0051505B"/>
    <w:rsid w:val="00520399"/>
    <w:rsid w:val="0052241E"/>
    <w:rsid w:val="00522C47"/>
    <w:rsid w:val="005260EB"/>
    <w:rsid w:val="00534DFF"/>
    <w:rsid w:val="0053591D"/>
    <w:rsid w:val="005402AF"/>
    <w:rsid w:val="00542DFD"/>
    <w:rsid w:val="0054325E"/>
    <w:rsid w:val="0054415A"/>
    <w:rsid w:val="00551805"/>
    <w:rsid w:val="00555248"/>
    <w:rsid w:val="00557961"/>
    <w:rsid w:val="0056081E"/>
    <w:rsid w:val="00560AB6"/>
    <w:rsid w:val="00561260"/>
    <w:rsid w:val="00562ABC"/>
    <w:rsid w:val="00564E37"/>
    <w:rsid w:val="005816B0"/>
    <w:rsid w:val="005830D4"/>
    <w:rsid w:val="00584A0B"/>
    <w:rsid w:val="0059172F"/>
    <w:rsid w:val="005925D1"/>
    <w:rsid w:val="0059332F"/>
    <w:rsid w:val="00596B0F"/>
    <w:rsid w:val="005A5346"/>
    <w:rsid w:val="005A58C9"/>
    <w:rsid w:val="005A6025"/>
    <w:rsid w:val="005A6A7F"/>
    <w:rsid w:val="005B106B"/>
    <w:rsid w:val="005C3483"/>
    <w:rsid w:val="005C39D1"/>
    <w:rsid w:val="005D09B3"/>
    <w:rsid w:val="005D0CA0"/>
    <w:rsid w:val="005D10A6"/>
    <w:rsid w:val="005D15D7"/>
    <w:rsid w:val="005D5AE9"/>
    <w:rsid w:val="005E3644"/>
    <w:rsid w:val="005E380E"/>
    <w:rsid w:val="005F1708"/>
    <w:rsid w:val="005F2901"/>
    <w:rsid w:val="005F2FA1"/>
    <w:rsid w:val="005F4CFB"/>
    <w:rsid w:val="005F6FB8"/>
    <w:rsid w:val="00601CCB"/>
    <w:rsid w:val="006026B9"/>
    <w:rsid w:val="00603C54"/>
    <w:rsid w:val="006042CD"/>
    <w:rsid w:val="00604639"/>
    <w:rsid w:val="006054AE"/>
    <w:rsid w:val="006075BD"/>
    <w:rsid w:val="00612CE0"/>
    <w:rsid w:val="00613393"/>
    <w:rsid w:val="00614DB0"/>
    <w:rsid w:val="006171FB"/>
    <w:rsid w:val="006233B5"/>
    <w:rsid w:val="0062620D"/>
    <w:rsid w:val="006305BB"/>
    <w:rsid w:val="00630BEC"/>
    <w:rsid w:val="0063356A"/>
    <w:rsid w:val="00634219"/>
    <w:rsid w:val="00650B8E"/>
    <w:rsid w:val="0065143F"/>
    <w:rsid w:val="00655ACD"/>
    <w:rsid w:val="00656598"/>
    <w:rsid w:val="00660E04"/>
    <w:rsid w:val="00671D11"/>
    <w:rsid w:val="0067206A"/>
    <w:rsid w:val="00673AFE"/>
    <w:rsid w:val="006752E7"/>
    <w:rsid w:val="00682990"/>
    <w:rsid w:val="00682EC2"/>
    <w:rsid w:val="00684633"/>
    <w:rsid w:val="0069086E"/>
    <w:rsid w:val="00692B7B"/>
    <w:rsid w:val="006930FD"/>
    <w:rsid w:val="00697F48"/>
    <w:rsid w:val="006A5301"/>
    <w:rsid w:val="006A5C12"/>
    <w:rsid w:val="006B30ED"/>
    <w:rsid w:val="006B5253"/>
    <w:rsid w:val="006B6326"/>
    <w:rsid w:val="006C0402"/>
    <w:rsid w:val="006C124A"/>
    <w:rsid w:val="006C2F5F"/>
    <w:rsid w:val="006C406A"/>
    <w:rsid w:val="006C76EF"/>
    <w:rsid w:val="006C79ED"/>
    <w:rsid w:val="006D3C62"/>
    <w:rsid w:val="006D546E"/>
    <w:rsid w:val="006D6738"/>
    <w:rsid w:val="006D6C60"/>
    <w:rsid w:val="006D6E09"/>
    <w:rsid w:val="006E0E95"/>
    <w:rsid w:val="006E17D8"/>
    <w:rsid w:val="006E4885"/>
    <w:rsid w:val="006F2232"/>
    <w:rsid w:val="006F269A"/>
    <w:rsid w:val="006F60DF"/>
    <w:rsid w:val="006F615F"/>
    <w:rsid w:val="006F6685"/>
    <w:rsid w:val="006F70FB"/>
    <w:rsid w:val="00701C66"/>
    <w:rsid w:val="0070387E"/>
    <w:rsid w:val="00703DCA"/>
    <w:rsid w:val="007049F8"/>
    <w:rsid w:val="00704DB0"/>
    <w:rsid w:val="007065BB"/>
    <w:rsid w:val="00707300"/>
    <w:rsid w:val="00716080"/>
    <w:rsid w:val="007179D7"/>
    <w:rsid w:val="00724C75"/>
    <w:rsid w:val="007254F4"/>
    <w:rsid w:val="00725694"/>
    <w:rsid w:val="007323F0"/>
    <w:rsid w:val="00733CBD"/>
    <w:rsid w:val="00735CEA"/>
    <w:rsid w:val="00742545"/>
    <w:rsid w:val="007462B9"/>
    <w:rsid w:val="007474BE"/>
    <w:rsid w:val="00757F7C"/>
    <w:rsid w:val="00761626"/>
    <w:rsid w:val="007676EF"/>
    <w:rsid w:val="007706B8"/>
    <w:rsid w:val="0077406B"/>
    <w:rsid w:val="00774DAC"/>
    <w:rsid w:val="0077730C"/>
    <w:rsid w:val="00777DFC"/>
    <w:rsid w:val="00785197"/>
    <w:rsid w:val="007858C8"/>
    <w:rsid w:val="007875B7"/>
    <w:rsid w:val="00787E87"/>
    <w:rsid w:val="007956A7"/>
    <w:rsid w:val="007A1E22"/>
    <w:rsid w:val="007A1E6D"/>
    <w:rsid w:val="007A33E1"/>
    <w:rsid w:val="007A7D8B"/>
    <w:rsid w:val="007B1662"/>
    <w:rsid w:val="007B4EEC"/>
    <w:rsid w:val="007B58CB"/>
    <w:rsid w:val="007B774E"/>
    <w:rsid w:val="007C26F1"/>
    <w:rsid w:val="007C40AA"/>
    <w:rsid w:val="007C69FC"/>
    <w:rsid w:val="007D0C94"/>
    <w:rsid w:val="007D1F8D"/>
    <w:rsid w:val="007D2C1B"/>
    <w:rsid w:val="007D3FD8"/>
    <w:rsid w:val="007D5A52"/>
    <w:rsid w:val="007D723F"/>
    <w:rsid w:val="007E0D8F"/>
    <w:rsid w:val="007E13D0"/>
    <w:rsid w:val="007E1679"/>
    <w:rsid w:val="007E5812"/>
    <w:rsid w:val="007E6F98"/>
    <w:rsid w:val="007F4927"/>
    <w:rsid w:val="007F6B48"/>
    <w:rsid w:val="008001CF"/>
    <w:rsid w:val="00801211"/>
    <w:rsid w:val="0080776B"/>
    <w:rsid w:val="00807783"/>
    <w:rsid w:val="00813E8B"/>
    <w:rsid w:val="00817FC7"/>
    <w:rsid w:val="00822AFF"/>
    <w:rsid w:val="00825C27"/>
    <w:rsid w:val="00827534"/>
    <w:rsid w:val="00837B0A"/>
    <w:rsid w:val="008554E6"/>
    <w:rsid w:val="008558C1"/>
    <w:rsid w:val="00860934"/>
    <w:rsid w:val="00862348"/>
    <w:rsid w:val="0086338B"/>
    <w:rsid w:val="00866281"/>
    <w:rsid w:val="0087032D"/>
    <w:rsid w:val="00873D9E"/>
    <w:rsid w:val="00873F57"/>
    <w:rsid w:val="00874B54"/>
    <w:rsid w:val="00877AF7"/>
    <w:rsid w:val="008801A6"/>
    <w:rsid w:val="00880E02"/>
    <w:rsid w:val="00883940"/>
    <w:rsid w:val="0089029B"/>
    <w:rsid w:val="00894A3E"/>
    <w:rsid w:val="008A32AD"/>
    <w:rsid w:val="008A34BC"/>
    <w:rsid w:val="008A763C"/>
    <w:rsid w:val="008B1DE1"/>
    <w:rsid w:val="008B2C6C"/>
    <w:rsid w:val="008B4216"/>
    <w:rsid w:val="008B43C8"/>
    <w:rsid w:val="008B4D28"/>
    <w:rsid w:val="008B525B"/>
    <w:rsid w:val="008B6741"/>
    <w:rsid w:val="008B76D4"/>
    <w:rsid w:val="008C1199"/>
    <w:rsid w:val="008C615D"/>
    <w:rsid w:val="008D0BAF"/>
    <w:rsid w:val="008D3D4B"/>
    <w:rsid w:val="008E74D9"/>
    <w:rsid w:val="008F2387"/>
    <w:rsid w:val="008F49FE"/>
    <w:rsid w:val="008F543C"/>
    <w:rsid w:val="008F67D5"/>
    <w:rsid w:val="00910547"/>
    <w:rsid w:val="00910E0A"/>
    <w:rsid w:val="009112C2"/>
    <w:rsid w:val="00914856"/>
    <w:rsid w:val="009168F3"/>
    <w:rsid w:val="00917CB1"/>
    <w:rsid w:val="00920BF2"/>
    <w:rsid w:val="00920CD1"/>
    <w:rsid w:val="00927EA1"/>
    <w:rsid w:val="009306F3"/>
    <w:rsid w:val="009338D9"/>
    <w:rsid w:val="00933E56"/>
    <w:rsid w:val="00934CFB"/>
    <w:rsid w:val="00935C54"/>
    <w:rsid w:val="00935E57"/>
    <w:rsid w:val="009370D9"/>
    <w:rsid w:val="00940E28"/>
    <w:rsid w:val="00953B19"/>
    <w:rsid w:val="00954356"/>
    <w:rsid w:val="0095596F"/>
    <w:rsid w:val="00955B64"/>
    <w:rsid w:val="00967B90"/>
    <w:rsid w:val="0097507C"/>
    <w:rsid w:val="00975D53"/>
    <w:rsid w:val="00980731"/>
    <w:rsid w:val="00980C5E"/>
    <w:rsid w:val="00981974"/>
    <w:rsid w:val="009833A2"/>
    <w:rsid w:val="00986EEF"/>
    <w:rsid w:val="00990B3F"/>
    <w:rsid w:val="009939EF"/>
    <w:rsid w:val="00993A7D"/>
    <w:rsid w:val="009944CE"/>
    <w:rsid w:val="00995F88"/>
    <w:rsid w:val="00996232"/>
    <w:rsid w:val="0099641F"/>
    <w:rsid w:val="00996DDE"/>
    <w:rsid w:val="00997799"/>
    <w:rsid w:val="0099786B"/>
    <w:rsid w:val="009A1045"/>
    <w:rsid w:val="009A12E9"/>
    <w:rsid w:val="009A5A75"/>
    <w:rsid w:val="009A7E2F"/>
    <w:rsid w:val="009B313B"/>
    <w:rsid w:val="009B3F4A"/>
    <w:rsid w:val="009C0C14"/>
    <w:rsid w:val="009C12F2"/>
    <w:rsid w:val="009C2618"/>
    <w:rsid w:val="009C38EE"/>
    <w:rsid w:val="009C4235"/>
    <w:rsid w:val="009D14CB"/>
    <w:rsid w:val="009D4B16"/>
    <w:rsid w:val="009D6A84"/>
    <w:rsid w:val="009E051D"/>
    <w:rsid w:val="009E162B"/>
    <w:rsid w:val="009E373E"/>
    <w:rsid w:val="009E6376"/>
    <w:rsid w:val="009F0121"/>
    <w:rsid w:val="009F1306"/>
    <w:rsid w:val="009F1B47"/>
    <w:rsid w:val="009F2C84"/>
    <w:rsid w:val="009F3E98"/>
    <w:rsid w:val="009F4397"/>
    <w:rsid w:val="009F63E4"/>
    <w:rsid w:val="009F6634"/>
    <w:rsid w:val="00A00AF4"/>
    <w:rsid w:val="00A019C4"/>
    <w:rsid w:val="00A06B28"/>
    <w:rsid w:val="00A15859"/>
    <w:rsid w:val="00A15A2D"/>
    <w:rsid w:val="00A22D5E"/>
    <w:rsid w:val="00A248A6"/>
    <w:rsid w:val="00A25BDE"/>
    <w:rsid w:val="00A27376"/>
    <w:rsid w:val="00A2744B"/>
    <w:rsid w:val="00A279E9"/>
    <w:rsid w:val="00A27E5F"/>
    <w:rsid w:val="00A31B37"/>
    <w:rsid w:val="00A3716A"/>
    <w:rsid w:val="00A40345"/>
    <w:rsid w:val="00A4151D"/>
    <w:rsid w:val="00A45F10"/>
    <w:rsid w:val="00A47A32"/>
    <w:rsid w:val="00A47CC8"/>
    <w:rsid w:val="00A51DE2"/>
    <w:rsid w:val="00A52A0C"/>
    <w:rsid w:val="00A56314"/>
    <w:rsid w:val="00A56E14"/>
    <w:rsid w:val="00A6162B"/>
    <w:rsid w:val="00A674A0"/>
    <w:rsid w:val="00A70E02"/>
    <w:rsid w:val="00A717D0"/>
    <w:rsid w:val="00A71AA6"/>
    <w:rsid w:val="00A722AC"/>
    <w:rsid w:val="00A832B4"/>
    <w:rsid w:val="00A835E2"/>
    <w:rsid w:val="00A860FF"/>
    <w:rsid w:val="00A9133B"/>
    <w:rsid w:val="00A931FA"/>
    <w:rsid w:val="00A94766"/>
    <w:rsid w:val="00A96215"/>
    <w:rsid w:val="00A97A5D"/>
    <w:rsid w:val="00AA2BDC"/>
    <w:rsid w:val="00AA4E2F"/>
    <w:rsid w:val="00AA629B"/>
    <w:rsid w:val="00AB1CB7"/>
    <w:rsid w:val="00AB32B9"/>
    <w:rsid w:val="00AB479E"/>
    <w:rsid w:val="00AC0443"/>
    <w:rsid w:val="00AC704B"/>
    <w:rsid w:val="00AD0834"/>
    <w:rsid w:val="00AD14D7"/>
    <w:rsid w:val="00AD1808"/>
    <w:rsid w:val="00AD18A6"/>
    <w:rsid w:val="00AD2675"/>
    <w:rsid w:val="00AD3FAB"/>
    <w:rsid w:val="00AD789B"/>
    <w:rsid w:val="00AE48C9"/>
    <w:rsid w:val="00AF4BF0"/>
    <w:rsid w:val="00AF6B7D"/>
    <w:rsid w:val="00AF6F06"/>
    <w:rsid w:val="00B03AB8"/>
    <w:rsid w:val="00B124E8"/>
    <w:rsid w:val="00B20A5B"/>
    <w:rsid w:val="00B21A61"/>
    <w:rsid w:val="00B221D0"/>
    <w:rsid w:val="00B2330F"/>
    <w:rsid w:val="00B2665E"/>
    <w:rsid w:val="00B31041"/>
    <w:rsid w:val="00B326A7"/>
    <w:rsid w:val="00B35C2C"/>
    <w:rsid w:val="00B367AC"/>
    <w:rsid w:val="00B36BF5"/>
    <w:rsid w:val="00B37CA7"/>
    <w:rsid w:val="00B4133B"/>
    <w:rsid w:val="00B44DB9"/>
    <w:rsid w:val="00B51724"/>
    <w:rsid w:val="00B52622"/>
    <w:rsid w:val="00B558A2"/>
    <w:rsid w:val="00B577E4"/>
    <w:rsid w:val="00B61493"/>
    <w:rsid w:val="00B718FE"/>
    <w:rsid w:val="00B7462A"/>
    <w:rsid w:val="00B7611F"/>
    <w:rsid w:val="00B76D30"/>
    <w:rsid w:val="00B820CC"/>
    <w:rsid w:val="00B849E6"/>
    <w:rsid w:val="00B87B59"/>
    <w:rsid w:val="00B90462"/>
    <w:rsid w:val="00B93481"/>
    <w:rsid w:val="00B93CD7"/>
    <w:rsid w:val="00BA027B"/>
    <w:rsid w:val="00BA09B6"/>
    <w:rsid w:val="00BA2713"/>
    <w:rsid w:val="00BA3CCE"/>
    <w:rsid w:val="00BA4BCF"/>
    <w:rsid w:val="00BA5F79"/>
    <w:rsid w:val="00BB0179"/>
    <w:rsid w:val="00BB42E4"/>
    <w:rsid w:val="00BB5167"/>
    <w:rsid w:val="00BB72FF"/>
    <w:rsid w:val="00BC42F5"/>
    <w:rsid w:val="00BC7AA3"/>
    <w:rsid w:val="00BD2E16"/>
    <w:rsid w:val="00BE02EB"/>
    <w:rsid w:val="00BE5A43"/>
    <w:rsid w:val="00BE6FB0"/>
    <w:rsid w:val="00BF029B"/>
    <w:rsid w:val="00BF1119"/>
    <w:rsid w:val="00BF4B3F"/>
    <w:rsid w:val="00BF75F5"/>
    <w:rsid w:val="00BF7BCC"/>
    <w:rsid w:val="00C01F02"/>
    <w:rsid w:val="00C028F5"/>
    <w:rsid w:val="00C02A81"/>
    <w:rsid w:val="00C0522A"/>
    <w:rsid w:val="00C052B4"/>
    <w:rsid w:val="00C0591E"/>
    <w:rsid w:val="00C07C87"/>
    <w:rsid w:val="00C13026"/>
    <w:rsid w:val="00C14E46"/>
    <w:rsid w:val="00C170D7"/>
    <w:rsid w:val="00C20FF1"/>
    <w:rsid w:val="00C22F32"/>
    <w:rsid w:val="00C27814"/>
    <w:rsid w:val="00C33A4B"/>
    <w:rsid w:val="00C340C4"/>
    <w:rsid w:val="00C359B4"/>
    <w:rsid w:val="00C40712"/>
    <w:rsid w:val="00C40726"/>
    <w:rsid w:val="00C438A6"/>
    <w:rsid w:val="00C46516"/>
    <w:rsid w:val="00C4696E"/>
    <w:rsid w:val="00C47415"/>
    <w:rsid w:val="00C50ABC"/>
    <w:rsid w:val="00C5564B"/>
    <w:rsid w:val="00C56409"/>
    <w:rsid w:val="00C612DF"/>
    <w:rsid w:val="00C63881"/>
    <w:rsid w:val="00C678A6"/>
    <w:rsid w:val="00C751F8"/>
    <w:rsid w:val="00C7645F"/>
    <w:rsid w:val="00C83748"/>
    <w:rsid w:val="00C84B7B"/>
    <w:rsid w:val="00C8508F"/>
    <w:rsid w:val="00C8574F"/>
    <w:rsid w:val="00C858F5"/>
    <w:rsid w:val="00C9499F"/>
    <w:rsid w:val="00CA0DE2"/>
    <w:rsid w:val="00CA1000"/>
    <w:rsid w:val="00CA351A"/>
    <w:rsid w:val="00CA4D53"/>
    <w:rsid w:val="00CA6BE4"/>
    <w:rsid w:val="00CA6BFD"/>
    <w:rsid w:val="00CA797C"/>
    <w:rsid w:val="00CB420E"/>
    <w:rsid w:val="00CB5209"/>
    <w:rsid w:val="00CB5A53"/>
    <w:rsid w:val="00CC3956"/>
    <w:rsid w:val="00CC6276"/>
    <w:rsid w:val="00CD364C"/>
    <w:rsid w:val="00CD73A1"/>
    <w:rsid w:val="00CE3352"/>
    <w:rsid w:val="00CF1970"/>
    <w:rsid w:val="00CF424E"/>
    <w:rsid w:val="00CF42AB"/>
    <w:rsid w:val="00D05B3B"/>
    <w:rsid w:val="00D10315"/>
    <w:rsid w:val="00D1131A"/>
    <w:rsid w:val="00D14010"/>
    <w:rsid w:val="00D14338"/>
    <w:rsid w:val="00D143B9"/>
    <w:rsid w:val="00D1497C"/>
    <w:rsid w:val="00D20CBD"/>
    <w:rsid w:val="00D22637"/>
    <w:rsid w:val="00D248FA"/>
    <w:rsid w:val="00D25045"/>
    <w:rsid w:val="00D33C10"/>
    <w:rsid w:val="00D360A9"/>
    <w:rsid w:val="00D372F7"/>
    <w:rsid w:val="00D43741"/>
    <w:rsid w:val="00D47514"/>
    <w:rsid w:val="00D47C81"/>
    <w:rsid w:val="00D51A27"/>
    <w:rsid w:val="00D536D6"/>
    <w:rsid w:val="00D55245"/>
    <w:rsid w:val="00D631EF"/>
    <w:rsid w:val="00D63F97"/>
    <w:rsid w:val="00D6484A"/>
    <w:rsid w:val="00D65C40"/>
    <w:rsid w:val="00D675FD"/>
    <w:rsid w:val="00D71184"/>
    <w:rsid w:val="00D71E56"/>
    <w:rsid w:val="00D766FE"/>
    <w:rsid w:val="00D76A68"/>
    <w:rsid w:val="00D813FB"/>
    <w:rsid w:val="00D81755"/>
    <w:rsid w:val="00D818B6"/>
    <w:rsid w:val="00D84DAE"/>
    <w:rsid w:val="00D85D20"/>
    <w:rsid w:val="00D869A6"/>
    <w:rsid w:val="00D94B72"/>
    <w:rsid w:val="00D95D32"/>
    <w:rsid w:val="00D9620A"/>
    <w:rsid w:val="00D966EC"/>
    <w:rsid w:val="00D973D0"/>
    <w:rsid w:val="00DA0713"/>
    <w:rsid w:val="00DA2686"/>
    <w:rsid w:val="00DA36ED"/>
    <w:rsid w:val="00DA6EAA"/>
    <w:rsid w:val="00DB2C0F"/>
    <w:rsid w:val="00DC23E9"/>
    <w:rsid w:val="00DC3D69"/>
    <w:rsid w:val="00DC3DE1"/>
    <w:rsid w:val="00DC5547"/>
    <w:rsid w:val="00DC736E"/>
    <w:rsid w:val="00DD1DA8"/>
    <w:rsid w:val="00DD2566"/>
    <w:rsid w:val="00DE2951"/>
    <w:rsid w:val="00DE449C"/>
    <w:rsid w:val="00DE7B70"/>
    <w:rsid w:val="00DF25B5"/>
    <w:rsid w:val="00DF4D74"/>
    <w:rsid w:val="00DF672A"/>
    <w:rsid w:val="00E015B7"/>
    <w:rsid w:val="00E0161E"/>
    <w:rsid w:val="00E0182F"/>
    <w:rsid w:val="00E01A04"/>
    <w:rsid w:val="00E07BA9"/>
    <w:rsid w:val="00E172CF"/>
    <w:rsid w:val="00E17F52"/>
    <w:rsid w:val="00E20268"/>
    <w:rsid w:val="00E21B95"/>
    <w:rsid w:val="00E21BF0"/>
    <w:rsid w:val="00E21D4E"/>
    <w:rsid w:val="00E228D0"/>
    <w:rsid w:val="00E269CA"/>
    <w:rsid w:val="00E27FDB"/>
    <w:rsid w:val="00E31882"/>
    <w:rsid w:val="00E32BC0"/>
    <w:rsid w:val="00E37D7F"/>
    <w:rsid w:val="00E42B8B"/>
    <w:rsid w:val="00E43700"/>
    <w:rsid w:val="00E43A29"/>
    <w:rsid w:val="00E4559C"/>
    <w:rsid w:val="00E4599F"/>
    <w:rsid w:val="00E4624F"/>
    <w:rsid w:val="00E4744F"/>
    <w:rsid w:val="00E50910"/>
    <w:rsid w:val="00E50DE2"/>
    <w:rsid w:val="00E52858"/>
    <w:rsid w:val="00E53195"/>
    <w:rsid w:val="00E564E1"/>
    <w:rsid w:val="00E601CF"/>
    <w:rsid w:val="00E6135E"/>
    <w:rsid w:val="00E62DB6"/>
    <w:rsid w:val="00E6374C"/>
    <w:rsid w:val="00E647A7"/>
    <w:rsid w:val="00E66462"/>
    <w:rsid w:val="00E66519"/>
    <w:rsid w:val="00E67496"/>
    <w:rsid w:val="00E72EE2"/>
    <w:rsid w:val="00E77400"/>
    <w:rsid w:val="00E80C3D"/>
    <w:rsid w:val="00E82D00"/>
    <w:rsid w:val="00E834D7"/>
    <w:rsid w:val="00E83CAE"/>
    <w:rsid w:val="00E83D55"/>
    <w:rsid w:val="00E873E7"/>
    <w:rsid w:val="00E940E8"/>
    <w:rsid w:val="00E95DC1"/>
    <w:rsid w:val="00E96AD7"/>
    <w:rsid w:val="00EA2AFF"/>
    <w:rsid w:val="00EA3823"/>
    <w:rsid w:val="00EA4D22"/>
    <w:rsid w:val="00EA7DAA"/>
    <w:rsid w:val="00EB13F3"/>
    <w:rsid w:val="00EB187E"/>
    <w:rsid w:val="00EB709D"/>
    <w:rsid w:val="00EB79FA"/>
    <w:rsid w:val="00EB7D51"/>
    <w:rsid w:val="00EB7F34"/>
    <w:rsid w:val="00EC1747"/>
    <w:rsid w:val="00EC2B96"/>
    <w:rsid w:val="00EC69F4"/>
    <w:rsid w:val="00EC7960"/>
    <w:rsid w:val="00ED376D"/>
    <w:rsid w:val="00ED7367"/>
    <w:rsid w:val="00ED7392"/>
    <w:rsid w:val="00EE0658"/>
    <w:rsid w:val="00EE087D"/>
    <w:rsid w:val="00EE0ED1"/>
    <w:rsid w:val="00EE24CB"/>
    <w:rsid w:val="00EE4204"/>
    <w:rsid w:val="00EF5A16"/>
    <w:rsid w:val="00EF5F2D"/>
    <w:rsid w:val="00EF7EF3"/>
    <w:rsid w:val="00F00C47"/>
    <w:rsid w:val="00F03D21"/>
    <w:rsid w:val="00F10707"/>
    <w:rsid w:val="00F14113"/>
    <w:rsid w:val="00F153F4"/>
    <w:rsid w:val="00F15E6E"/>
    <w:rsid w:val="00F20D1E"/>
    <w:rsid w:val="00F21B13"/>
    <w:rsid w:val="00F24A68"/>
    <w:rsid w:val="00F25720"/>
    <w:rsid w:val="00F262D0"/>
    <w:rsid w:val="00F27E71"/>
    <w:rsid w:val="00F32227"/>
    <w:rsid w:val="00F36DBD"/>
    <w:rsid w:val="00F370CE"/>
    <w:rsid w:val="00F377A9"/>
    <w:rsid w:val="00F41C2B"/>
    <w:rsid w:val="00F44C41"/>
    <w:rsid w:val="00F47F4D"/>
    <w:rsid w:val="00F5784C"/>
    <w:rsid w:val="00F60F61"/>
    <w:rsid w:val="00F6189A"/>
    <w:rsid w:val="00F6219B"/>
    <w:rsid w:val="00F62D76"/>
    <w:rsid w:val="00F63E2B"/>
    <w:rsid w:val="00F64D6F"/>
    <w:rsid w:val="00F64E8F"/>
    <w:rsid w:val="00F70160"/>
    <w:rsid w:val="00F71860"/>
    <w:rsid w:val="00F72D89"/>
    <w:rsid w:val="00F75DBA"/>
    <w:rsid w:val="00F772B3"/>
    <w:rsid w:val="00F81A47"/>
    <w:rsid w:val="00F82701"/>
    <w:rsid w:val="00F83EBD"/>
    <w:rsid w:val="00F84630"/>
    <w:rsid w:val="00F85BA7"/>
    <w:rsid w:val="00F864A6"/>
    <w:rsid w:val="00F87555"/>
    <w:rsid w:val="00F92201"/>
    <w:rsid w:val="00F97077"/>
    <w:rsid w:val="00FA1BDF"/>
    <w:rsid w:val="00FA35F9"/>
    <w:rsid w:val="00FA5C16"/>
    <w:rsid w:val="00FA6EE9"/>
    <w:rsid w:val="00FA6F93"/>
    <w:rsid w:val="00FB0B7B"/>
    <w:rsid w:val="00FB21C2"/>
    <w:rsid w:val="00FB47DF"/>
    <w:rsid w:val="00FB5509"/>
    <w:rsid w:val="00FC1D45"/>
    <w:rsid w:val="00FC380D"/>
    <w:rsid w:val="00FC589E"/>
    <w:rsid w:val="00FC6A54"/>
    <w:rsid w:val="00FC6DA5"/>
    <w:rsid w:val="00FD354D"/>
    <w:rsid w:val="00FD4CAB"/>
    <w:rsid w:val="00FD6AC6"/>
    <w:rsid w:val="00FD7D9D"/>
    <w:rsid w:val="00FE10FF"/>
    <w:rsid w:val="00FE1B92"/>
    <w:rsid w:val="00FF2130"/>
    <w:rsid w:val="03C78E8C"/>
    <w:rsid w:val="05977A30"/>
    <w:rsid w:val="07A5E744"/>
    <w:rsid w:val="0941B7A5"/>
    <w:rsid w:val="09ABB342"/>
    <w:rsid w:val="0AB124E2"/>
    <w:rsid w:val="0B08F2EC"/>
    <w:rsid w:val="0DFA0928"/>
    <w:rsid w:val="0F3E6E3B"/>
    <w:rsid w:val="0FC33BB2"/>
    <w:rsid w:val="11347669"/>
    <w:rsid w:val="125BAB43"/>
    <w:rsid w:val="1274E41E"/>
    <w:rsid w:val="13E4EC74"/>
    <w:rsid w:val="140794F3"/>
    <w:rsid w:val="1823D8BB"/>
    <w:rsid w:val="18AF213F"/>
    <w:rsid w:val="1A3C5BC9"/>
    <w:rsid w:val="1B837705"/>
    <w:rsid w:val="2495D351"/>
    <w:rsid w:val="281F60A8"/>
    <w:rsid w:val="2F4F308D"/>
    <w:rsid w:val="30839356"/>
    <w:rsid w:val="31F9DB66"/>
    <w:rsid w:val="342C69C4"/>
    <w:rsid w:val="34FF992B"/>
    <w:rsid w:val="3581F3E0"/>
    <w:rsid w:val="35D8E33D"/>
    <w:rsid w:val="35F46000"/>
    <w:rsid w:val="388E4094"/>
    <w:rsid w:val="3B1E388F"/>
    <w:rsid w:val="3C4EE9EB"/>
    <w:rsid w:val="3E0E2B6E"/>
    <w:rsid w:val="3F4C5ECB"/>
    <w:rsid w:val="418D7A13"/>
    <w:rsid w:val="42C794BB"/>
    <w:rsid w:val="44502E8B"/>
    <w:rsid w:val="4510DBFA"/>
    <w:rsid w:val="4660EB36"/>
    <w:rsid w:val="47489D56"/>
    <w:rsid w:val="47D78362"/>
    <w:rsid w:val="48932647"/>
    <w:rsid w:val="48FE3134"/>
    <w:rsid w:val="49370910"/>
    <w:rsid w:val="4A6C044C"/>
    <w:rsid w:val="4B614F43"/>
    <w:rsid w:val="4ED04E01"/>
    <w:rsid w:val="4FE1FDCF"/>
    <w:rsid w:val="54517438"/>
    <w:rsid w:val="55CF0192"/>
    <w:rsid w:val="56DFFDCD"/>
    <w:rsid w:val="56FFBF95"/>
    <w:rsid w:val="581ACCE7"/>
    <w:rsid w:val="59822BE7"/>
    <w:rsid w:val="59B69D48"/>
    <w:rsid w:val="5A9E4F68"/>
    <w:rsid w:val="5DB753B0"/>
    <w:rsid w:val="5F5EE68A"/>
    <w:rsid w:val="608EF29A"/>
    <w:rsid w:val="621C9218"/>
    <w:rsid w:val="63714A1B"/>
    <w:rsid w:val="63AB3A30"/>
    <w:rsid w:val="647E71D9"/>
    <w:rsid w:val="660DD520"/>
    <w:rsid w:val="6DBFCC11"/>
    <w:rsid w:val="6F7002B4"/>
    <w:rsid w:val="6FADB630"/>
    <w:rsid w:val="6FDF2671"/>
    <w:rsid w:val="6FE111DA"/>
    <w:rsid w:val="710D8941"/>
    <w:rsid w:val="7279C3DF"/>
    <w:rsid w:val="72DFCFB6"/>
    <w:rsid w:val="747B30D8"/>
    <w:rsid w:val="74D56532"/>
    <w:rsid w:val="75D0E5F2"/>
    <w:rsid w:val="765D60FA"/>
    <w:rsid w:val="77B2D19A"/>
    <w:rsid w:val="77B340D9"/>
    <w:rsid w:val="7A433294"/>
    <w:rsid w:val="7E08EAC1"/>
    <w:rsid w:val="7E10515C"/>
    <w:rsid w:val="7F27F061"/>
    <w:rsid w:val="7FCCBF8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3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DB"/>
    <w:pPr>
      <w:spacing w:before="160"/>
      <w:jc w:val="both"/>
    </w:pPr>
    <w:rPr>
      <w:rFonts w:ascii="EYInterstate Light" w:hAnsi="EYInterstate Light"/>
    </w:rPr>
  </w:style>
  <w:style w:type="paragraph" w:styleId="Heading1">
    <w:name w:val="heading 1"/>
    <w:basedOn w:val="Normal"/>
    <w:next w:val="Normal"/>
    <w:link w:val="Heading1Char"/>
    <w:uiPriority w:val="9"/>
    <w:qFormat/>
    <w:rsid w:val="00DD1DA8"/>
    <w:pPr>
      <w:keepNext/>
      <w:keepLines/>
      <w:spacing w:before="360" w:after="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B72"/>
    <w:pPr>
      <w:ind w:left="720"/>
      <w:contextualSpacing/>
    </w:pPr>
  </w:style>
  <w:style w:type="character" w:styleId="CommentReference">
    <w:name w:val="annotation reference"/>
    <w:basedOn w:val="DefaultParagraphFont"/>
    <w:uiPriority w:val="99"/>
    <w:semiHidden/>
    <w:unhideWhenUsed/>
    <w:rsid w:val="00E07BA9"/>
    <w:rPr>
      <w:sz w:val="16"/>
      <w:szCs w:val="16"/>
    </w:rPr>
  </w:style>
  <w:style w:type="paragraph" w:styleId="CommentText">
    <w:name w:val="annotation text"/>
    <w:basedOn w:val="Normal"/>
    <w:link w:val="CommentTextChar"/>
    <w:uiPriority w:val="99"/>
    <w:unhideWhenUsed/>
    <w:rsid w:val="00E07BA9"/>
    <w:pPr>
      <w:spacing w:line="240" w:lineRule="auto"/>
    </w:pPr>
    <w:rPr>
      <w:sz w:val="20"/>
      <w:szCs w:val="20"/>
    </w:rPr>
  </w:style>
  <w:style w:type="character" w:customStyle="1" w:styleId="CommentTextChar">
    <w:name w:val="Comment Text Char"/>
    <w:basedOn w:val="DefaultParagraphFont"/>
    <w:link w:val="CommentText"/>
    <w:uiPriority w:val="99"/>
    <w:rsid w:val="00E07BA9"/>
    <w:rPr>
      <w:sz w:val="20"/>
      <w:szCs w:val="20"/>
    </w:rPr>
  </w:style>
  <w:style w:type="paragraph" w:styleId="CommentSubject">
    <w:name w:val="annotation subject"/>
    <w:basedOn w:val="CommentText"/>
    <w:next w:val="CommentText"/>
    <w:link w:val="CommentSubjectChar"/>
    <w:uiPriority w:val="99"/>
    <w:semiHidden/>
    <w:unhideWhenUsed/>
    <w:rsid w:val="00E07BA9"/>
    <w:rPr>
      <w:b/>
      <w:bCs/>
    </w:rPr>
  </w:style>
  <w:style w:type="character" w:customStyle="1" w:styleId="CommentSubjectChar">
    <w:name w:val="Comment Subject Char"/>
    <w:basedOn w:val="CommentTextChar"/>
    <w:link w:val="CommentSubject"/>
    <w:uiPriority w:val="99"/>
    <w:semiHidden/>
    <w:rsid w:val="00E07BA9"/>
    <w:rPr>
      <w:b/>
      <w:bCs/>
      <w:sz w:val="20"/>
      <w:szCs w:val="20"/>
    </w:rPr>
  </w:style>
  <w:style w:type="character" w:styleId="Hyperlink">
    <w:name w:val="Hyperlink"/>
    <w:basedOn w:val="DefaultParagraphFont"/>
    <w:uiPriority w:val="99"/>
    <w:unhideWhenUsed/>
    <w:rsid w:val="004D7DA5"/>
    <w:rPr>
      <w:color w:val="0000FF"/>
      <w:u w:val="single"/>
    </w:rPr>
  </w:style>
  <w:style w:type="character" w:customStyle="1" w:styleId="UnresolvedMention">
    <w:name w:val="Unresolved Mention"/>
    <w:basedOn w:val="DefaultParagraphFont"/>
    <w:uiPriority w:val="99"/>
    <w:unhideWhenUsed/>
    <w:rsid w:val="0065143F"/>
    <w:rPr>
      <w:color w:val="605E5C"/>
      <w:shd w:val="clear" w:color="auto" w:fill="E1DFDD"/>
    </w:rPr>
  </w:style>
  <w:style w:type="character" w:styleId="FollowedHyperlink">
    <w:name w:val="FollowedHyperlink"/>
    <w:basedOn w:val="DefaultParagraphFont"/>
    <w:uiPriority w:val="99"/>
    <w:semiHidden/>
    <w:unhideWhenUsed/>
    <w:rsid w:val="00BF1119"/>
    <w:rPr>
      <w:color w:val="954F72" w:themeColor="followedHyperlink"/>
      <w:u w:val="single"/>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214D26"/>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qFormat/>
    <w:rsid w:val="00214D26"/>
    <w:rPr>
      <w:rFonts w:ascii="EYInterstate Light" w:hAnsi="EYInterstate Light"/>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214D26"/>
    <w:rPr>
      <w:vertAlign w:val="superscript"/>
    </w:rPr>
  </w:style>
  <w:style w:type="character" w:styleId="SubtleReference">
    <w:name w:val="Subtle Reference"/>
    <w:basedOn w:val="DefaultParagraphFont"/>
    <w:uiPriority w:val="31"/>
    <w:qFormat/>
    <w:rsid w:val="00214D26"/>
    <w:rPr>
      <w:smallCaps/>
      <w:color w:val="5A5A5A" w:themeColor="text1" w:themeTint="A5"/>
    </w:rPr>
  </w:style>
  <w:style w:type="character" w:customStyle="1" w:styleId="Heading1Char">
    <w:name w:val="Heading 1 Char"/>
    <w:basedOn w:val="DefaultParagraphFont"/>
    <w:link w:val="Heading1"/>
    <w:uiPriority w:val="9"/>
    <w:rsid w:val="00DD1DA8"/>
    <w:rPr>
      <w:rFonts w:ascii="EYInterstate Light" w:eastAsiaTheme="majorEastAsia" w:hAnsi="EYInterstate Light" w:cstheme="majorBidi"/>
      <w:b/>
      <w:sz w:val="28"/>
      <w:szCs w:val="32"/>
    </w:rPr>
  </w:style>
  <w:style w:type="paragraph" w:styleId="Header">
    <w:name w:val="header"/>
    <w:basedOn w:val="Normal"/>
    <w:link w:val="HeaderChar"/>
    <w:uiPriority w:val="99"/>
    <w:unhideWhenUsed/>
    <w:rsid w:val="00DD1DA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D1DA8"/>
    <w:rPr>
      <w:rFonts w:ascii="EYInterstate Light" w:hAnsi="EYInterstate Light"/>
    </w:rPr>
  </w:style>
  <w:style w:type="paragraph" w:styleId="Footer">
    <w:name w:val="footer"/>
    <w:basedOn w:val="Normal"/>
    <w:link w:val="FooterChar"/>
    <w:uiPriority w:val="99"/>
    <w:unhideWhenUsed/>
    <w:rsid w:val="00DD1DA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D1DA8"/>
    <w:rPr>
      <w:rFonts w:ascii="EYInterstate Light" w:hAnsi="EYInterstate Light"/>
    </w:rPr>
  </w:style>
  <w:style w:type="table" w:styleId="TableGrid">
    <w:name w:val="Table Grid"/>
    <w:basedOn w:val="TableNormal"/>
    <w:uiPriority w:val="39"/>
    <w:rsid w:val="00E8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4F6458"/>
    <w:rPr>
      <w:color w:val="2B579A"/>
      <w:shd w:val="clear" w:color="auto" w:fill="E1DFDD"/>
    </w:rPr>
  </w:style>
  <w:style w:type="paragraph" w:styleId="Revision">
    <w:name w:val="Revision"/>
    <w:hidden/>
    <w:uiPriority w:val="99"/>
    <w:semiHidden/>
    <w:rsid w:val="006233B5"/>
    <w:pPr>
      <w:spacing w:after="0" w:line="240" w:lineRule="auto"/>
    </w:pPr>
    <w:rPr>
      <w:rFonts w:ascii="EYInterstate Light" w:hAnsi="EYInterstate Ligh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A5301"/>
    <w:pPr>
      <w:spacing w:before="120" w:line="240" w:lineRule="exact"/>
    </w:pPr>
    <w:rPr>
      <w:rFonts w:asciiTheme="minorHAnsi" w:hAnsiTheme="minorHAnsi"/>
      <w:vertAlign w:val="superscript"/>
    </w:rPr>
  </w:style>
  <w:style w:type="paragraph" w:styleId="TOCHeading">
    <w:name w:val="TOC Heading"/>
    <w:basedOn w:val="Heading1"/>
    <w:next w:val="Normal"/>
    <w:uiPriority w:val="39"/>
    <w:unhideWhenUsed/>
    <w:qFormat/>
    <w:rsid w:val="005D5AE9"/>
    <w:pPr>
      <w:spacing w:before="240" w:after="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D5AE9"/>
    <w:pPr>
      <w:spacing w:after="100"/>
    </w:pPr>
  </w:style>
  <w:style w:type="paragraph" w:styleId="Caption">
    <w:name w:val="caption"/>
    <w:basedOn w:val="Normal"/>
    <w:next w:val="Normal"/>
    <w:uiPriority w:val="35"/>
    <w:unhideWhenUsed/>
    <w:qFormat/>
    <w:rsid w:val="0048072D"/>
    <w:pPr>
      <w:spacing w:before="0"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87E87"/>
    <w:pPr>
      <w:spacing w:after="0"/>
    </w:pPr>
  </w:style>
  <w:style w:type="paragraph" w:styleId="BalloonText">
    <w:name w:val="Balloon Text"/>
    <w:basedOn w:val="Normal"/>
    <w:link w:val="BalloonTextChar"/>
    <w:uiPriority w:val="99"/>
    <w:semiHidden/>
    <w:unhideWhenUsed/>
    <w:rsid w:val="00FB0B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18002">
      <w:bodyDiv w:val="1"/>
      <w:marLeft w:val="0"/>
      <w:marRight w:val="0"/>
      <w:marTop w:val="0"/>
      <w:marBottom w:val="0"/>
      <w:divBdr>
        <w:top w:val="none" w:sz="0" w:space="0" w:color="auto"/>
        <w:left w:val="none" w:sz="0" w:space="0" w:color="auto"/>
        <w:bottom w:val="none" w:sz="0" w:space="0" w:color="auto"/>
        <w:right w:val="none" w:sz="0" w:space="0" w:color="auto"/>
      </w:divBdr>
    </w:div>
    <w:div w:id="2050571256">
      <w:bodyDiv w:val="1"/>
      <w:marLeft w:val="0"/>
      <w:marRight w:val="0"/>
      <w:marTop w:val="0"/>
      <w:marBottom w:val="0"/>
      <w:divBdr>
        <w:top w:val="none" w:sz="0" w:space="0" w:color="auto"/>
        <w:left w:val="none" w:sz="0" w:space="0" w:color="auto"/>
        <w:bottom w:val="none" w:sz="0" w:space="0" w:color="auto"/>
        <w:right w:val="none" w:sz="0" w:space="0" w:color="auto"/>
      </w:divBdr>
    </w:div>
    <w:div w:id="2099910801">
      <w:bodyDiv w:val="1"/>
      <w:marLeft w:val="0"/>
      <w:marRight w:val="0"/>
      <w:marTop w:val="0"/>
      <w:marBottom w:val="0"/>
      <w:divBdr>
        <w:top w:val="none" w:sz="0" w:space="0" w:color="auto"/>
        <w:left w:val="none" w:sz="0" w:space="0" w:color="auto"/>
        <w:bottom w:val="none" w:sz="0" w:space="0" w:color="auto"/>
        <w:right w:val="none" w:sz="0" w:space="0" w:color="auto"/>
      </w:divBdr>
    </w:div>
    <w:div w:id="21352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giscloud.com/Karta_JS/Karta_javno_savjetovanj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o@mmp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qgiscloud.com/Karta_JS/Karta_javno_savjetovanj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avjetovanja.gov.hr/ECon/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DF0E-9953-4B34-A204-B8A71A02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14987</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2023-04-03T09:02:00Z</dcterms:created>
  <dcterms:modified xsi:type="dcterms:W3CDTF">2023-04-26T10:45:00Z</dcterms:modified>
</cp:coreProperties>
</file>