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55680" w:rsidRPr="0097347E" w:rsidTr="00AF6E53">
        <w:tc>
          <w:tcPr>
            <w:tcW w:w="9923" w:type="dxa"/>
            <w:gridSpan w:val="4"/>
            <w:shd w:val="clear" w:color="auto" w:fill="auto"/>
          </w:tcPr>
          <w:p w:rsidR="00055680" w:rsidRPr="0097347E" w:rsidRDefault="00055680" w:rsidP="00EF4A24">
            <w:pPr>
              <w:jc w:val="center"/>
              <w:rPr>
                <w:b/>
              </w:rPr>
            </w:pPr>
            <w:r w:rsidRPr="0097347E">
              <w:rPr>
                <w:b/>
              </w:rPr>
              <w:t>PRILOG 4.</w:t>
            </w:r>
          </w:p>
          <w:p w:rsidR="00055680" w:rsidRPr="0097347E" w:rsidRDefault="00055680" w:rsidP="00EF4A24">
            <w:pPr>
              <w:jc w:val="center"/>
              <w:rPr>
                <w:b/>
              </w:rPr>
            </w:pPr>
            <w:r w:rsidRPr="0097347E">
              <w:rPr>
                <w:b/>
              </w:rPr>
              <w:t>OBRAZAC ISKAZA O PROCJENI UČINAKA PROPISA</w:t>
            </w:r>
          </w:p>
        </w:tc>
      </w:tr>
      <w:tr w:rsidR="00055680" w:rsidRPr="0097347E" w:rsidTr="00AF6E53">
        <w:tc>
          <w:tcPr>
            <w:tcW w:w="851" w:type="dxa"/>
          </w:tcPr>
          <w:p w:rsidR="00055680" w:rsidRPr="0097347E" w:rsidRDefault="00055680" w:rsidP="00EF4A24">
            <w:pPr>
              <w:rPr>
                <w:b/>
              </w:rPr>
            </w:pPr>
            <w:r w:rsidRPr="0097347E">
              <w:rPr>
                <w:b/>
              </w:rPr>
              <w:t>1.</w:t>
            </w:r>
          </w:p>
        </w:tc>
        <w:tc>
          <w:tcPr>
            <w:tcW w:w="9072" w:type="dxa"/>
            <w:gridSpan w:val="3"/>
          </w:tcPr>
          <w:p w:rsidR="00055680" w:rsidRPr="0097347E" w:rsidRDefault="00055680" w:rsidP="00EF4A24">
            <w:pPr>
              <w:rPr>
                <w:b/>
              </w:rPr>
            </w:pPr>
            <w:r w:rsidRPr="0097347E">
              <w:rPr>
                <w:b/>
              </w:rPr>
              <w:t>OPĆE INFORMACIJE</w:t>
            </w:r>
          </w:p>
        </w:tc>
      </w:tr>
      <w:tr w:rsidR="00055680" w:rsidRPr="0097347E" w:rsidTr="00EF4A24">
        <w:tc>
          <w:tcPr>
            <w:tcW w:w="851" w:type="dxa"/>
          </w:tcPr>
          <w:p w:rsidR="00055680" w:rsidRPr="0097347E" w:rsidRDefault="00055680" w:rsidP="00EF4A24">
            <w:r w:rsidRPr="0097347E">
              <w:t>1.1.</w:t>
            </w:r>
          </w:p>
        </w:tc>
        <w:tc>
          <w:tcPr>
            <w:tcW w:w="2698" w:type="dxa"/>
          </w:tcPr>
          <w:p w:rsidR="00055680" w:rsidRPr="0097347E" w:rsidRDefault="00055680" w:rsidP="003B55AB">
            <w:r w:rsidRPr="0097347E">
              <w:t>Naziv nacrta prijedloga zakona:</w:t>
            </w:r>
            <w:r w:rsidR="00AF6E53">
              <w:t xml:space="preserve"> </w:t>
            </w:r>
          </w:p>
        </w:tc>
        <w:tc>
          <w:tcPr>
            <w:tcW w:w="6374" w:type="dxa"/>
            <w:gridSpan w:val="2"/>
            <w:shd w:val="clear" w:color="auto" w:fill="auto"/>
          </w:tcPr>
          <w:p w:rsidR="00055680" w:rsidRPr="0097347E" w:rsidRDefault="003B55AB" w:rsidP="00B92045">
            <w:r w:rsidRPr="003B55AB">
              <w:t xml:space="preserve">Zakon o </w:t>
            </w:r>
            <w:r w:rsidR="00B92045">
              <w:t>ublažavanju i uklanjanju posljedica prirodnih nepogoda</w:t>
            </w:r>
            <w:bookmarkStart w:id="0" w:name="_GoBack"/>
            <w:bookmarkEnd w:id="0"/>
          </w:p>
        </w:tc>
      </w:tr>
      <w:tr w:rsidR="00055680" w:rsidRPr="0097347E" w:rsidTr="00EF4A24">
        <w:tc>
          <w:tcPr>
            <w:tcW w:w="851" w:type="dxa"/>
          </w:tcPr>
          <w:p w:rsidR="00055680" w:rsidRPr="0097347E" w:rsidRDefault="00055680" w:rsidP="00EF4A24">
            <w:r w:rsidRPr="0097347E">
              <w:t>1.2.</w:t>
            </w:r>
          </w:p>
        </w:tc>
        <w:tc>
          <w:tcPr>
            <w:tcW w:w="2698" w:type="dxa"/>
          </w:tcPr>
          <w:p w:rsidR="00055680" w:rsidRPr="0097347E" w:rsidRDefault="00055680" w:rsidP="00EF4A24">
            <w:r w:rsidRPr="0097347E">
              <w:t>Program rada Vlade Republike Hrvatske, akt planiranja ili reformska mjera:</w:t>
            </w:r>
          </w:p>
        </w:tc>
        <w:tc>
          <w:tcPr>
            <w:tcW w:w="988" w:type="dxa"/>
            <w:shd w:val="clear" w:color="auto" w:fill="auto"/>
          </w:tcPr>
          <w:p w:rsidR="00055680" w:rsidRPr="0097347E" w:rsidRDefault="00055680" w:rsidP="00EF4A24">
            <w:r w:rsidRPr="0097347E">
              <w:t>Da/Ne:</w:t>
            </w:r>
          </w:p>
          <w:p w:rsidR="00055680" w:rsidRPr="0097347E" w:rsidRDefault="003B55AB" w:rsidP="00EF4A24">
            <w:r>
              <w:t>NE</w:t>
            </w:r>
          </w:p>
        </w:tc>
        <w:tc>
          <w:tcPr>
            <w:tcW w:w="5386" w:type="dxa"/>
            <w:shd w:val="clear" w:color="auto" w:fill="auto"/>
          </w:tcPr>
          <w:p w:rsidR="00055680" w:rsidRPr="0097347E" w:rsidRDefault="00055680" w:rsidP="00EF4A24">
            <w:r w:rsidRPr="0097347E">
              <w:t>Naziv akta:</w:t>
            </w:r>
          </w:p>
          <w:p w:rsidR="00055680" w:rsidRPr="0097347E" w:rsidRDefault="00055680" w:rsidP="00EF4A24"/>
          <w:p w:rsidR="00055680" w:rsidRPr="0097347E" w:rsidRDefault="00055680" w:rsidP="00EF4A24">
            <w:r w:rsidRPr="0097347E">
              <w:t>Opis mjere:</w:t>
            </w:r>
          </w:p>
        </w:tc>
      </w:tr>
      <w:tr w:rsidR="00055680" w:rsidRPr="0097347E" w:rsidTr="00EF4A24">
        <w:tc>
          <w:tcPr>
            <w:tcW w:w="851" w:type="dxa"/>
          </w:tcPr>
          <w:p w:rsidR="00055680" w:rsidRPr="0097347E" w:rsidRDefault="00055680" w:rsidP="00EF4A24">
            <w:r w:rsidRPr="0097347E">
              <w:t>1.3.</w:t>
            </w:r>
          </w:p>
        </w:tc>
        <w:tc>
          <w:tcPr>
            <w:tcW w:w="2698" w:type="dxa"/>
          </w:tcPr>
          <w:p w:rsidR="00055680" w:rsidRPr="0097347E" w:rsidRDefault="00055680" w:rsidP="00EF4A24">
            <w:r w:rsidRPr="0097347E">
              <w:t>Plan usklađivanja zakonodavstva Republike Hrvatske s pravnom stečevinom Europske unije</w:t>
            </w:r>
          </w:p>
        </w:tc>
        <w:tc>
          <w:tcPr>
            <w:tcW w:w="988" w:type="dxa"/>
            <w:shd w:val="clear" w:color="auto" w:fill="auto"/>
          </w:tcPr>
          <w:p w:rsidR="00055680" w:rsidRPr="0097347E" w:rsidRDefault="00055680" w:rsidP="00EF4A24">
            <w:r w:rsidRPr="0097347E">
              <w:t>Da/Ne:</w:t>
            </w:r>
          </w:p>
          <w:p w:rsidR="00055680" w:rsidRPr="0097347E" w:rsidRDefault="003B55AB" w:rsidP="00EF4A24">
            <w:r>
              <w:t>NE</w:t>
            </w:r>
          </w:p>
        </w:tc>
        <w:tc>
          <w:tcPr>
            <w:tcW w:w="5386" w:type="dxa"/>
            <w:shd w:val="clear" w:color="auto" w:fill="auto"/>
          </w:tcPr>
          <w:p w:rsidR="00055680" w:rsidRPr="0097347E" w:rsidRDefault="00055680" w:rsidP="00EF4A24">
            <w:r w:rsidRPr="0097347E">
              <w:t>Naziv pravne stečevine EU:</w:t>
            </w:r>
          </w:p>
        </w:tc>
      </w:tr>
      <w:tr w:rsidR="00055680" w:rsidRPr="0097347E" w:rsidTr="00AF6E53">
        <w:trPr>
          <w:trHeight w:val="314"/>
        </w:trPr>
        <w:tc>
          <w:tcPr>
            <w:tcW w:w="851" w:type="dxa"/>
          </w:tcPr>
          <w:p w:rsidR="00055680" w:rsidRPr="0097347E" w:rsidRDefault="00055680" w:rsidP="00EF4A24">
            <w:pPr>
              <w:rPr>
                <w:b/>
              </w:rPr>
            </w:pPr>
            <w:r w:rsidRPr="0097347E">
              <w:rPr>
                <w:b/>
              </w:rPr>
              <w:t>2.</w:t>
            </w:r>
          </w:p>
        </w:tc>
        <w:tc>
          <w:tcPr>
            <w:tcW w:w="9072" w:type="dxa"/>
            <w:gridSpan w:val="3"/>
            <w:shd w:val="clear" w:color="auto" w:fill="auto"/>
          </w:tcPr>
          <w:p w:rsidR="00055680" w:rsidRPr="0097347E" w:rsidRDefault="00055680" w:rsidP="00EF4A24">
            <w:pPr>
              <w:rPr>
                <w:b/>
              </w:rPr>
            </w:pPr>
            <w:r w:rsidRPr="0097347E">
              <w:rPr>
                <w:b/>
              </w:rPr>
              <w:t>ANALIZA ISHODA NACRTA PRIJEDLOGA ZAKONA</w:t>
            </w:r>
          </w:p>
        </w:tc>
      </w:tr>
      <w:tr w:rsidR="00055680" w:rsidRPr="0097347E" w:rsidTr="00EF4A24">
        <w:tc>
          <w:tcPr>
            <w:tcW w:w="851" w:type="dxa"/>
          </w:tcPr>
          <w:p w:rsidR="00055680" w:rsidRPr="0097347E" w:rsidRDefault="00055680" w:rsidP="00EF4A24">
            <w:r w:rsidRPr="0097347E">
              <w:t>2.1.</w:t>
            </w:r>
          </w:p>
        </w:tc>
        <w:tc>
          <w:tcPr>
            <w:tcW w:w="9072" w:type="dxa"/>
            <w:gridSpan w:val="3"/>
            <w:shd w:val="clear" w:color="auto" w:fill="auto"/>
          </w:tcPr>
          <w:p w:rsidR="00AF6E53" w:rsidRPr="00AF6E53" w:rsidRDefault="00AF6E53" w:rsidP="00EF4A24">
            <w:pPr>
              <w:jc w:val="both"/>
            </w:pPr>
          </w:p>
          <w:p w:rsidR="00D2618B" w:rsidRPr="00630BDE" w:rsidRDefault="004770A5" w:rsidP="00850050">
            <w:pPr>
              <w:jc w:val="both"/>
            </w:pPr>
            <w:r w:rsidRPr="00630BDE">
              <w:t>Zbog slabe efikasnosti</w:t>
            </w:r>
            <w:r w:rsidR="00DD5191" w:rsidRPr="00630BDE">
              <w:t xml:space="preserve"> postojećeg sustava dodjele pomoći za djelomičnu sanaciju šteta od prirodnih nepogoda, </w:t>
            </w:r>
            <w:r w:rsidRPr="00630BDE">
              <w:t xml:space="preserve">uslijed klimatskih promjena </w:t>
            </w:r>
            <w:r w:rsidR="00DD5191" w:rsidRPr="00630BDE">
              <w:t xml:space="preserve">zbog </w:t>
            </w:r>
            <w:r w:rsidRPr="00630BDE">
              <w:t>kojih</w:t>
            </w:r>
            <w:r w:rsidR="00DD5191" w:rsidRPr="00630BDE">
              <w:t xml:space="preserve"> dolazi do sve većih razmjera šteta, posebice u poljoprivredi, nužna je promjena postojećeg sustava u vidu jasnog određivanja kriterija dodjele pomoći.</w:t>
            </w:r>
            <w:r w:rsidR="00D2618B" w:rsidRPr="00630BDE">
              <w:t xml:space="preserve"> </w:t>
            </w:r>
          </w:p>
          <w:p w:rsidR="004770A5" w:rsidRPr="00630BDE" w:rsidRDefault="004770A5" w:rsidP="00850050">
            <w:pPr>
              <w:jc w:val="both"/>
            </w:pPr>
          </w:p>
          <w:p w:rsidR="00DD5191" w:rsidRPr="00630BDE" w:rsidRDefault="00D2618B" w:rsidP="00850050">
            <w:pPr>
              <w:jc w:val="both"/>
            </w:pPr>
            <w:r w:rsidRPr="00630BDE">
              <w:t xml:space="preserve">Postojeći Zakon o </w:t>
            </w:r>
            <w:r w:rsidR="009967A2">
              <w:t>zaštiti od elementarnih nepogoda</w:t>
            </w:r>
            <w:r w:rsidR="00D04026" w:rsidRPr="00630BDE">
              <w:t xml:space="preserve"> (</w:t>
            </w:r>
            <w:r w:rsidR="001A38FB" w:rsidRPr="00630BDE">
              <w:t>„</w:t>
            </w:r>
            <w:r w:rsidR="00D04026" w:rsidRPr="00630BDE">
              <w:t>Narodne novine</w:t>
            </w:r>
            <w:r w:rsidR="001A38FB" w:rsidRPr="00630BDE">
              <w:t>“,</w:t>
            </w:r>
            <w:r w:rsidR="00D04026" w:rsidRPr="00630BDE">
              <w:t xml:space="preserve"> broj 73/</w:t>
            </w:r>
            <w:r w:rsidR="004770A5" w:rsidRPr="00630BDE">
              <w:t xml:space="preserve">97) </w:t>
            </w:r>
            <w:r w:rsidRPr="00630BDE">
              <w:t xml:space="preserve"> omogućavao je prijavu šteta od prirodnih nepogoda u najvećoj mjeri nastalih na neosigu</w:t>
            </w:r>
            <w:r w:rsidR="00D04026" w:rsidRPr="00630BDE">
              <w:t xml:space="preserve">ranim poljoprivrednim dobrima, </w:t>
            </w:r>
            <w:r w:rsidRPr="00630BDE">
              <w:t xml:space="preserve"> što</w:t>
            </w:r>
            <w:r w:rsidR="004770A5" w:rsidRPr="00630BDE">
              <w:t xml:space="preserve"> često </w:t>
            </w:r>
            <w:r w:rsidRPr="00630BDE">
              <w:t xml:space="preserve"> obuhvaća i male površine i okućnice.</w:t>
            </w:r>
            <w:r w:rsidR="004770A5" w:rsidRPr="00630BDE">
              <w:t xml:space="preserve"> Sukladno navedenom, velik broj </w:t>
            </w:r>
            <w:proofErr w:type="spellStart"/>
            <w:r w:rsidR="004770A5" w:rsidRPr="00630BDE">
              <w:t>oštećenika</w:t>
            </w:r>
            <w:proofErr w:type="spellEnd"/>
            <w:r w:rsidR="004770A5" w:rsidRPr="00630BDE">
              <w:t xml:space="preserve"> prijavljuje</w:t>
            </w:r>
            <w:r w:rsidRPr="00630BDE">
              <w:t xml:space="preserve"> štete na svojoj neosiguranoj imovini,</w:t>
            </w:r>
            <w:r w:rsidR="004770A5" w:rsidRPr="00630BDE">
              <w:t xml:space="preserve"> što rezultira vrlo niskim</w:t>
            </w:r>
            <w:r w:rsidRPr="00630BDE">
              <w:t xml:space="preserve"> iznosi</w:t>
            </w:r>
            <w:r w:rsidR="004770A5" w:rsidRPr="00630BDE">
              <w:t>ma pomoći.</w:t>
            </w:r>
          </w:p>
          <w:p w:rsidR="005F69BB" w:rsidRPr="00630BDE" w:rsidRDefault="005F69BB" w:rsidP="00850050">
            <w:pPr>
              <w:jc w:val="both"/>
            </w:pPr>
          </w:p>
          <w:p w:rsidR="005F69BB" w:rsidRPr="00630BDE" w:rsidRDefault="005F69BB" w:rsidP="00850050">
            <w:pPr>
              <w:jc w:val="both"/>
            </w:pPr>
            <w:r w:rsidRPr="00630BDE">
              <w:t xml:space="preserve">Temeljem navedenog, evidentna je potreba za novim normativnim rješenjem kojim bi se unaprijedio sustav prijava šteta od prirodnih nepogoda na način da bi se definirali izvori sredstava pomoći, kao i kriteriji za dodjelu iste. </w:t>
            </w:r>
          </w:p>
          <w:p w:rsidR="001D4A74" w:rsidRPr="00630BDE" w:rsidRDefault="001D4A74" w:rsidP="00850050">
            <w:pPr>
              <w:jc w:val="both"/>
            </w:pPr>
          </w:p>
          <w:p w:rsidR="001D4A74" w:rsidRPr="00630BDE" w:rsidRDefault="001D4A74" w:rsidP="001D4A74">
            <w:pPr>
              <w:jc w:val="both"/>
            </w:pPr>
            <w:r w:rsidRPr="00630BDE">
              <w:t>Stvaranje jasnog i sustavno primjenjivog pravnog okvira neophodnog za daljnji nastavak održavanja cjelokupnog sustava dodjele pomoći za štete nas</w:t>
            </w:r>
            <w:r w:rsidR="001F1D29" w:rsidRPr="00630BDE">
              <w:t>tale uslijed prirodnih nepogoda</w:t>
            </w:r>
            <w:r w:rsidRPr="00630BDE">
              <w:t xml:space="preserve"> rezultiralo bi </w:t>
            </w:r>
            <w:proofErr w:type="spellStart"/>
            <w:r w:rsidRPr="00630BDE">
              <w:t>transparentnijim</w:t>
            </w:r>
            <w:proofErr w:type="spellEnd"/>
            <w:r w:rsidRPr="00630BDE">
              <w:t xml:space="preserve"> procesom od prijave šteta do dodjele sredstava pomoći s naglaskom na one štete koje prijete ugrozom života i zdravlja</w:t>
            </w:r>
            <w:r w:rsidR="00606210">
              <w:t xml:space="preserve"> stanovništva</w:t>
            </w:r>
            <w:r w:rsidRPr="00630BDE">
              <w:t>.</w:t>
            </w:r>
          </w:p>
          <w:p w:rsidR="00B6170A" w:rsidRPr="00630BDE" w:rsidRDefault="00B6170A" w:rsidP="001D4A74">
            <w:pPr>
              <w:jc w:val="both"/>
            </w:pPr>
          </w:p>
          <w:p w:rsidR="00B6170A" w:rsidRPr="00630BDE" w:rsidRDefault="00B6170A" w:rsidP="001D4A74">
            <w:pPr>
              <w:jc w:val="both"/>
            </w:pPr>
            <w:r w:rsidRPr="00630BDE">
              <w:t>Ciljevi ovog P</w:t>
            </w:r>
            <w:r w:rsidR="00630BDE" w:rsidRPr="00630BDE">
              <w:t>rijedloga zakona usmjereni su prema</w:t>
            </w:r>
            <w:r w:rsidRPr="00630BDE">
              <w:t xml:space="preserve"> efikasnijoj evidenciji svih šteta nastalih uslijed prirodnih nepogoda </w:t>
            </w:r>
            <w:r w:rsidR="001F1D29" w:rsidRPr="00630BDE">
              <w:t>koja bi se vršila na jednome mjestu, putem</w:t>
            </w:r>
            <w:r w:rsidRPr="00630BDE">
              <w:t xml:space="preserve"> aplikativno</w:t>
            </w:r>
            <w:r w:rsidR="001F1D29" w:rsidRPr="00630BDE">
              <w:t>g rješenja</w:t>
            </w:r>
            <w:r w:rsidRPr="00630BDE">
              <w:t xml:space="preserve"> Registra šteta od prirodnih nepogoda. </w:t>
            </w:r>
            <w:r w:rsidR="00733A74" w:rsidRPr="00630BDE">
              <w:t>Također, ovim Prijedlogom zakona u većoj se mjeri uređuje način planiranja sredstava, te djelovanja koje se odnosi na pomoć koja ne mora biti nužno u financijskim sredstvima, nego i u drugim mjerama koje su sustavno rješenje u sanaciji šteta.</w:t>
            </w:r>
          </w:p>
          <w:p w:rsidR="00733A74" w:rsidRPr="00630BDE" w:rsidRDefault="00733A74" w:rsidP="001D4A74">
            <w:pPr>
              <w:jc w:val="both"/>
            </w:pPr>
          </w:p>
          <w:p w:rsidR="00733A74" w:rsidRPr="00630BDE" w:rsidRDefault="00733A74" w:rsidP="001D4A74">
            <w:pPr>
              <w:jc w:val="both"/>
            </w:pPr>
            <w:r w:rsidRPr="00630BDE">
              <w:t>Ovim Prijedlogom zakona uvodi se</w:t>
            </w:r>
            <w:r w:rsidR="00630BDE" w:rsidRPr="00630BDE">
              <w:t xml:space="preserve"> i</w:t>
            </w:r>
            <w:r w:rsidRPr="00630BDE">
              <w:t xml:space="preserve"> obveza usvajanja plana djelovanja za pojedino nadležno tijelo koji se donosi za sljedeću kalendarsku godinu te se njime ne zadire u područje prevencije šteta, civilne zaštite i/li kritične infrastrukture.  Jasna distinkcija je nužna, jer ovaj Zakon ne uređuje područja civilne zaštite i drugih nadležnih tijela.</w:t>
            </w:r>
          </w:p>
          <w:p w:rsidR="00B6170A" w:rsidRPr="00630BDE" w:rsidRDefault="00B6170A" w:rsidP="001D4A74">
            <w:pPr>
              <w:jc w:val="both"/>
            </w:pPr>
          </w:p>
          <w:p w:rsidR="00B6170A" w:rsidRPr="00630BDE" w:rsidRDefault="00B6170A" w:rsidP="001D4A74">
            <w:pPr>
              <w:jc w:val="both"/>
            </w:pPr>
            <w:r w:rsidRPr="00630BDE">
              <w:t xml:space="preserve">Prijedlogom zakona isključila bi se mogućnost dodjele pomoći za štete nastale na nezakonito izgrađenim zgradama javne namjene, gospodarskim zgradama i stambenim </w:t>
            </w:r>
            <w:r w:rsidRPr="00630BDE">
              <w:lastRenderedPageBreak/>
              <w:t xml:space="preserve">zgradama za koje nije doneseno rješenje o izvedenom stanju prema posebnim propisima, za štete koje nisu prijavljene i na propisan način i u zadanom roku unijete u Registar šteta prema odredbama ovoga </w:t>
            </w:r>
            <w:r w:rsidR="00B44261" w:rsidRPr="00630BDE">
              <w:t>Prijedloga z</w:t>
            </w:r>
            <w:r w:rsidRPr="00630BDE">
              <w:t xml:space="preserve">akona, kao i za štete u slučaju </w:t>
            </w:r>
            <w:proofErr w:type="spellStart"/>
            <w:r w:rsidRPr="00630BDE">
              <w:t>osigurljivih</w:t>
            </w:r>
            <w:proofErr w:type="spellEnd"/>
            <w:r w:rsidRPr="00630BDE">
              <w:t xml:space="preserve"> rizika na imovini koja nije osigurana, ako je vrijednost oštećene imovine manja od 60% vrijednosti te imovine fizičke osobe.</w:t>
            </w:r>
          </w:p>
          <w:p w:rsidR="00B6170A" w:rsidRPr="00630BDE" w:rsidRDefault="00B6170A" w:rsidP="001D4A74">
            <w:pPr>
              <w:jc w:val="both"/>
            </w:pPr>
          </w:p>
          <w:p w:rsidR="00B6170A" w:rsidRPr="00630BDE" w:rsidRDefault="00D04026" w:rsidP="001D4A74">
            <w:pPr>
              <w:jc w:val="both"/>
            </w:pPr>
            <w:r w:rsidRPr="00630BDE">
              <w:t xml:space="preserve">Temeljem navedenog, </w:t>
            </w:r>
            <w:r w:rsidR="00B6170A" w:rsidRPr="00630BDE">
              <w:t xml:space="preserve">intencija </w:t>
            </w:r>
            <w:r w:rsidRPr="00630BDE">
              <w:t xml:space="preserve">ovog Prijedloga zakona bila bi </w:t>
            </w:r>
            <w:r w:rsidR="00B6170A" w:rsidRPr="00630BDE">
              <w:t>naglasiti nužnost pristupanja osiguranju imovine kako na građevinskim objektima, tako i u području poljoprivrede.</w:t>
            </w:r>
          </w:p>
          <w:p w:rsidR="00733A74" w:rsidRPr="00630BDE" w:rsidRDefault="00733A74" w:rsidP="001D4A74">
            <w:pPr>
              <w:jc w:val="both"/>
            </w:pPr>
          </w:p>
          <w:p w:rsidR="00AF6E53" w:rsidRPr="00630BDE" w:rsidRDefault="00733A74" w:rsidP="00EF4A24">
            <w:pPr>
              <w:jc w:val="both"/>
            </w:pPr>
            <w:r w:rsidRPr="00630BDE">
              <w:t>Ako bi se usvojila načela i odrednice ovoga Prijedloga zakona predviđeni iznosi koji bi se osiguravali za prirodne nepogode ne bi trebali biti značajno veći od dosadašnjih, jer bi se glavnina šteta pokrila policama osiguranja što je glavna poruka koju nosi ovaj zakonski akt.</w:t>
            </w:r>
          </w:p>
          <w:p w:rsidR="00055680" w:rsidRPr="0097347E" w:rsidRDefault="00055680" w:rsidP="00EF4A24">
            <w:pPr>
              <w:jc w:val="both"/>
              <w:rPr>
                <w:i/>
              </w:rPr>
            </w:pPr>
          </w:p>
        </w:tc>
      </w:tr>
      <w:tr w:rsidR="00055680" w:rsidRPr="0097347E" w:rsidTr="00AF6E53">
        <w:trPr>
          <w:trHeight w:val="240"/>
        </w:trPr>
        <w:tc>
          <w:tcPr>
            <w:tcW w:w="851" w:type="dxa"/>
            <w:shd w:val="clear" w:color="auto" w:fill="auto"/>
          </w:tcPr>
          <w:p w:rsidR="00055680" w:rsidRPr="0097347E" w:rsidRDefault="00055680" w:rsidP="00EF4A24">
            <w:pPr>
              <w:rPr>
                <w:b/>
              </w:rPr>
            </w:pPr>
            <w:r w:rsidRPr="0097347E">
              <w:rPr>
                <w:b/>
              </w:rPr>
              <w:lastRenderedPageBreak/>
              <w:t>3.</w:t>
            </w:r>
          </w:p>
        </w:tc>
        <w:tc>
          <w:tcPr>
            <w:tcW w:w="9072" w:type="dxa"/>
            <w:gridSpan w:val="3"/>
            <w:shd w:val="clear" w:color="auto" w:fill="auto"/>
          </w:tcPr>
          <w:p w:rsidR="00055680" w:rsidRPr="0097347E" w:rsidRDefault="00055680" w:rsidP="00EF4A24">
            <w:pPr>
              <w:rPr>
                <w:b/>
              </w:rPr>
            </w:pPr>
            <w:r w:rsidRPr="0097347E">
              <w:rPr>
                <w:b/>
              </w:rPr>
              <w:t xml:space="preserve">ANALIZA UTVRĐENIH IZRAVNIH UČINAKA  </w:t>
            </w:r>
          </w:p>
        </w:tc>
      </w:tr>
      <w:tr w:rsidR="00055680" w:rsidRPr="0097347E" w:rsidTr="00AF6E53">
        <w:tc>
          <w:tcPr>
            <w:tcW w:w="851" w:type="dxa"/>
          </w:tcPr>
          <w:p w:rsidR="00055680" w:rsidRPr="0097347E" w:rsidRDefault="00055680" w:rsidP="00EF4A24">
            <w:r w:rsidRPr="0097347E">
              <w:t>3.1.</w:t>
            </w:r>
          </w:p>
        </w:tc>
        <w:tc>
          <w:tcPr>
            <w:tcW w:w="9072" w:type="dxa"/>
            <w:gridSpan w:val="3"/>
          </w:tcPr>
          <w:p w:rsidR="00055680" w:rsidRPr="0097347E" w:rsidRDefault="00055680" w:rsidP="00EF4A24">
            <w:r w:rsidRPr="0097347E">
              <w:rPr>
                <w:b/>
              </w:rPr>
              <w:t xml:space="preserve">Analiza gospodarskih učinaka </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825E46" w:rsidRPr="00825E46" w:rsidRDefault="004104DC" w:rsidP="00825E46">
            <w:pPr>
              <w:rPr>
                <w:i/>
              </w:rPr>
            </w:pPr>
            <w:r>
              <w:rPr>
                <w:i/>
              </w:rPr>
              <w:t xml:space="preserve"> </w:t>
            </w:r>
            <w:r w:rsidR="00825E46" w:rsidRPr="00825E46">
              <w:rPr>
                <w:i/>
              </w:rPr>
              <w:t xml:space="preserve">Da li nacrt prijedloga zakona utječe na gospodarski rast i/ili zaposlenost? </w:t>
            </w:r>
          </w:p>
          <w:p w:rsidR="00055680" w:rsidRDefault="00825E46" w:rsidP="00825E46">
            <w:pPr>
              <w:jc w:val="both"/>
            </w:pPr>
            <w:r>
              <w:t>Ovima nacrtom prijedloga zakona ne utječe se na gospodarski rast i/ili zaposlenost</w:t>
            </w:r>
          </w:p>
          <w:p w:rsidR="00825E46" w:rsidRDefault="00825E46" w:rsidP="00825E46">
            <w:pPr>
              <w:jc w:val="both"/>
            </w:pPr>
            <w:r w:rsidRPr="00825E46">
              <w:t>Kako doprinosi poboljšanju uvjeta za ulaganje i funkcioniranje tržišta? Potiče li nacrt prijedloga zakona priljev investicija?</w:t>
            </w:r>
          </w:p>
          <w:p w:rsidR="00825E46" w:rsidRPr="00825E46" w:rsidRDefault="00825E46" w:rsidP="00825E46">
            <w:pPr>
              <w:jc w:val="both"/>
            </w:pPr>
            <w:r>
              <w:t>Ovim nacrtom prijedloga zakona u pravilu se ne doprinosi priljevu investicija</w:t>
            </w:r>
          </w:p>
          <w:p w:rsidR="00825E46" w:rsidRDefault="00825E46" w:rsidP="00825E46">
            <w:pPr>
              <w:jc w:val="both"/>
            </w:pPr>
            <w:r w:rsidRPr="00825E46">
              <w:t>Ima li izravni učinak na makroekonomsku stabilnost?</w:t>
            </w:r>
          </w:p>
          <w:p w:rsidR="00825E46" w:rsidRDefault="00825E46" w:rsidP="00825E46">
            <w:pPr>
              <w:jc w:val="both"/>
            </w:pPr>
            <w:r>
              <w:t>Nema izravnog učinka na makroekonomsku stabilnost</w:t>
            </w:r>
          </w:p>
          <w:p w:rsidR="00825E46" w:rsidRPr="00825E46" w:rsidRDefault="00825E46" w:rsidP="00825E46">
            <w:pPr>
              <w:jc w:val="both"/>
            </w:pPr>
            <w:r w:rsidRPr="00825E46">
              <w:t xml:space="preserve">Koji su učinci na slobodno kretanje roba, usluga, kapitala i rada? </w:t>
            </w:r>
          </w:p>
          <w:p w:rsidR="00825E46" w:rsidRPr="00825E46" w:rsidRDefault="00825E46" w:rsidP="00825E46">
            <w:pPr>
              <w:jc w:val="both"/>
            </w:pPr>
            <w:r w:rsidRPr="00825E46">
              <w:rPr>
                <w:i/>
              </w:rPr>
              <w:t xml:space="preserve">Nema podataka o utjecaju prijedloga zakona na slobodno kretanje roba, usluga, kapitala i rada. </w:t>
            </w:r>
          </w:p>
          <w:p w:rsidR="00825E46" w:rsidRDefault="00825E46" w:rsidP="00825E46">
            <w:pPr>
              <w:jc w:val="both"/>
            </w:pPr>
            <w:r w:rsidRPr="00825E46">
              <w:t>Kakav je učinak na konkurentnost hrvatskih gospodarskih subjekata na zajedničkom tržištu EU i u regiji?</w:t>
            </w:r>
          </w:p>
          <w:p w:rsidR="00825E46" w:rsidRDefault="00825E46" w:rsidP="00825E46">
            <w:pPr>
              <w:jc w:val="both"/>
            </w:pPr>
            <w:r>
              <w:t>Ovim nacrtom prijedloga zakona ne očekuje se učinak na konkurentnost hrvatskih gospodarskih subjekata</w:t>
            </w:r>
          </w:p>
          <w:p w:rsidR="00825E46" w:rsidRPr="00825E46" w:rsidRDefault="00825E46" w:rsidP="00825E46">
            <w:pPr>
              <w:jc w:val="both"/>
            </w:pPr>
            <w:r w:rsidRPr="00825E46">
              <w:t xml:space="preserve">Može li utjecati na oglašavanje proizvoda tako da ograničava ili zabranjuje oglašavanje? </w:t>
            </w:r>
          </w:p>
          <w:p w:rsidR="00825E46" w:rsidRPr="00825E46" w:rsidRDefault="00825E46" w:rsidP="00825E46">
            <w:pPr>
              <w:jc w:val="both"/>
            </w:pPr>
            <w:r w:rsidRPr="00825E46">
              <w:rPr>
                <w:i/>
              </w:rPr>
              <w:t xml:space="preserve">Nema utjecaja prijedloga zakona na oglašavanje proizvoda. </w:t>
            </w:r>
          </w:p>
          <w:p w:rsidR="00825E46" w:rsidRPr="00825E46" w:rsidRDefault="00825E46" w:rsidP="00825E46">
            <w:pPr>
              <w:jc w:val="both"/>
            </w:pPr>
            <w:r w:rsidRPr="00825E46">
              <w:t xml:space="preserve">Može li negativno utjecati na otvaranje novih gospodarskih subjekata, obrta ili njihovim zatvaranjem? </w:t>
            </w:r>
          </w:p>
          <w:p w:rsidR="00825E46" w:rsidRPr="00825E46" w:rsidRDefault="00825E46" w:rsidP="00825E46">
            <w:pPr>
              <w:jc w:val="both"/>
            </w:pPr>
            <w:r w:rsidRPr="00825E46">
              <w:rPr>
                <w:i/>
              </w:rPr>
              <w:t>Nema negativnog utjecaju prijedloga zakona na otvaranje novih gospodarskih subjekata, obrta ili njihovim zatvaranjem</w:t>
            </w:r>
          </w:p>
          <w:p w:rsidR="00825E46" w:rsidRDefault="00825E46" w:rsidP="00825E46">
            <w:pPr>
              <w:jc w:val="both"/>
            </w:pPr>
            <w:r w:rsidRPr="00825E46">
              <w:t>Olakšava li uvođenje i širenje novih proizvodnih metoda, tehnologija i proizvoda?</w:t>
            </w:r>
          </w:p>
          <w:p w:rsidR="00825E46" w:rsidRDefault="00825E46" w:rsidP="00825E46">
            <w:pPr>
              <w:jc w:val="both"/>
            </w:pPr>
            <w:r>
              <w:t>Ovim nacrtom prijedloga zakona ne predviđa se uvođenje i širenje novih proizvodnih metoda, tehnologija i proizvoda</w:t>
            </w:r>
          </w:p>
          <w:p w:rsidR="00825E46" w:rsidRPr="00825E46" w:rsidRDefault="00825E46" w:rsidP="00825E46">
            <w:pPr>
              <w:jc w:val="both"/>
            </w:pPr>
            <w:r w:rsidRPr="00825E46">
              <w:t xml:space="preserve">Utječe li na prava intelektualnog vlasništva (patenti, žigovi, autorska prava, ostala prava intelektualnog vlasništva)? </w:t>
            </w:r>
          </w:p>
          <w:p w:rsidR="00825E46" w:rsidRPr="00825E46" w:rsidRDefault="00825E46" w:rsidP="00825E46">
            <w:pPr>
              <w:jc w:val="both"/>
            </w:pPr>
            <w:r w:rsidRPr="00825E46">
              <w:rPr>
                <w:i/>
              </w:rPr>
              <w:t xml:space="preserve">Prijedloga zakona nema utjecaja na prava intelektualnog vlasništva. </w:t>
            </w:r>
          </w:p>
          <w:p w:rsidR="00825E46" w:rsidRDefault="00825E46" w:rsidP="00825E46">
            <w:pPr>
              <w:jc w:val="both"/>
            </w:pPr>
            <w:r w:rsidRPr="00825E46">
              <w:t>Potiče li ili ograničava istraživanja akademskog ili industrijskog tipa?</w:t>
            </w:r>
          </w:p>
          <w:p w:rsidR="00825E46" w:rsidRDefault="00825E46" w:rsidP="00825E46">
            <w:pPr>
              <w:jc w:val="both"/>
            </w:pPr>
            <w:r>
              <w:t>Ovim nacrtom prijedloga zakona ne potiče se niti ograničava istraživanja akademskom ili industrijskom tipa</w:t>
            </w:r>
          </w:p>
          <w:p w:rsidR="00825E46" w:rsidRDefault="00606210" w:rsidP="00825E46">
            <w:pPr>
              <w:jc w:val="both"/>
            </w:pPr>
            <w:r w:rsidRPr="00606210">
              <w:t>Potiče li bolju produktivnost/učinkovitost korištenja resursa?</w:t>
            </w:r>
          </w:p>
          <w:p w:rsidR="00606210" w:rsidRPr="00825E46" w:rsidRDefault="00606210" w:rsidP="00825E46">
            <w:pPr>
              <w:jc w:val="both"/>
            </w:pPr>
            <w:r>
              <w:t>Ovim nacrtom prijedloga zakona ne potiče se bolja produktivnost/učinkovitost korištenja resursa.</w:t>
            </w:r>
          </w:p>
        </w:tc>
      </w:tr>
      <w:tr w:rsidR="00055680" w:rsidRPr="0097347E" w:rsidTr="00AF6E53">
        <w:tc>
          <w:tcPr>
            <w:tcW w:w="851" w:type="dxa"/>
          </w:tcPr>
          <w:p w:rsidR="00055680" w:rsidRPr="0097347E" w:rsidRDefault="00055680" w:rsidP="00EF4A24">
            <w:r w:rsidRPr="0097347E">
              <w:t>3.2.</w:t>
            </w:r>
          </w:p>
        </w:tc>
        <w:tc>
          <w:tcPr>
            <w:tcW w:w="9072" w:type="dxa"/>
            <w:gridSpan w:val="3"/>
          </w:tcPr>
          <w:p w:rsidR="00055680" w:rsidRPr="0097347E" w:rsidRDefault="00055680" w:rsidP="00EF4A24">
            <w:pPr>
              <w:rPr>
                <w:b/>
              </w:rPr>
            </w:pPr>
            <w:r w:rsidRPr="0097347E">
              <w:rPr>
                <w:b/>
              </w:rPr>
              <w:t>Analiza učinaka na zaštitu tržišnog natjecanja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D2618B" w:rsidRDefault="00055680" w:rsidP="00EF4A24">
            <w:pPr>
              <w:jc w:val="both"/>
              <w:rPr>
                <w:i/>
              </w:rPr>
            </w:pPr>
            <w:r w:rsidRPr="0097347E">
              <w:t>Provedbom prethodne procjene nisu utvrđeni značajni učinci koji bi zahtijevali daljnju analizu u postupku procjene učinaka propi</w:t>
            </w:r>
            <w:r w:rsidR="00DD5191">
              <w:t>sa.</w:t>
            </w:r>
          </w:p>
        </w:tc>
      </w:tr>
      <w:tr w:rsidR="00055680" w:rsidRPr="0097347E" w:rsidTr="00AF6E53">
        <w:tc>
          <w:tcPr>
            <w:tcW w:w="851" w:type="dxa"/>
          </w:tcPr>
          <w:p w:rsidR="00055680" w:rsidRPr="0097347E" w:rsidRDefault="00055680" w:rsidP="00EF4A24">
            <w:r w:rsidRPr="0097347E">
              <w:lastRenderedPageBreak/>
              <w:t>3.3.</w:t>
            </w:r>
          </w:p>
        </w:tc>
        <w:tc>
          <w:tcPr>
            <w:tcW w:w="9072" w:type="dxa"/>
            <w:gridSpan w:val="3"/>
          </w:tcPr>
          <w:p w:rsidR="00055680" w:rsidRPr="0097347E" w:rsidRDefault="00055680" w:rsidP="00EF4A24">
            <w:r w:rsidRPr="0097347E">
              <w:rPr>
                <w:b/>
              </w:rPr>
              <w:t>Analiza socijalnih učinaka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t>Provedbom prethodne procjene nisu utvrđeni značajni učinci koji bi zahtijevali daljnju analizu u pos</w:t>
            </w:r>
            <w:r w:rsidR="00DD5191">
              <w:t>tupku procjene učinaka propisa.</w:t>
            </w:r>
          </w:p>
        </w:tc>
      </w:tr>
      <w:tr w:rsidR="00055680" w:rsidRPr="0097347E" w:rsidTr="00AF6E53">
        <w:tc>
          <w:tcPr>
            <w:tcW w:w="851" w:type="dxa"/>
          </w:tcPr>
          <w:p w:rsidR="00055680" w:rsidRPr="0097347E" w:rsidRDefault="00055680" w:rsidP="00EF4A24">
            <w:r w:rsidRPr="0097347E">
              <w:t>3.4.</w:t>
            </w:r>
          </w:p>
        </w:tc>
        <w:tc>
          <w:tcPr>
            <w:tcW w:w="9072" w:type="dxa"/>
            <w:gridSpan w:val="3"/>
          </w:tcPr>
          <w:p w:rsidR="00055680" w:rsidRPr="0097347E" w:rsidRDefault="00055680" w:rsidP="00EF4A24">
            <w:pPr>
              <w:rPr>
                <w:b/>
              </w:rPr>
            </w:pPr>
            <w:r w:rsidRPr="0097347E">
              <w:rPr>
                <w:b/>
              </w:rPr>
              <w:t>Analiza učinaka na rad i tržište rada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DD5191">
            <w:pPr>
              <w:jc w:val="both"/>
              <w:rPr>
                <w:i/>
              </w:rPr>
            </w:pPr>
            <w:r w:rsidRPr="0097347E">
              <w:t>Provedbom prethodne procjene nisu utvrđeni značajni učinci koji bi zahtijevali daljnju analizu u pos</w:t>
            </w:r>
            <w:r w:rsidR="00DD5191">
              <w:t>tupku procjene učinaka propisa.</w:t>
            </w:r>
          </w:p>
        </w:tc>
      </w:tr>
      <w:tr w:rsidR="00055680" w:rsidRPr="0097347E" w:rsidTr="00AF6E53">
        <w:tc>
          <w:tcPr>
            <w:tcW w:w="851" w:type="dxa"/>
          </w:tcPr>
          <w:p w:rsidR="00055680" w:rsidRPr="0097347E" w:rsidRDefault="00055680" w:rsidP="00EF4A24">
            <w:r w:rsidRPr="0097347E">
              <w:t>3.5.</w:t>
            </w:r>
          </w:p>
        </w:tc>
        <w:tc>
          <w:tcPr>
            <w:tcW w:w="9072" w:type="dxa"/>
            <w:gridSpan w:val="3"/>
          </w:tcPr>
          <w:p w:rsidR="00055680" w:rsidRPr="0097347E" w:rsidRDefault="00055680" w:rsidP="00EF4A24">
            <w:pPr>
              <w:rPr>
                <w:b/>
              </w:rPr>
            </w:pPr>
            <w:r w:rsidRPr="0097347E">
              <w:rPr>
                <w:b/>
              </w:rPr>
              <w:t>Analiza učinaka na zaštitu okoliša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DD5191">
            <w:pPr>
              <w:rPr>
                <w:i/>
              </w:rPr>
            </w:pPr>
            <w:r w:rsidRPr="0097347E">
              <w:t>Provedbom prethodne procjene nisu utvrđeni značajni učinci koji bi zahtijevali daljnju analizu u postupku procjene učin</w:t>
            </w:r>
            <w:r w:rsidR="0073787C">
              <w:t>aka propisa.</w:t>
            </w:r>
          </w:p>
        </w:tc>
      </w:tr>
      <w:tr w:rsidR="00055680" w:rsidRPr="0097347E" w:rsidTr="00AF6E53">
        <w:tc>
          <w:tcPr>
            <w:tcW w:w="851" w:type="dxa"/>
          </w:tcPr>
          <w:p w:rsidR="00055680" w:rsidRPr="0097347E" w:rsidRDefault="00055680" w:rsidP="00EF4A24">
            <w:r w:rsidRPr="0097347E">
              <w:t>3.6.</w:t>
            </w:r>
          </w:p>
        </w:tc>
        <w:tc>
          <w:tcPr>
            <w:tcW w:w="9072" w:type="dxa"/>
            <w:gridSpan w:val="3"/>
          </w:tcPr>
          <w:p w:rsidR="00055680" w:rsidRPr="0097347E" w:rsidRDefault="00055680" w:rsidP="00EF4A24">
            <w:pPr>
              <w:rPr>
                <w:b/>
              </w:rPr>
            </w:pPr>
            <w:r w:rsidRPr="0097347E">
              <w:rPr>
                <w:b/>
              </w:rPr>
              <w:t>Analiza učinaka na zaštitu ljudskih prava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DD5191" w:rsidRDefault="00055680" w:rsidP="00EF4A24">
            <w:pPr>
              <w:jc w:val="both"/>
            </w:pPr>
            <w:r w:rsidRPr="0097347E">
              <w:t>Provedbom prethodne procjene nisu utvrđeni značajni učinci koji bi zahtijevali daljnju analizu u pos</w:t>
            </w:r>
            <w:r w:rsidR="0073787C">
              <w:t>tupku procjene učinaka propisa.</w:t>
            </w:r>
          </w:p>
        </w:tc>
      </w:tr>
      <w:tr w:rsidR="00055680" w:rsidRPr="0097347E" w:rsidTr="00AF6E53">
        <w:tc>
          <w:tcPr>
            <w:tcW w:w="851" w:type="dxa"/>
          </w:tcPr>
          <w:p w:rsidR="00055680" w:rsidRPr="0097347E" w:rsidRDefault="00055680" w:rsidP="00EF4A24">
            <w:r w:rsidRPr="0097347E">
              <w:t>4.</w:t>
            </w:r>
          </w:p>
        </w:tc>
        <w:tc>
          <w:tcPr>
            <w:tcW w:w="9072" w:type="dxa"/>
            <w:gridSpan w:val="3"/>
          </w:tcPr>
          <w:p w:rsidR="00055680" w:rsidRDefault="00055680" w:rsidP="00EF4A24">
            <w:pPr>
              <w:rPr>
                <w:b/>
              </w:rPr>
            </w:pPr>
            <w:r w:rsidRPr="0097347E">
              <w:rPr>
                <w:b/>
              </w:rPr>
              <w:t>TEST MALOG I SREDNJEG PODUZETNIŠTVA (MSP TEST)</w:t>
            </w:r>
          </w:p>
          <w:p w:rsidR="004104DC" w:rsidRDefault="004104DC" w:rsidP="00EF4A24">
            <w:pPr>
              <w:rPr>
                <w:b/>
              </w:rPr>
            </w:pPr>
          </w:p>
          <w:p w:rsidR="00606210" w:rsidRPr="00606210" w:rsidRDefault="00606210" w:rsidP="00606210">
            <w:r w:rsidRPr="00606210">
              <w:t xml:space="preserve">MSP testom ocjenjuju se gospodarski učinci nacrta prijedloga zakona na male i srednje poduzetnike, ako je provedbom Prethodnog MSP testa u okviru Prethodne procjene utvrđena obveza provedbe učinaka propisa na malo gospodarstvo i izrada MSP testa. Pri odlučivanju o kvaliteti izrade MSP testa isključivo je mjerodavno mišljenje tijela nadležnog za njihovo provođenje sukladno Zakonu o procjeni učinaka propisa (»Narodne novine«, broj 44/17). </w:t>
            </w:r>
          </w:p>
          <w:p w:rsidR="00FF038C" w:rsidRPr="00606210" w:rsidRDefault="00606210" w:rsidP="00EF4A24">
            <w:r w:rsidRPr="00606210">
              <w:rPr>
                <w:i/>
                <w:iCs/>
              </w:rPr>
              <w:t xml:space="preserve">U okviru Prethodne procjene nije utvrđena obveza provedbe učinaka propisa na malo gospodarstvo i izrada MSP testa. </w:t>
            </w:r>
          </w:p>
          <w:p w:rsidR="00055680" w:rsidRPr="0097347E" w:rsidRDefault="00055680" w:rsidP="00EF4A24">
            <w:pPr>
              <w:jc w:val="both"/>
            </w:pPr>
          </w:p>
        </w:tc>
      </w:tr>
      <w:tr w:rsidR="00055680" w:rsidRPr="0097347E" w:rsidTr="00AF6E53">
        <w:tc>
          <w:tcPr>
            <w:tcW w:w="851" w:type="dxa"/>
          </w:tcPr>
          <w:p w:rsidR="00055680" w:rsidRPr="0097347E" w:rsidRDefault="00055680" w:rsidP="00EF4A24">
            <w:r w:rsidRPr="0097347E">
              <w:t>4.1.</w:t>
            </w:r>
          </w:p>
        </w:tc>
        <w:tc>
          <w:tcPr>
            <w:tcW w:w="9072" w:type="dxa"/>
            <w:gridSpan w:val="3"/>
          </w:tcPr>
          <w:p w:rsidR="00055680" w:rsidRPr="0097347E" w:rsidRDefault="00055680" w:rsidP="00EF4A24">
            <w:pPr>
              <w:rPr>
                <w:b/>
              </w:rPr>
            </w:pPr>
            <w:r w:rsidRPr="0097347E">
              <w:rPr>
                <w:b/>
              </w:rPr>
              <w:t>Moguće opcije javnih politika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FF038C" w:rsidRDefault="00FF038C" w:rsidP="00EF4A24">
            <w:pPr>
              <w:spacing w:after="60"/>
              <w:jc w:val="both"/>
              <w:rPr>
                <w:rFonts w:eastAsia="Times New Roman"/>
                <w:color w:val="76923C" w:themeColor="accent3" w:themeShade="BF"/>
                <w:szCs w:val="24"/>
              </w:rPr>
            </w:pPr>
          </w:p>
          <w:p w:rsidR="00C36692" w:rsidRPr="00C36692" w:rsidRDefault="00C36692" w:rsidP="00C36692">
            <w:pPr>
              <w:spacing w:after="60"/>
              <w:jc w:val="both"/>
              <w:rPr>
                <w:rFonts w:eastAsia="Times New Roman"/>
                <w:szCs w:val="24"/>
              </w:rPr>
            </w:pPr>
            <w:r w:rsidRPr="00C36692">
              <w:rPr>
                <w:rFonts w:eastAsia="Times New Roman"/>
                <w:szCs w:val="24"/>
              </w:rPr>
              <w:t xml:space="preserve">Prilikom utvrđivanja mogućih opcija javnih politika za rješavanje problema i postizanje cilja, potrebno je izraditi najmanje dva prijedloga </w:t>
            </w:r>
            <w:proofErr w:type="spellStart"/>
            <w:r w:rsidRPr="00C36692">
              <w:rPr>
                <w:rFonts w:eastAsia="Times New Roman"/>
                <w:szCs w:val="24"/>
              </w:rPr>
              <w:t>nenormativnog</w:t>
            </w:r>
            <w:proofErr w:type="spellEnd"/>
            <w:r w:rsidRPr="00C36692">
              <w:rPr>
                <w:rFonts w:eastAsia="Times New Roman"/>
                <w:szCs w:val="24"/>
              </w:rPr>
              <w:t xml:space="preserve"> rješenja i najmanje dva prijedloga mogućih normativnih rješenja. </w:t>
            </w:r>
          </w:p>
          <w:p w:rsidR="00C36692" w:rsidRPr="00C36692" w:rsidRDefault="00C36692" w:rsidP="00C36692">
            <w:pPr>
              <w:spacing w:after="60"/>
              <w:jc w:val="both"/>
              <w:rPr>
                <w:rFonts w:eastAsia="Times New Roman"/>
                <w:szCs w:val="24"/>
              </w:rPr>
            </w:pPr>
            <w:r w:rsidRPr="00C36692">
              <w:rPr>
                <w:rFonts w:eastAsia="Times New Roman"/>
                <w:szCs w:val="24"/>
              </w:rPr>
              <w:t xml:space="preserve">Kod utvrđivanja </w:t>
            </w:r>
            <w:proofErr w:type="spellStart"/>
            <w:r w:rsidRPr="00C36692">
              <w:rPr>
                <w:rFonts w:eastAsia="Times New Roman"/>
                <w:szCs w:val="24"/>
              </w:rPr>
              <w:t>nenormativnog</w:t>
            </w:r>
            <w:proofErr w:type="spellEnd"/>
            <w:r w:rsidRPr="00C36692">
              <w:rPr>
                <w:rFonts w:eastAsia="Times New Roman"/>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C36692" w:rsidRPr="00C36692" w:rsidRDefault="00C36692" w:rsidP="00C36692">
            <w:pPr>
              <w:spacing w:after="60"/>
              <w:jc w:val="both"/>
              <w:rPr>
                <w:rFonts w:eastAsia="Times New Roman"/>
                <w:szCs w:val="24"/>
              </w:rPr>
            </w:pPr>
            <w:r w:rsidRPr="00C36692">
              <w:rPr>
                <w:rFonts w:eastAsia="Times New Roman"/>
                <w:szCs w:val="24"/>
              </w:rPr>
              <w:t xml:space="preserve">Drugi prijedlog </w:t>
            </w:r>
            <w:proofErr w:type="spellStart"/>
            <w:r w:rsidRPr="00C36692">
              <w:rPr>
                <w:rFonts w:eastAsia="Times New Roman"/>
                <w:szCs w:val="24"/>
              </w:rPr>
              <w:t>nenormativnog</w:t>
            </w:r>
            <w:proofErr w:type="spellEnd"/>
            <w:r w:rsidRPr="00C36692">
              <w:rPr>
                <w:rFonts w:eastAsia="Times New Roman"/>
                <w:szCs w:val="24"/>
              </w:rPr>
              <w:t xml:space="preserve"> rješenja odnosi se na opciju rješavanja problema bez donošenja novog ili izmjene postojećeg zakonodavstva. Takvo </w:t>
            </w:r>
            <w:proofErr w:type="spellStart"/>
            <w:r w:rsidRPr="00C36692">
              <w:rPr>
                <w:rFonts w:eastAsia="Times New Roman"/>
                <w:szCs w:val="24"/>
              </w:rPr>
              <w:t>nenormativno</w:t>
            </w:r>
            <w:proofErr w:type="spellEnd"/>
            <w:r w:rsidRPr="00C36692">
              <w:rPr>
                <w:rFonts w:eastAsia="Times New Roman"/>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 </w:t>
            </w:r>
          </w:p>
          <w:p w:rsidR="00C36692" w:rsidRPr="00C36692" w:rsidRDefault="00C36692" w:rsidP="00C36692">
            <w:pPr>
              <w:spacing w:after="60"/>
              <w:jc w:val="both"/>
              <w:rPr>
                <w:rFonts w:eastAsia="Times New Roman"/>
                <w:szCs w:val="24"/>
              </w:rPr>
            </w:pPr>
            <w:r w:rsidRPr="00C36692">
              <w:rPr>
                <w:rFonts w:eastAsia="Times New Roman"/>
                <w:szCs w:val="24"/>
              </w:rPr>
              <w:t xml:space="preserve">Dva prijedloga normativnih rješenja obuhvaća rješavanje problema i postizanje utvrđenih ciljeva zakonodavstvom. Obvezno navedite i utvrdite normativno rješenje navedeno u Prethodnom MSP testu. </w:t>
            </w:r>
          </w:p>
          <w:p w:rsidR="00C36692" w:rsidRPr="00C36692" w:rsidRDefault="00C36692" w:rsidP="00C36692">
            <w:pPr>
              <w:spacing w:after="60"/>
              <w:jc w:val="both"/>
              <w:rPr>
                <w:rFonts w:eastAsia="Times New Roman"/>
                <w:szCs w:val="24"/>
              </w:rPr>
            </w:pPr>
            <w:r w:rsidRPr="00C36692">
              <w:rPr>
                <w:rFonts w:eastAsia="Times New Roman"/>
                <w:szCs w:val="24"/>
              </w:rPr>
              <w:t xml:space="preserve">Drugo normativno rješenje odnosi se na drugi način rješavanja problema kroz donošenje novog odnosno izmjene postojećeg zakonodavstva. </w:t>
            </w:r>
          </w:p>
          <w:p w:rsidR="00C36692" w:rsidRPr="00C36692" w:rsidRDefault="00C36692" w:rsidP="00C36692">
            <w:pPr>
              <w:spacing w:after="60"/>
              <w:jc w:val="both"/>
              <w:rPr>
                <w:rFonts w:eastAsia="Times New Roman"/>
                <w:szCs w:val="24"/>
              </w:rPr>
            </w:pPr>
            <w:r w:rsidRPr="00C36692">
              <w:rPr>
                <w:rFonts w:eastAsia="Times New Roman"/>
                <w:szCs w:val="24"/>
              </w:rPr>
              <w:t xml:space="preserve">OPCIJE ZA MSP TEST </w:t>
            </w:r>
          </w:p>
          <w:p w:rsidR="00C36692" w:rsidRPr="00C36692" w:rsidRDefault="00C36692" w:rsidP="00C36692">
            <w:pPr>
              <w:spacing w:after="60"/>
              <w:jc w:val="both"/>
              <w:rPr>
                <w:rFonts w:eastAsia="Times New Roman"/>
                <w:szCs w:val="24"/>
              </w:rPr>
            </w:pPr>
            <w:r w:rsidRPr="00C36692">
              <w:rPr>
                <w:rFonts w:eastAsia="Times New Roman"/>
                <w:szCs w:val="24"/>
              </w:rPr>
              <w:t>4.1.1. Opcija 1. (</w:t>
            </w:r>
            <w:proofErr w:type="spellStart"/>
            <w:r w:rsidRPr="00C36692">
              <w:rPr>
                <w:rFonts w:eastAsia="Times New Roman"/>
                <w:szCs w:val="24"/>
              </w:rPr>
              <w:t>nenormativno</w:t>
            </w:r>
            <w:proofErr w:type="spellEnd"/>
            <w:r w:rsidRPr="00C36692">
              <w:rPr>
                <w:rFonts w:eastAsia="Times New Roman"/>
                <w:szCs w:val="24"/>
              </w:rPr>
              <w:t xml:space="preserve"> rješenje) »Ne poduzimati ništa« </w:t>
            </w:r>
          </w:p>
          <w:p w:rsidR="00C36692" w:rsidRPr="00C36692" w:rsidRDefault="00C36692" w:rsidP="00C36692">
            <w:pPr>
              <w:spacing w:after="60"/>
              <w:jc w:val="both"/>
              <w:rPr>
                <w:rFonts w:eastAsia="Times New Roman"/>
                <w:szCs w:val="24"/>
              </w:rPr>
            </w:pPr>
            <w:r w:rsidRPr="00C36692">
              <w:rPr>
                <w:rFonts w:eastAsia="Times New Roman"/>
                <w:szCs w:val="24"/>
              </w:rPr>
              <w:t>4.1.2. Opcija 2. (</w:t>
            </w:r>
            <w:proofErr w:type="spellStart"/>
            <w:r w:rsidRPr="00C36692">
              <w:rPr>
                <w:rFonts w:eastAsia="Times New Roman"/>
                <w:szCs w:val="24"/>
              </w:rPr>
              <w:t>nenormativno</w:t>
            </w:r>
            <w:proofErr w:type="spellEnd"/>
            <w:r w:rsidRPr="00C36692">
              <w:rPr>
                <w:rFonts w:eastAsia="Times New Roman"/>
                <w:szCs w:val="24"/>
              </w:rPr>
              <w:t xml:space="preserve"> rješenje) »Poduzimati </w:t>
            </w:r>
            <w:proofErr w:type="spellStart"/>
            <w:r w:rsidRPr="00C36692">
              <w:rPr>
                <w:rFonts w:eastAsia="Times New Roman"/>
                <w:szCs w:val="24"/>
              </w:rPr>
              <w:t>nenormativne</w:t>
            </w:r>
            <w:proofErr w:type="spellEnd"/>
            <w:r w:rsidRPr="00C36692">
              <w:rPr>
                <w:rFonts w:eastAsia="Times New Roman"/>
                <w:szCs w:val="24"/>
              </w:rPr>
              <w:t xml:space="preserve"> aktivnosti« </w:t>
            </w:r>
          </w:p>
          <w:p w:rsidR="00C36692" w:rsidRPr="00C36692" w:rsidRDefault="00C36692" w:rsidP="00C36692">
            <w:pPr>
              <w:spacing w:after="60"/>
              <w:jc w:val="both"/>
              <w:rPr>
                <w:rFonts w:eastAsia="Times New Roman"/>
                <w:szCs w:val="24"/>
              </w:rPr>
            </w:pPr>
            <w:r w:rsidRPr="00C36692">
              <w:rPr>
                <w:rFonts w:eastAsia="Times New Roman"/>
                <w:szCs w:val="24"/>
              </w:rPr>
              <w:t xml:space="preserve">4.1.3. Opcija 3. (normativno rješenje) »Poduzimati </w:t>
            </w:r>
            <w:proofErr w:type="spellStart"/>
            <w:r w:rsidRPr="00C36692">
              <w:rPr>
                <w:rFonts w:eastAsia="Times New Roman"/>
                <w:szCs w:val="24"/>
              </w:rPr>
              <w:t>nenormativnu</w:t>
            </w:r>
            <w:proofErr w:type="spellEnd"/>
            <w:r w:rsidRPr="00C36692">
              <w:rPr>
                <w:rFonts w:eastAsia="Times New Roman"/>
                <w:szCs w:val="24"/>
              </w:rPr>
              <w:t xml:space="preserve"> aktivnost A« </w:t>
            </w:r>
          </w:p>
          <w:p w:rsidR="00C36692" w:rsidRPr="00C36692" w:rsidRDefault="00C36692" w:rsidP="00C36692">
            <w:pPr>
              <w:spacing w:after="60"/>
              <w:jc w:val="both"/>
              <w:rPr>
                <w:rFonts w:eastAsia="Times New Roman"/>
                <w:szCs w:val="24"/>
              </w:rPr>
            </w:pPr>
            <w:r w:rsidRPr="00C36692">
              <w:rPr>
                <w:rFonts w:eastAsia="Times New Roman"/>
                <w:szCs w:val="24"/>
              </w:rPr>
              <w:lastRenderedPageBreak/>
              <w:t xml:space="preserve">4.1.4. Opcija 4. (normativno rješenje) »Poduzimati </w:t>
            </w:r>
            <w:proofErr w:type="spellStart"/>
            <w:r w:rsidRPr="00C36692">
              <w:rPr>
                <w:rFonts w:eastAsia="Times New Roman"/>
                <w:szCs w:val="24"/>
              </w:rPr>
              <w:t>nenormativnu</w:t>
            </w:r>
            <w:proofErr w:type="spellEnd"/>
            <w:r w:rsidRPr="00C36692">
              <w:rPr>
                <w:rFonts w:eastAsia="Times New Roman"/>
                <w:szCs w:val="24"/>
              </w:rPr>
              <w:t xml:space="preserve"> aktivnost B« </w:t>
            </w:r>
          </w:p>
          <w:p w:rsidR="00FF038C" w:rsidRPr="00C36692" w:rsidRDefault="00FF038C" w:rsidP="00EF4A24">
            <w:pPr>
              <w:spacing w:after="60"/>
              <w:jc w:val="both"/>
              <w:rPr>
                <w:rFonts w:eastAsia="Times New Roman"/>
                <w:szCs w:val="24"/>
              </w:rPr>
            </w:pPr>
          </w:p>
          <w:p w:rsidR="00055680" w:rsidRPr="0097347E" w:rsidRDefault="00055680" w:rsidP="00AD252E">
            <w:pPr>
              <w:spacing w:after="60"/>
              <w:jc w:val="both"/>
            </w:pPr>
          </w:p>
        </w:tc>
      </w:tr>
      <w:tr w:rsidR="00055680" w:rsidRPr="0097347E" w:rsidTr="00EF4A24">
        <w:trPr>
          <w:trHeight w:val="6662"/>
        </w:trPr>
        <w:tc>
          <w:tcPr>
            <w:tcW w:w="851" w:type="dxa"/>
          </w:tcPr>
          <w:p w:rsidR="00055680" w:rsidRPr="0097347E" w:rsidRDefault="00055680" w:rsidP="00EF4A24">
            <w:r w:rsidRPr="0097347E">
              <w:lastRenderedPageBreak/>
              <w:t>4.2.</w:t>
            </w:r>
          </w:p>
        </w:tc>
        <w:tc>
          <w:tcPr>
            <w:tcW w:w="9072" w:type="dxa"/>
            <w:gridSpan w:val="3"/>
            <w:shd w:val="clear" w:color="auto" w:fill="auto"/>
          </w:tcPr>
          <w:p w:rsidR="00055680" w:rsidRDefault="00055680" w:rsidP="00EF4A24">
            <w:pPr>
              <w:spacing w:after="60"/>
              <w:jc w:val="both"/>
              <w:rPr>
                <w:rFonts w:eastAsia="Times New Roman"/>
                <w:b/>
                <w:szCs w:val="24"/>
              </w:rPr>
            </w:pPr>
            <w:r w:rsidRPr="0097347E">
              <w:rPr>
                <w:rFonts w:eastAsia="Times New Roman"/>
                <w:b/>
                <w:szCs w:val="24"/>
              </w:rPr>
              <w:t>Ocjena i opcije</w:t>
            </w:r>
          </w:p>
          <w:p w:rsidR="00C36692" w:rsidRPr="00C36692" w:rsidRDefault="00C36692" w:rsidP="00C36692">
            <w:pPr>
              <w:spacing w:after="60"/>
              <w:jc w:val="both"/>
              <w:rPr>
                <w:rFonts w:eastAsia="Times New Roman"/>
                <w:b/>
                <w:szCs w:val="24"/>
              </w:rPr>
            </w:pPr>
            <w:r w:rsidRPr="00C36692">
              <w:rPr>
                <w:rFonts w:eastAsia="Times New Roman"/>
                <w:b/>
                <w:szCs w:val="24"/>
              </w:rPr>
              <w:t xml:space="preserve">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 </w:t>
            </w:r>
          </w:p>
          <w:p w:rsidR="00C36692" w:rsidRPr="00C36692" w:rsidRDefault="00C36692" w:rsidP="00C36692">
            <w:pPr>
              <w:spacing w:after="60"/>
              <w:jc w:val="both"/>
              <w:rPr>
                <w:rFonts w:eastAsia="Times New Roman"/>
                <w:b/>
                <w:szCs w:val="24"/>
              </w:rPr>
            </w:pPr>
            <w:r w:rsidRPr="00C36692">
              <w:rPr>
                <w:rFonts w:eastAsia="Times New Roman"/>
                <w:b/>
                <w:szCs w:val="24"/>
              </w:rPr>
              <w:t xml:space="preserve">Tablica: Analiza troškova i koristi </w:t>
            </w:r>
          </w:p>
          <w:tbl>
            <w:tblPr>
              <w:tblW w:w="4800" w:type="pct"/>
              <w:tblLayout w:type="fixed"/>
              <w:tblCellMar>
                <w:left w:w="0" w:type="dxa"/>
                <w:right w:w="0" w:type="dxa"/>
              </w:tblCellMar>
              <w:tblLook w:val="04A0" w:firstRow="1" w:lastRow="0" w:firstColumn="1" w:lastColumn="0" w:noHBand="0" w:noVBand="1"/>
            </w:tblPr>
            <w:tblGrid>
              <w:gridCol w:w="1350"/>
              <w:gridCol w:w="3568"/>
              <w:gridCol w:w="3568"/>
            </w:tblGrid>
            <w:tr w:rsidR="00C36692" w:rsidRPr="00C36692">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Opcije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Troškovi (negativni učinci)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Koristi (pozitivni učinci) </w:t>
                  </w:r>
                </w:p>
              </w:tc>
            </w:tr>
            <w:tr w:rsidR="00C36692" w:rsidRPr="00C36692">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Opcija 1.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r>
            <w:tr w:rsidR="00C36692" w:rsidRPr="00C36692">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Opcija 2.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r>
            <w:tr w:rsidR="00C36692" w:rsidRPr="00C36692">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Opcija 3.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r>
            <w:tr w:rsidR="00C36692" w:rsidRPr="00C36692">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Opcija 4.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rsidR="00E55920" w:rsidRPr="00C36692" w:rsidRDefault="00C36692" w:rsidP="00C36692">
                  <w:pPr>
                    <w:spacing w:after="60"/>
                    <w:jc w:val="both"/>
                    <w:rPr>
                      <w:rFonts w:eastAsia="Times New Roman"/>
                      <w:b/>
                      <w:szCs w:val="24"/>
                    </w:rPr>
                  </w:pPr>
                  <w:r w:rsidRPr="00C36692">
                    <w:rPr>
                      <w:rFonts w:eastAsia="Times New Roman"/>
                      <w:b/>
                      <w:szCs w:val="24"/>
                    </w:rPr>
                    <w:t xml:space="preserve">  </w:t>
                  </w:r>
                </w:p>
              </w:tc>
            </w:tr>
          </w:tbl>
          <w:p w:rsidR="00C36692" w:rsidRPr="00C36692" w:rsidRDefault="00C36692" w:rsidP="00C36692">
            <w:pPr>
              <w:spacing w:after="60"/>
              <w:jc w:val="both"/>
              <w:rPr>
                <w:rFonts w:eastAsia="Times New Roman"/>
                <w:b/>
                <w:szCs w:val="24"/>
              </w:rPr>
            </w:pPr>
            <w:r w:rsidRPr="00C36692">
              <w:rPr>
                <w:rFonts w:eastAsia="Times New Roman"/>
                <w:b/>
                <w:i/>
                <w:iCs/>
                <w:szCs w:val="24"/>
              </w:rPr>
              <w:t xml:space="preserve">  </w:t>
            </w:r>
          </w:p>
          <w:tbl>
            <w:tblPr>
              <w:tblW w:w="0" w:type="auto"/>
              <w:tblLayout w:type="fixed"/>
              <w:tblCellMar>
                <w:left w:w="0" w:type="dxa"/>
                <w:right w:w="0" w:type="dxa"/>
              </w:tblCellMar>
              <w:tblLook w:val="04A0" w:firstRow="1" w:lastRow="0" w:firstColumn="1" w:lastColumn="0" w:noHBand="0" w:noVBand="1"/>
            </w:tblPr>
            <w:tblGrid>
              <w:gridCol w:w="4560"/>
            </w:tblGrid>
            <w:tr w:rsidR="00C36692" w:rsidRPr="00C36692">
              <w:tc>
                <w:tcPr>
                  <w:tcW w:w="4560" w:type="dxa"/>
                  <w:tcBorders>
                    <w:top w:val="inset" w:sz="36" w:space="0" w:color="000000"/>
                    <w:left w:val="inset" w:sz="36" w:space="0" w:color="000000"/>
                    <w:bottom w:val="inset" w:sz="36" w:space="0" w:color="000000"/>
                    <w:right w:val="inset" w:sz="36" w:space="0" w:color="000000"/>
                  </w:tcBorders>
                  <w:shd w:val="clear" w:color="auto" w:fill="auto"/>
                  <w:tcMar>
                    <w:top w:w="0" w:type="dxa"/>
                    <w:left w:w="90" w:type="dxa"/>
                    <w:bottom w:w="0" w:type="dxa"/>
                    <w:right w:w="90" w:type="dxa"/>
                  </w:tcMar>
                  <w:vAlign w:val="center"/>
                  <w:hideMark/>
                </w:tcPr>
                <w:p w:rsidR="00C36692" w:rsidRPr="00C36692" w:rsidRDefault="00C36692" w:rsidP="00C36692">
                  <w:pPr>
                    <w:spacing w:after="60"/>
                    <w:jc w:val="both"/>
                    <w:rPr>
                      <w:rFonts w:eastAsia="Times New Roman"/>
                      <w:b/>
                      <w:szCs w:val="24"/>
                    </w:rPr>
                  </w:pPr>
                  <w:r w:rsidRPr="00C36692">
                    <w:rPr>
                      <w:rFonts w:eastAsia="Times New Roman"/>
                      <w:b/>
                      <w:szCs w:val="24"/>
                    </w:rPr>
                    <w:t xml:space="preserve">Legenda: </w:t>
                  </w:r>
                </w:p>
                <w:p w:rsidR="00C36692" w:rsidRPr="00C36692" w:rsidRDefault="00C36692" w:rsidP="00C36692">
                  <w:pPr>
                    <w:spacing w:after="60"/>
                    <w:jc w:val="both"/>
                    <w:rPr>
                      <w:rFonts w:eastAsia="Times New Roman"/>
                      <w:b/>
                      <w:szCs w:val="24"/>
                    </w:rPr>
                  </w:pPr>
                  <w:r w:rsidRPr="00C36692">
                    <w:rPr>
                      <w:rFonts w:eastAsia="Times New Roman"/>
                      <w:b/>
                      <w:szCs w:val="24"/>
                    </w:rPr>
                    <w:t xml:space="preserve">- - znatan negativni učinak </w:t>
                  </w:r>
                </w:p>
                <w:p w:rsidR="00C36692" w:rsidRPr="00C36692" w:rsidRDefault="00C36692" w:rsidP="00C36692">
                  <w:pPr>
                    <w:spacing w:after="60"/>
                    <w:jc w:val="both"/>
                    <w:rPr>
                      <w:rFonts w:eastAsia="Times New Roman"/>
                      <w:b/>
                      <w:szCs w:val="24"/>
                    </w:rPr>
                  </w:pPr>
                  <w:r w:rsidRPr="00C36692">
                    <w:rPr>
                      <w:rFonts w:eastAsia="Times New Roman"/>
                      <w:b/>
                      <w:szCs w:val="24"/>
                    </w:rPr>
                    <w:t xml:space="preserve">- ograničen negativni učinak </w:t>
                  </w:r>
                </w:p>
                <w:p w:rsidR="00C36692" w:rsidRPr="00C36692" w:rsidRDefault="00C36692" w:rsidP="00C36692">
                  <w:pPr>
                    <w:spacing w:after="60"/>
                    <w:jc w:val="both"/>
                    <w:rPr>
                      <w:rFonts w:eastAsia="Times New Roman"/>
                      <w:b/>
                      <w:szCs w:val="24"/>
                    </w:rPr>
                  </w:pPr>
                  <w:r w:rsidRPr="00C36692">
                    <w:rPr>
                      <w:rFonts w:eastAsia="Times New Roman"/>
                      <w:b/>
                      <w:szCs w:val="24"/>
                    </w:rPr>
                    <w:t xml:space="preserve">1 nema učinka </w:t>
                  </w:r>
                </w:p>
                <w:p w:rsidR="00C36692" w:rsidRPr="00C36692" w:rsidRDefault="00C36692" w:rsidP="00C36692">
                  <w:pPr>
                    <w:spacing w:after="60"/>
                    <w:jc w:val="both"/>
                    <w:rPr>
                      <w:rFonts w:eastAsia="Times New Roman"/>
                      <w:b/>
                      <w:szCs w:val="24"/>
                    </w:rPr>
                  </w:pPr>
                  <w:r w:rsidRPr="00C36692">
                    <w:rPr>
                      <w:rFonts w:eastAsia="Times New Roman"/>
                      <w:b/>
                      <w:szCs w:val="24"/>
                    </w:rPr>
                    <w:t xml:space="preserve">+ ograničen pozitivan učinak </w:t>
                  </w:r>
                </w:p>
                <w:p w:rsidR="00E55920" w:rsidRPr="00C36692" w:rsidRDefault="00C36692" w:rsidP="00C36692">
                  <w:pPr>
                    <w:spacing w:after="60"/>
                    <w:jc w:val="both"/>
                    <w:rPr>
                      <w:rFonts w:eastAsia="Times New Roman"/>
                      <w:b/>
                      <w:szCs w:val="24"/>
                    </w:rPr>
                  </w:pPr>
                  <w:r w:rsidRPr="00C36692">
                    <w:rPr>
                      <w:rFonts w:eastAsia="Times New Roman"/>
                      <w:b/>
                      <w:szCs w:val="24"/>
                    </w:rPr>
                    <w:t xml:space="preserve">+ + znatan pozitivan učinak </w:t>
                  </w:r>
                </w:p>
              </w:tc>
            </w:tr>
          </w:tbl>
          <w:p w:rsidR="00C36692" w:rsidRPr="0097347E" w:rsidRDefault="00C36692" w:rsidP="00EF4A24">
            <w:pPr>
              <w:spacing w:after="60"/>
              <w:jc w:val="both"/>
              <w:rPr>
                <w:rFonts w:eastAsia="Times New Roman"/>
                <w:b/>
                <w:szCs w:val="24"/>
              </w:rPr>
            </w:pPr>
          </w:p>
        </w:tc>
      </w:tr>
      <w:tr w:rsidR="00055680" w:rsidRPr="0097347E" w:rsidTr="00AF6E53">
        <w:tc>
          <w:tcPr>
            <w:tcW w:w="851" w:type="dxa"/>
            <w:vMerge w:val="restart"/>
          </w:tcPr>
          <w:p w:rsidR="00055680" w:rsidRPr="0097347E" w:rsidRDefault="00055680" w:rsidP="00EF4A24">
            <w:r w:rsidRPr="0097347E">
              <w:t xml:space="preserve">5. </w:t>
            </w:r>
          </w:p>
        </w:tc>
        <w:tc>
          <w:tcPr>
            <w:tcW w:w="9072" w:type="dxa"/>
            <w:gridSpan w:val="3"/>
          </w:tcPr>
          <w:p w:rsidR="00055680" w:rsidRPr="0097347E" w:rsidRDefault="00055680" w:rsidP="00EF4A24">
            <w:pPr>
              <w:rPr>
                <w:b/>
              </w:rPr>
            </w:pPr>
            <w:r w:rsidRPr="0097347E">
              <w:rPr>
                <w:b/>
              </w:rPr>
              <w:t>PROVOĐENJE SCM METODOLOGIJE</w:t>
            </w:r>
          </w:p>
        </w:tc>
      </w:tr>
      <w:tr w:rsidR="00055680" w:rsidRPr="0097347E" w:rsidTr="00EF4A24">
        <w:tc>
          <w:tcPr>
            <w:tcW w:w="851" w:type="dxa"/>
            <w:vMerge/>
          </w:tcPr>
          <w:p w:rsidR="00055680" w:rsidRPr="0097347E" w:rsidRDefault="00055680" w:rsidP="00EF4A24"/>
        </w:tc>
        <w:tc>
          <w:tcPr>
            <w:tcW w:w="9072" w:type="dxa"/>
            <w:gridSpan w:val="3"/>
            <w:shd w:val="clear" w:color="auto" w:fill="auto"/>
          </w:tcPr>
          <w:p w:rsidR="00C36692" w:rsidRPr="00C36692" w:rsidRDefault="00C36692" w:rsidP="00C36692">
            <w:pPr>
              <w:jc w:val="both"/>
              <w:rPr>
                <w:rFonts w:eastAsia="Times New Roman"/>
                <w:i/>
                <w:szCs w:val="24"/>
              </w:rPr>
            </w:pPr>
            <w:r w:rsidRPr="00C36692">
              <w:rPr>
                <w:rFonts w:eastAsia="Times New Roman"/>
                <w:i/>
                <w:szCs w:val="24"/>
              </w:rPr>
              <w:t xml:space="preserve">Ako je odgovor na pitanje pod rednim brojem 6.1. "DA", iz Prethodnog MSP testa potrebno je uz Obrazac prethodne procjene priložiti pravilno ispunjenu Standard </w:t>
            </w:r>
            <w:proofErr w:type="spellStart"/>
            <w:r w:rsidRPr="00C36692">
              <w:rPr>
                <w:rFonts w:eastAsia="Times New Roman"/>
                <w:i/>
                <w:szCs w:val="24"/>
              </w:rPr>
              <w:t>Cost</w:t>
            </w:r>
            <w:proofErr w:type="spellEnd"/>
            <w:r w:rsidRPr="00C36692">
              <w:rPr>
                <w:rFonts w:eastAsia="Times New Roman"/>
                <w:i/>
                <w:szCs w:val="24"/>
              </w:rPr>
              <w:t xml:space="preserve"> Model (SCM) tablicu s procjenom mogućeg administrativnog troška za svaku propisanu obvezu i zahtjev (SCM kalkulator). </w:t>
            </w:r>
          </w:p>
          <w:p w:rsidR="00C36692" w:rsidRPr="00C36692" w:rsidRDefault="00C36692" w:rsidP="00C36692">
            <w:pPr>
              <w:jc w:val="both"/>
              <w:rPr>
                <w:rFonts w:eastAsia="Times New Roman"/>
                <w:i/>
                <w:szCs w:val="24"/>
              </w:rPr>
            </w:pPr>
            <w:r w:rsidRPr="00C36692">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C36692" w:rsidRPr="00C36692" w:rsidRDefault="00C36692" w:rsidP="00C36692">
            <w:pPr>
              <w:jc w:val="both"/>
              <w:rPr>
                <w:rFonts w:eastAsia="Times New Roman"/>
                <w:i/>
                <w:color w:val="76923C" w:themeColor="accent3" w:themeShade="BF"/>
                <w:szCs w:val="24"/>
              </w:rPr>
            </w:pPr>
            <w:r w:rsidRPr="00C36692">
              <w:rPr>
                <w:rFonts w:eastAsia="Times New Roman"/>
                <w:i/>
                <w:iCs/>
                <w:szCs w:val="24"/>
              </w:rPr>
              <w:t xml:space="preserve">SCM kalkulator dostupan je na stranici: </w:t>
            </w:r>
            <w:hyperlink r:id="rId6" w:history="1">
              <w:r w:rsidRPr="00C36692">
                <w:rPr>
                  <w:rStyle w:val="Hiperveza"/>
                  <w:rFonts w:eastAsia="Times New Roman"/>
                  <w:i/>
                  <w:color w:val="auto"/>
                  <w:szCs w:val="24"/>
                </w:rPr>
                <w:t xml:space="preserve">http://www.mingo.hr/page/standard-cost-model </w:t>
              </w:r>
            </w:hyperlink>
          </w:p>
          <w:p w:rsidR="00FF038C" w:rsidRDefault="00FF038C" w:rsidP="00EF4A24">
            <w:pPr>
              <w:jc w:val="both"/>
              <w:rPr>
                <w:rFonts w:eastAsia="Times New Roman"/>
                <w:i/>
                <w:color w:val="76923C" w:themeColor="accent3" w:themeShade="BF"/>
                <w:szCs w:val="24"/>
              </w:rPr>
            </w:pPr>
          </w:p>
          <w:p w:rsidR="00FF038C" w:rsidRPr="009D407E" w:rsidRDefault="00FF038C" w:rsidP="00EF4A24">
            <w:pPr>
              <w:jc w:val="both"/>
              <w:rPr>
                <w:rFonts w:eastAsia="Times New Roman"/>
                <w:szCs w:val="24"/>
              </w:rPr>
            </w:pPr>
            <w:r w:rsidRPr="009D407E">
              <w:rPr>
                <w:rFonts w:eastAsia="Times New Roman"/>
                <w:szCs w:val="24"/>
              </w:rPr>
              <w:t>Nema potrebe provođenja SCM metodologije</w:t>
            </w:r>
          </w:p>
          <w:p w:rsidR="00FF038C" w:rsidRDefault="00FF038C" w:rsidP="00EF4A24">
            <w:pPr>
              <w:jc w:val="both"/>
              <w:rPr>
                <w:rFonts w:eastAsia="Times New Roman"/>
                <w:i/>
                <w:color w:val="76923C" w:themeColor="accent3" w:themeShade="BF"/>
                <w:szCs w:val="24"/>
              </w:rPr>
            </w:pPr>
          </w:p>
          <w:p w:rsidR="00055680" w:rsidRPr="0097347E" w:rsidRDefault="00055680" w:rsidP="00AD252E">
            <w:pPr>
              <w:jc w:val="both"/>
              <w:rPr>
                <w:rFonts w:eastAsia="Times New Roman"/>
                <w:i/>
                <w:szCs w:val="24"/>
              </w:rPr>
            </w:pPr>
          </w:p>
        </w:tc>
      </w:tr>
      <w:tr w:rsidR="00055680" w:rsidRPr="0097347E" w:rsidTr="00AF6E53">
        <w:tc>
          <w:tcPr>
            <w:tcW w:w="851" w:type="dxa"/>
          </w:tcPr>
          <w:p w:rsidR="00055680" w:rsidRPr="0097347E" w:rsidRDefault="00055680" w:rsidP="00EF4A24">
            <w:r w:rsidRPr="0097347E">
              <w:t>6.</w:t>
            </w:r>
          </w:p>
        </w:tc>
        <w:tc>
          <w:tcPr>
            <w:tcW w:w="9072" w:type="dxa"/>
            <w:gridSpan w:val="3"/>
          </w:tcPr>
          <w:p w:rsidR="00055680" w:rsidRPr="0097347E" w:rsidRDefault="00055680" w:rsidP="00EF4A24">
            <w:pPr>
              <w:rPr>
                <w:b/>
              </w:rPr>
            </w:pPr>
            <w:r w:rsidRPr="0097347E">
              <w:rPr>
                <w:b/>
              </w:rPr>
              <w:t>SAVJETOVANJE I KONZULTACIJE</w:t>
            </w:r>
          </w:p>
        </w:tc>
      </w:tr>
      <w:tr w:rsidR="00055680" w:rsidRPr="0097347E" w:rsidTr="00EF4A24">
        <w:trPr>
          <w:trHeight w:val="425"/>
        </w:trPr>
        <w:tc>
          <w:tcPr>
            <w:tcW w:w="851" w:type="dxa"/>
          </w:tcPr>
          <w:p w:rsidR="00055680" w:rsidRPr="0097347E" w:rsidRDefault="00055680" w:rsidP="00EF4A24"/>
        </w:tc>
        <w:tc>
          <w:tcPr>
            <w:tcW w:w="9072" w:type="dxa"/>
            <w:gridSpan w:val="3"/>
            <w:shd w:val="clear" w:color="auto" w:fill="auto"/>
          </w:tcPr>
          <w:p w:rsidR="00FF038C" w:rsidRDefault="00FF038C" w:rsidP="00EF4A24">
            <w:pPr>
              <w:jc w:val="both"/>
              <w:rPr>
                <w:i/>
                <w:color w:val="76923C" w:themeColor="accent3" w:themeShade="BF"/>
              </w:rPr>
            </w:pPr>
          </w:p>
          <w:p w:rsidR="00C36692" w:rsidRPr="00C36692" w:rsidRDefault="00C36692" w:rsidP="00C36692">
            <w:pPr>
              <w:jc w:val="both"/>
            </w:pPr>
            <w:r w:rsidRPr="00C36692">
              <w:t xml:space="preserve">Savjetovanje se provodi u trajanju od najmanje 30 dana uz javno izlaganje materije koja je predmet savjetovanja. Savjetovanje se provodi putem središnjeg državnog internetskog portala za savjetovanje s javnošću objavom nacrta prijedloga zakona i Iskaza o procjeni učinaka propisa. Tijekom savjetovanja potrebno je provesti jedno ili više javnih izlaganja nacrta prijedloga zakona i Iskaza o procjeni učinaka propisa neposrednim kontaktom s dionicima. </w:t>
            </w:r>
          </w:p>
          <w:p w:rsidR="00C36692" w:rsidRPr="00C36692" w:rsidRDefault="00C36692" w:rsidP="00C36692">
            <w:pPr>
              <w:jc w:val="both"/>
            </w:pPr>
            <w:r w:rsidRPr="00C36692">
              <w:lastRenderedPageBreak/>
              <w:t xml:space="preserve">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nacrt prijedloga zakona i Iskaz o procjeni učinaka propisa. </w:t>
            </w:r>
          </w:p>
          <w:p w:rsidR="00C36692" w:rsidRPr="00C36692" w:rsidRDefault="00C36692" w:rsidP="00C36692">
            <w:pPr>
              <w:jc w:val="both"/>
            </w:pPr>
            <w:r w:rsidRPr="00C36692">
              <w:t xml:space="preserve">Istovremeno sa savjetovanjem, Iskaz o procjeni učinaka propisa dostavlja se na mišljenje nadležnim tijelima i Uredu za zakonodavstvo. Potrebno je ukratko navesti kojim nadležnim tijelima je dostavljen Iskaz o procjeni učinaka propisa i kada je zaprimljeno mišljenje nadležnog tijela i Ureda za zakonodavstvo. </w:t>
            </w:r>
          </w:p>
          <w:p w:rsidR="00FF038C" w:rsidRPr="009D407E" w:rsidRDefault="00FF038C" w:rsidP="00EF4A24">
            <w:pPr>
              <w:jc w:val="both"/>
              <w:rPr>
                <w:i/>
              </w:rPr>
            </w:pPr>
          </w:p>
          <w:p w:rsidR="00055680" w:rsidRPr="0097347E" w:rsidRDefault="00055680" w:rsidP="00EF4A24">
            <w:pPr>
              <w:contextualSpacing/>
              <w:jc w:val="both"/>
              <w:rPr>
                <w:i/>
                <w:szCs w:val="24"/>
              </w:rPr>
            </w:pPr>
          </w:p>
        </w:tc>
      </w:tr>
      <w:tr w:rsidR="00055680" w:rsidRPr="0097347E" w:rsidTr="00AF6E53">
        <w:tc>
          <w:tcPr>
            <w:tcW w:w="851" w:type="dxa"/>
          </w:tcPr>
          <w:p w:rsidR="00055680" w:rsidRPr="0097347E" w:rsidRDefault="00055680" w:rsidP="00EF4A24">
            <w:r w:rsidRPr="0097347E">
              <w:lastRenderedPageBreak/>
              <w:t>7.</w:t>
            </w:r>
          </w:p>
        </w:tc>
        <w:tc>
          <w:tcPr>
            <w:tcW w:w="9072" w:type="dxa"/>
            <w:gridSpan w:val="3"/>
          </w:tcPr>
          <w:p w:rsidR="00055680" w:rsidRPr="0097347E" w:rsidRDefault="00055680" w:rsidP="00EF4A24">
            <w:r w:rsidRPr="0097347E">
              <w:rPr>
                <w:b/>
              </w:rPr>
              <w:t>OPTIMALNO RJEŠENJE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Default="00C36692" w:rsidP="00EF4A24">
            <w:pPr>
              <w:jc w:val="both"/>
              <w:rPr>
                <w:i/>
              </w:rPr>
            </w:pPr>
            <w:r w:rsidRPr="00C36692">
              <w:rPr>
                <w:i/>
              </w:rPr>
              <w:t>Potrebno je kratko i sažeto prezentirati ukupne rezultate provedenog postupka procjene učinaka. Potrebno je dati analizu koristi i troškova nacrta prijedloga zakona, imajući u vidu rezultate analize i provedeno savjetovanje. Na temelju svega izloženog u postupku procjene učinaka propisa sažeto predložite optimalno normativno rješenje koje dovodi do rješenja za utvrđeni problem tako što donosi najviše ukupnih koristi u odnosu na ukupne troškove.</w:t>
            </w:r>
          </w:p>
          <w:p w:rsidR="00C36692" w:rsidRPr="0097347E" w:rsidRDefault="00C36692" w:rsidP="00C36692">
            <w:pPr>
              <w:jc w:val="both"/>
              <w:rPr>
                <w:i/>
              </w:rPr>
            </w:pPr>
            <w:r>
              <w:rPr>
                <w:i/>
              </w:rPr>
              <w:t>Ovim nacrtom prijedloga zakona nema učinaka stoga nije moguće prezentirati ukupne rezultate provedenog postupka procjene istih, istodobno nije bilo niti primjedbi na provedeno savjetovanje o prethodnoj procjeni.</w:t>
            </w:r>
          </w:p>
        </w:tc>
      </w:tr>
      <w:tr w:rsidR="00055680" w:rsidRPr="0097347E" w:rsidTr="00AF6E53">
        <w:tc>
          <w:tcPr>
            <w:tcW w:w="851" w:type="dxa"/>
          </w:tcPr>
          <w:p w:rsidR="00055680" w:rsidRPr="0097347E" w:rsidRDefault="00055680" w:rsidP="00EF4A24">
            <w:r w:rsidRPr="0097347E">
              <w:t>8.</w:t>
            </w:r>
          </w:p>
        </w:tc>
        <w:tc>
          <w:tcPr>
            <w:tcW w:w="9072" w:type="dxa"/>
            <w:gridSpan w:val="3"/>
          </w:tcPr>
          <w:p w:rsidR="00055680" w:rsidRPr="0097347E" w:rsidRDefault="00055680" w:rsidP="00EF4A24">
            <w:pPr>
              <w:rPr>
                <w:b/>
              </w:rPr>
            </w:pPr>
            <w:r w:rsidRPr="0097347E">
              <w:rPr>
                <w:b/>
              </w:rPr>
              <w:t>VREMENSKI OKVIR I VREDNOVANJE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Default="00C36692" w:rsidP="00EF4A24">
            <w:pPr>
              <w:jc w:val="both"/>
              <w:rPr>
                <w:i/>
              </w:rPr>
            </w:pPr>
            <w:r w:rsidRPr="00C36692">
              <w:rPr>
                <w:i/>
              </w:rPr>
              <w:t>Sažeto i jasno navedite vremenski okvir postizanja očekivanih ishoda zakona, kako bi se omogućilo kontinuirano praćenje provedbe, kao i naknadno vrednovanje provedbe zakona. Za praćenje provedbe zakona potrebno je sažeto navesti kratki pregled postupka provedbe, utvrditi osnovne indikatore za praćenje provedbe (osnovne pokazatelje uspješnosti), utvrditi osnovne indikatore za vrednovanje postignutih ishoda zakona. Ako do sada nije bilo dostupnih podataka, odnosno podaci nisu bili cjeloviti ili se nisu prikupljali na odgovarajući način, kroz praćenje provedbe zakona moguće je utvrditi osnovne indikatore na temelju kojih će se podaci početi prikupljati.</w:t>
            </w:r>
          </w:p>
          <w:p w:rsidR="00C36692" w:rsidRPr="00C36692" w:rsidRDefault="00CD6AF2" w:rsidP="00CD6AF2">
            <w:pPr>
              <w:jc w:val="both"/>
            </w:pPr>
            <w:r>
              <w:t xml:space="preserve">S obzirom na prirodu predloženog nacrta prijedloga zakona, moguće je ishode zakona očekivati nakon proteka sljedeće kalendarske godine, s obzirom da se sredstva u Državnom proračunu Republike Hrvatske za tu namjenu planiraju na godišnjoj razini. </w:t>
            </w:r>
          </w:p>
        </w:tc>
      </w:tr>
      <w:tr w:rsidR="00055680" w:rsidRPr="0097347E" w:rsidTr="00AF6E53">
        <w:tc>
          <w:tcPr>
            <w:tcW w:w="851" w:type="dxa"/>
          </w:tcPr>
          <w:p w:rsidR="00055680" w:rsidRPr="0097347E" w:rsidRDefault="00055680" w:rsidP="00EF4A24">
            <w:r w:rsidRPr="0097347E">
              <w:t xml:space="preserve">9. </w:t>
            </w:r>
          </w:p>
        </w:tc>
        <w:tc>
          <w:tcPr>
            <w:tcW w:w="9072" w:type="dxa"/>
            <w:gridSpan w:val="3"/>
          </w:tcPr>
          <w:p w:rsidR="00055680" w:rsidRPr="0097347E" w:rsidRDefault="00055680" w:rsidP="00EF4A24">
            <w:pPr>
              <w:jc w:val="both"/>
              <w:rPr>
                <w:b/>
              </w:rPr>
            </w:pPr>
            <w:r w:rsidRPr="0097347E">
              <w:rPr>
                <w:b/>
              </w:rPr>
              <w:t>PRILOZI</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CD6AF2" w:rsidRPr="00CD6AF2" w:rsidRDefault="00CD6AF2" w:rsidP="00CD6AF2">
            <w:pPr>
              <w:jc w:val="both"/>
              <w:rPr>
                <w:i/>
              </w:rPr>
            </w:pPr>
            <w:r w:rsidRPr="00CD6AF2">
              <w:rPr>
                <w:i/>
              </w:rPr>
              <w:t xml:space="preserve">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 </w:t>
            </w:r>
          </w:p>
          <w:p w:rsidR="00CD6AF2" w:rsidRPr="00CD6AF2" w:rsidRDefault="00CD6AF2" w:rsidP="00CD6AF2">
            <w:pPr>
              <w:jc w:val="both"/>
              <w:rPr>
                <w:i/>
              </w:rPr>
            </w:pPr>
            <w:r w:rsidRPr="00CD6AF2">
              <w:rPr>
                <w:i/>
              </w:rPr>
              <w:t xml:space="preserve">  </w:t>
            </w:r>
          </w:p>
          <w:p w:rsidR="00055680" w:rsidRPr="0097347E" w:rsidRDefault="00CD6AF2" w:rsidP="00EF4A24">
            <w:pPr>
              <w:jc w:val="both"/>
              <w:rPr>
                <w:i/>
              </w:rPr>
            </w:pPr>
            <w:r>
              <w:rPr>
                <w:i/>
              </w:rPr>
              <w:t>Nema dodatnih priloga</w:t>
            </w:r>
          </w:p>
        </w:tc>
      </w:tr>
      <w:tr w:rsidR="00055680" w:rsidRPr="0097347E" w:rsidTr="00AF6E53">
        <w:tc>
          <w:tcPr>
            <w:tcW w:w="851" w:type="dxa"/>
          </w:tcPr>
          <w:p w:rsidR="00055680" w:rsidRPr="0097347E" w:rsidRDefault="00055680" w:rsidP="00EF4A24">
            <w:r w:rsidRPr="0097347E">
              <w:t xml:space="preserve">10. </w:t>
            </w:r>
          </w:p>
        </w:tc>
        <w:tc>
          <w:tcPr>
            <w:tcW w:w="9072" w:type="dxa"/>
            <w:gridSpan w:val="3"/>
          </w:tcPr>
          <w:p w:rsidR="00055680" w:rsidRPr="0097347E" w:rsidRDefault="00055680" w:rsidP="00EF4A24">
            <w:pPr>
              <w:rPr>
                <w:b/>
                <w:szCs w:val="24"/>
              </w:rPr>
            </w:pPr>
            <w:r w:rsidRPr="0097347E">
              <w:rPr>
                <w:b/>
                <w:szCs w:val="24"/>
              </w:rPr>
              <w:t>POTPIS ČELNIKA TIJELA</w:t>
            </w:r>
          </w:p>
        </w:tc>
      </w:tr>
      <w:tr w:rsidR="00055680" w:rsidRPr="0097347E" w:rsidTr="00AF6E53">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Potpis:</w:t>
            </w:r>
          </w:p>
          <w:p w:rsidR="00055680" w:rsidRPr="0097347E" w:rsidRDefault="00055680" w:rsidP="00EF4A24">
            <w:pPr>
              <w:jc w:val="both"/>
              <w:rPr>
                <w:rFonts w:eastAsia="Times New Roman"/>
                <w:szCs w:val="24"/>
              </w:rPr>
            </w:pPr>
          </w:p>
          <w:p w:rsidR="00055680" w:rsidRPr="0097347E" w:rsidRDefault="00055680" w:rsidP="00EF4A24">
            <w:pPr>
              <w:jc w:val="both"/>
              <w:rPr>
                <w:rFonts w:eastAsia="Times New Roman"/>
                <w:szCs w:val="24"/>
              </w:rPr>
            </w:pPr>
            <w:r w:rsidRPr="0097347E">
              <w:rPr>
                <w:rFonts w:eastAsia="Times New Roman"/>
                <w:szCs w:val="24"/>
              </w:rPr>
              <w:t>Datum:</w:t>
            </w:r>
          </w:p>
          <w:p w:rsidR="00055680" w:rsidRPr="0097347E" w:rsidRDefault="00055680" w:rsidP="00EF4A24">
            <w:pPr>
              <w:rPr>
                <w:szCs w:val="24"/>
              </w:rPr>
            </w:pPr>
          </w:p>
        </w:tc>
      </w:tr>
      <w:tr w:rsidR="00055680" w:rsidRPr="0097347E" w:rsidTr="00AF6E53">
        <w:tc>
          <w:tcPr>
            <w:tcW w:w="851" w:type="dxa"/>
          </w:tcPr>
          <w:p w:rsidR="00055680" w:rsidRPr="0097347E" w:rsidRDefault="00055680" w:rsidP="00EF4A24">
            <w:r w:rsidRPr="0097347E">
              <w:t>11.</w:t>
            </w:r>
          </w:p>
        </w:tc>
        <w:tc>
          <w:tcPr>
            <w:tcW w:w="9072" w:type="dxa"/>
            <w:gridSpan w:val="3"/>
          </w:tcPr>
          <w:p w:rsidR="00055680" w:rsidRPr="0097347E" w:rsidRDefault="00055680" w:rsidP="00EF4A24">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055680" w:rsidRPr="0097347E" w:rsidTr="00AF6E53">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Uputa:</w:t>
            </w:r>
          </w:p>
          <w:p w:rsidR="00055680" w:rsidRPr="0097347E" w:rsidRDefault="00055680" w:rsidP="00EF4A24">
            <w:pPr>
              <w:pStyle w:val="Odlomakpopisa"/>
              <w:numPr>
                <w:ilvl w:val="0"/>
                <w:numId w:val="1"/>
              </w:numPr>
              <w:jc w:val="both"/>
              <w:rPr>
                <w:rFonts w:eastAsia="Times New Roman"/>
                <w:i/>
                <w:szCs w:val="24"/>
              </w:rPr>
            </w:pPr>
            <w:r w:rsidRPr="0097347E">
              <w:rPr>
                <w:rFonts w:eastAsia="Times New Roman"/>
                <w:i/>
                <w:szCs w:val="24"/>
              </w:rPr>
              <w:t xml:space="preserve">Prilikom primjene ovoga Obrasca na provedbene propise i akte planiranja u izradi, izričaj „nacrt prijedloga zakona“ potrebno je zamijeniti s nazivom provedbenog </w:t>
            </w:r>
            <w:r w:rsidRPr="0097347E">
              <w:rPr>
                <w:rFonts w:eastAsia="Times New Roman"/>
                <w:i/>
                <w:szCs w:val="24"/>
              </w:rPr>
              <w:lastRenderedPageBreak/>
              <w:t>propisa odnosno akta planiranja.</w:t>
            </w:r>
          </w:p>
        </w:tc>
      </w:tr>
    </w:tbl>
    <w:p w:rsidR="00A70780" w:rsidRDefault="00A70780" w:rsidP="00EF4A24"/>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0"/>
    <w:rsid w:val="00055680"/>
    <w:rsid w:val="001A38FB"/>
    <w:rsid w:val="001D4A74"/>
    <w:rsid w:val="001F1D29"/>
    <w:rsid w:val="003B55AB"/>
    <w:rsid w:val="004104DC"/>
    <w:rsid w:val="004770A5"/>
    <w:rsid w:val="00480A66"/>
    <w:rsid w:val="005F69BB"/>
    <w:rsid w:val="00606210"/>
    <w:rsid w:val="00630BDE"/>
    <w:rsid w:val="00733A74"/>
    <w:rsid w:val="0073787C"/>
    <w:rsid w:val="007A5451"/>
    <w:rsid w:val="00825E46"/>
    <w:rsid w:val="00850050"/>
    <w:rsid w:val="009967A2"/>
    <w:rsid w:val="009D407E"/>
    <w:rsid w:val="00A70780"/>
    <w:rsid w:val="00AD252E"/>
    <w:rsid w:val="00AF6E53"/>
    <w:rsid w:val="00B44261"/>
    <w:rsid w:val="00B6170A"/>
    <w:rsid w:val="00B92045"/>
    <w:rsid w:val="00C36692"/>
    <w:rsid w:val="00CD1D4F"/>
    <w:rsid w:val="00CD6AF2"/>
    <w:rsid w:val="00D04026"/>
    <w:rsid w:val="00D2618B"/>
    <w:rsid w:val="00D71DA1"/>
    <w:rsid w:val="00DD5191"/>
    <w:rsid w:val="00E55920"/>
    <w:rsid w:val="00EF4A24"/>
    <w:rsid w:val="00F60BA8"/>
    <w:rsid w:val="00FF038C"/>
    <w:rsid w:val="00FF07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680"/>
    <w:pPr>
      <w:ind w:left="720"/>
      <w:contextualSpacing/>
    </w:pPr>
  </w:style>
  <w:style w:type="table" w:styleId="Reetkatablice">
    <w:name w:val="Table Grid"/>
    <w:basedOn w:val="Obinatablica"/>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55680"/>
    <w:rPr>
      <w:color w:val="0000FF"/>
      <w:u w:val="single"/>
    </w:rPr>
  </w:style>
  <w:style w:type="paragraph" w:styleId="Tekstbalonia">
    <w:name w:val="Balloon Text"/>
    <w:basedOn w:val="Normal"/>
    <w:link w:val="TekstbaloniaChar"/>
    <w:uiPriority w:val="99"/>
    <w:semiHidden/>
    <w:unhideWhenUsed/>
    <w:rsid w:val="007A5451"/>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451"/>
    <w:rPr>
      <w:rFonts w:ascii="Tahoma" w:eastAsia="Calibri" w:hAnsi="Tahoma" w:cs="Tahoma"/>
      <w:sz w:val="16"/>
      <w:szCs w:val="16"/>
      <w:lang w:eastAsia="hr-HR"/>
    </w:rPr>
  </w:style>
  <w:style w:type="paragraph" w:styleId="StandardWeb">
    <w:name w:val="Normal (Web)"/>
    <w:basedOn w:val="Normal"/>
    <w:uiPriority w:val="99"/>
    <w:semiHidden/>
    <w:unhideWhenUsed/>
    <w:rsid w:val="00825E4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680"/>
    <w:pPr>
      <w:ind w:left="720"/>
      <w:contextualSpacing/>
    </w:pPr>
  </w:style>
  <w:style w:type="table" w:styleId="Reetkatablice">
    <w:name w:val="Table Grid"/>
    <w:basedOn w:val="Obinatablica"/>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55680"/>
    <w:rPr>
      <w:color w:val="0000FF"/>
      <w:u w:val="single"/>
    </w:rPr>
  </w:style>
  <w:style w:type="paragraph" w:styleId="Tekstbalonia">
    <w:name w:val="Balloon Text"/>
    <w:basedOn w:val="Normal"/>
    <w:link w:val="TekstbaloniaChar"/>
    <w:uiPriority w:val="99"/>
    <w:semiHidden/>
    <w:unhideWhenUsed/>
    <w:rsid w:val="007A5451"/>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451"/>
    <w:rPr>
      <w:rFonts w:ascii="Tahoma" w:eastAsia="Calibri" w:hAnsi="Tahoma" w:cs="Tahoma"/>
      <w:sz w:val="16"/>
      <w:szCs w:val="16"/>
      <w:lang w:eastAsia="hr-HR"/>
    </w:rPr>
  </w:style>
  <w:style w:type="paragraph" w:styleId="StandardWeb">
    <w:name w:val="Normal (Web)"/>
    <w:basedOn w:val="Normal"/>
    <w:uiPriority w:val="99"/>
    <w:semiHidden/>
    <w:unhideWhenUsed/>
    <w:rsid w:val="00825E4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go.hr/page/standard-cost-mod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2101</Words>
  <Characters>11981</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mfkor</cp:lastModifiedBy>
  <cp:revision>4</cp:revision>
  <cp:lastPrinted>2018-06-13T10:01:00Z</cp:lastPrinted>
  <dcterms:created xsi:type="dcterms:W3CDTF">2018-01-17T09:30:00Z</dcterms:created>
  <dcterms:modified xsi:type="dcterms:W3CDTF">2018-06-13T10:23:00Z</dcterms:modified>
</cp:coreProperties>
</file>