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E2513F" w:rsidRDefault="008A4E17" w:rsidP="00E2513F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Nacrt</w:t>
            </w:r>
            <w:r w:rsidR="00FE6883" w:rsidRPr="008A4E17">
              <w:rPr>
                <w:rFonts w:ascii="Arial" w:eastAsia="Simsun (Founder Extended)" w:hAnsi="Arial" w:cs="Arial"/>
                <w:sz w:val="20"/>
                <w:szCs w:val="20"/>
              </w:rPr>
              <w:t xml:space="preserve"> prijedloga </w:t>
            </w:r>
            <w:r w:rsidR="006C4426">
              <w:rPr>
                <w:rFonts w:ascii="Arial" w:eastAsia="Simsun (Founder Extended)" w:hAnsi="Arial" w:cs="Arial"/>
                <w:sz w:val="20"/>
                <w:szCs w:val="20"/>
              </w:rPr>
              <w:t xml:space="preserve">Pravilnika </w:t>
            </w:r>
            <w:r w:rsidR="006C44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 izmjenama i dopunama </w:t>
            </w:r>
            <w:r w:rsidR="00E251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</w:t>
            </w:r>
            <w:r w:rsidR="00E2513F" w:rsidRPr="00E251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ravilnika o mjerama za poticanje korištenja </w:t>
            </w:r>
            <w:proofErr w:type="spellStart"/>
            <w:r w:rsidR="00E2513F" w:rsidRPr="00E251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="00E2513F" w:rsidRPr="00E251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 prijevozu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C50C63" w:rsidRDefault="00C50C63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AA051D" w:rsidRDefault="00464DD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0F6925" w:rsidRDefault="00FE6883" w:rsidP="000F6925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Style w:val="defaultparagraphfont-00001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Javno savjetovanje o Nacrtu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prijedloga </w:t>
            </w:r>
            <w:r w:rsidR="00E2513F">
              <w:rPr>
                <w:rFonts w:ascii="Arial" w:eastAsia="Simsun (Founder Extended)" w:hAnsi="Arial" w:cs="Arial"/>
                <w:sz w:val="20"/>
                <w:szCs w:val="20"/>
              </w:rPr>
              <w:t xml:space="preserve">Pravilnika </w:t>
            </w:r>
            <w:r w:rsidR="00E251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izmjenama i dopunama P</w:t>
            </w:r>
            <w:r w:rsidR="00E2513F" w:rsidRPr="00E251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ravilnika o mjerama za poticanje korištenja </w:t>
            </w:r>
            <w:proofErr w:type="spellStart"/>
            <w:r w:rsidR="00E2513F" w:rsidRPr="00E251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="00E2513F" w:rsidRPr="00E251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prijevozu</w:t>
            </w:r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</w:t>
            </w:r>
            <w:r w:rsidR="000F6925">
              <w:rPr>
                <w:rStyle w:val="defaultparagraphfont-000012"/>
                <w:rFonts w:ascii="Arial" w:hAnsi="Arial" w:cs="Arial"/>
                <w:sz w:val="20"/>
                <w:szCs w:val="20"/>
              </w:rPr>
              <w:t>te prikupljanje mišljenja i primjedbi zainteresirane javnosti na rješenja predložena naznačenim Nacrtom.</w:t>
            </w:r>
          </w:p>
          <w:p w:rsidR="008A4E17" w:rsidRDefault="008A4E17" w:rsidP="000F6925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Style w:val="defaultparagraphfont-000012"/>
                <w:rFonts w:ascii="Arial" w:hAnsi="Arial" w:cs="Arial"/>
                <w:sz w:val="20"/>
                <w:szCs w:val="20"/>
              </w:rPr>
            </w:pPr>
          </w:p>
          <w:p w:rsidR="008A4E17" w:rsidRPr="000F6925" w:rsidRDefault="006C4426" w:rsidP="006C4426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efaultparagraphfont-000012"/>
                <w:rFonts w:ascii="Arial" w:hAnsi="Arial" w:cs="Arial"/>
                <w:sz w:val="20"/>
                <w:szCs w:val="20"/>
              </w:rPr>
              <w:t>Predmetnim Pravilnikom</w:t>
            </w:r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provodi se usklađivanje normativnog </w:t>
            </w:r>
            <w:proofErr w:type="spellStart"/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>uređenj</w:t>
            </w:r>
            <w:proofErr w:type="spellEnd"/>
            <w:r w:rsidR="007F63A1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poticanja korištenja </w:t>
            </w:r>
            <w:proofErr w:type="spellStart"/>
            <w:r w:rsidR="007F63A1">
              <w:rPr>
                <w:rStyle w:val="defaultparagraphfont-000012"/>
                <w:rFonts w:ascii="Arial" w:hAnsi="Arial" w:cs="Arial"/>
                <w:sz w:val="20"/>
                <w:szCs w:val="20"/>
              </w:rPr>
              <w:t>biogoriva</w:t>
            </w:r>
            <w:proofErr w:type="spellEnd"/>
            <w:r w:rsidR="007F63A1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za prijevoz</w:t>
            </w:r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s odredbama Zakona o izmjenama i dopunama Zakona o </w:t>
            </w:r>
            <w:proofErr w:type="spellStart"/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>biogorivima</w:t>
            </w:r>
            <w:proofErr w:type="spellEnd"/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za prijevoz („Narodne novine“, br. 94/18).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DB6D8F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B6D8F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DB6D8F" w:rsidRDefault="00DB6D8F" w:rsidP="00DB6D8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B6D8F">
              <w:rPr>
                <w:rFonts w:ascii="Arial" w:eastAsia="Simsun (Founder Extended)" w:hAnsi="Arial" w:cs="Arial"/>
                <w:sz w:val="20"/>
                <w:szCs w:val="20"/>
              </w:rPr>
              <w:t>14</w:t>
            </w:r>
            <w:r w:rsidR="008A4E17" w:rsidRPr="00DB6D8F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 w:rsidRPr="00DB6D8F">
              <w:rPr>
                <w:rFonts w:ascii="Arial" w:eastAsia="Simsun (Founder Extended)" w:hAnsi="Arial" w:cs="Arial"/>
                <w:sz w:val="20"/>
                <w:szCs w:val="20"/>
              </w:rPr>
              <w:t>studenoga</w:t>
            </w:r>
            <w:r w:rsidR="008A4E17" w:rsidRPr="00DB6D8F">
              <w:rPr>
                <w:rFonts w:ascii="Arial" w:eastAsia="Simsun (Founder Extended)" w:hAnsi="Arial" w:cs="Arial"/>
                <w:sz w:val="20"/>
                <w:szCs w:val="20"/>
              </w:rPr>
              <w:t xml:space="preserve"> 2018.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3C6358" w:rsidP="00C50C6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Prva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C50C63" w:rsidRPr="00C50C63" w:rsidRDefault="00C50C63" w:rsidP="00C50C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FEB" w:rsidRPr="00EA7FEB" w:rsidRDefault="00EA7FEB" w:rsidP="00EA7FE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Zakonom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izmjenama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dopunama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Zakona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biogorivima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7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(„</w:t>
            </w:r>
            <w:proofErr w:type="spellStart"/>
            <w:r w:rsidRPr="00EA7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Narodne</w:t>
            </w:r>
            <w:proofErr w:type="spellEnd"/>
            <w:r w:rsidRPr="00EA7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novine</w:t>
            </w:r>
            <w:proofErr w:type="spellEnd"/>
            <w:r w:rsidRPr="00EA7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“, br. 94/18)</w:t>
            </w:r>
            <w:r w:rsidRPr="00EA7F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osim postojećeg modela obveznih količina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koje je potrebno staviti na tržište, propisuje se uvođenje dodatnog modela koji se bazira na smanjivanju emisija stakleničkih plinova kako bi se ostvario cilj od 6 % smanjenja emisija stakleničkih plinova u 2020. </w:t>
            </w:r>
          </w:p>
          <w:p w:rsidR="00EA7FEB" w:rsidRPr="00EA7FEB" w:rsidRDefault="00EA7FEB" w:rsidP="00EA7FE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A7FEB" w:rsidRPr="00EA7FEB" w:rsidRDefault="00EA7FEB" w:rsidP="00EA7FE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Navedenim zakonom se propisuje slijedeća dinamika smanjenja emisije stakleničkih plinova u životnom vijeku isporučenog tekućeg naftnog goriva i energije, koje je obveznik stavio na tržište Republike Hrvatske, u odnosu na razinu emisije iz 2010. godine:</w:t>
            </w:r>
          </w:p>
          <w:p w:rsidR="00EA7FEB" w:rsidRPr="00EA7FEB" w:rsidRDefault="00EA7FEB" w:rsidP="00EA7FE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EA7FEB" w:rsidRPr="00EA7FEB" w:rsidRDefault="00EA7FEB" w:rsidP="00EA7F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najmanje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2 %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31.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prosinca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2018.,</w:t>
            </w:r>
          </w:p>
          <w:p w:rsidR="00EA7FEB" w:rsidRPr="00EA7FEB" w:rsidRDefault="00EA7FEB" w:rsidP="00EA7F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najmanje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3 %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31.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prosinca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2019.,</w:t>
            </w:r>
          </w:p>
          <w:p w:rsidR="00EA7FEB" w:rsidRPr="00EA7FEB" w:rsidRDefault="00EA7FEB" w:rsidP="00EA7F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najmanje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6 %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31. </w:t>
            </w:r>
            <w:proofErr w:type="spellStart"/>
            <w:proofErr w:type="gram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prosinca</w:t>
            </w:r>
            <w:proofErr w:type="spellEnd"/>
            <w:proofErr w:type="gram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2020.</w:t>
            </w:r>
          </w:p>
          <w:p w:rsidR="00EA7FEB" w:rsidRPr="00EA7FEB" w:rsidRDefault="00EA7FEB" w:rsidP="00EA7F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A7FEB" w:rsidRPr="00EA7FEB" w:rsidRDefault="00EA7FEB" w:rsidP="00EA7FE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tim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svezi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navedeni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Zakon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propisuje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plaćanje okolišne naknade ukoliko nisu ispunjeni uvjeti smanjenja emisija stakleničkih plinova, te obveznici stavljanja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na tržište količine </w:t>
            </w:r>
            <w:proofErr w:type="spellStart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Pr="00EA7F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koje nisu stavili na tržište u prethodnoj godini više neće moći prenositi u tekuću godinu, već će morati platiti posebnu naknadu za okoliša. </w:t>
            </w:r>
          </w:p>
          <w:p w:rsidR="008A4E17" w:rsidRPr="002D508A" w:rsidRDefault="008A4E17" w:rsidP="002D508A">
            <w:pPr>
              <w:pStyle w:val="tb-na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D508A" w:rsidRDefault="003D66A8" w:rsidP="00571664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toga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predmetnim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prijedlogom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pravilnika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usklađuju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odredbe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A0829" w:rsidRPr="007A08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pravilnika o mjerama za poticanje korištenja </w:t>
            </w:r>
            <w:proofErr w:type="spellStart"/>
            <w:r w:rsidR="007A0829" w:rsidRPr="007A08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biogoriva</w:t>
            </w:r>
            <w:proofErr w:type="spellEnd"/>
            <w:r w:rsidR="007A0829" w:rsidRPr="007A08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 prijevozu s odredbama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zakona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izmjenama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dopunama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zakona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biogorivima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dijelu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koji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propisuje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plaćanje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posebne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okoliš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radi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nestavljanja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biogoriva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tržište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uređuju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se </w:t>
            </w:r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metodologija za izračun udjela energije iz obnovljivih izvora u prijevozu, metodologija za izračun ispunjenja nacionalnog cilja stavljanja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biogoriva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tržište, metodologija za izračun korekcije obveze stavljanja </w:t>
            </w:r>
            <w:proofErr w:type="spellStart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biogoriva</w:t>
            </w:r>
            <w:proofErr w:type="spellEnd"/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tržište, te se usklađuju prilozi predmetnog </w:t>
            </w:r>
            <w:r w:rsidR="00571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7A0829" w:rsidRPr="007A0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ravilnika.</w:t>
            </w:r>
          </w:p>
          <w:p w:rsidR="00536371" w:rsidRDefault="00536371" w:rsidP="005363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Predmetnim pravilnikom </w:t>
            </w:r>
            <w:r w:rsidRPr="00536371">
              <w:rPr>
                <w:rFonts w:ascii="Arial" w:hAnsi="Arial" w:cs="Arial"/>
                <w:bCs/>
                <w:iCs/>
                <w:sz w:val="20"/>
                <w:szCs w:val="20"/>
              </w:rPr>
              <w:t>nastavit će se daljnje usklađivanje nacionalnog zakonodavstva s odredbama Direktive (EU) 2015/1513 Europ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skog parlamenta i Vijeća od 9. rujna 2015. o</w:t>
            </w:r>
            <w:r w:rsidRPr="0053637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izmjeni Direktive 98/70/EZ o kakvoći benzinskih i dizelskih goriva i izmjeni Direktive 2009/28/EZ o promicanju uporabe energije iz obnovljivih izvora</w:t>
            </w:r>
            <w:r w:rsidRPr="005363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17D7" w:rsidRPr="00536371" w:rsidRDefault="000217D7" w:rsidP="005363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36371" w:rsidRDefault="00536371" w:rsidP="0053637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637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Imajući u vidu tekući postupak zbog povrede prava EU (pismo službene obavijesti br. 2017/0529) radi neobavješćivanja Europske komisije o nacionalnim mjerama prenošenja Direktive (EU) 2015/1513,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predviđeno trajanje savjetovanja je 15 dana</w:t>
            </w:r>
            <w:r w:rsidRPr="0053637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radi ubrzanja postupka usklađivanja nacionalnog zakonodavstva s Direktivom (EU) 2015/1513 i pozitivnog okončanja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postupka zbog povrede prava EU.</w:t>
            </w:r>
          </w:p>
          <w:p w:rsidR="00536371" w:rsidRPr="00536371" w:rsidRDefault="00536371" w:rsidP="0053637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E85399" w:rsidRPr="00830BDF" w:rsidRDefault="00117139" w:rsidP="00E8539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svrha savjetovanja i, gdje je to prikladno, cilj koji bi se prijedlogom želio postići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117139" w:rsidP="00EA40A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metoda savjetovanja </w:t>
            </w:r>
          </w:p>
          <w:p w:rsidR="00830BDF" w:rsidRPr="005F22B9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830BDF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nternetsko savjetovanje</w:t>
            </w:r>
            <w:r w:rsidR="00E85399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putem mrežne stranice e-Savjetovanje.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</w:t>
            </w:r>
            <w:r w:rsidR="000B3619" w:rsidRPr="00830BDF"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gdje je prikladno, poziv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da podastru svoje zamisli ili procjenu o načinu na koji će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i prijedlozi 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utjecati na organizacije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civilnoga društva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830BDF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i, gdje god je moguće, prijedlog rokova za ostatak procesa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, uključujući izjavu o načinu na koji će biti pružena povratna informacija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42687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2687B">
              <w:rPr>
                <w:rFonts w:ascii="Arial" w:eastAsia="Simsun (Founder Extended)" w:hAnsi="Arial" w:cs="Arial"/>
                <w:sz w:val="20"/>
                <w:szCs w:val="20"/>
              </w:rPr>
              <w:t>Rok</w:t>
            </w:r>
            <w:r w:rsidR="00582DF3" w:rsidRPr="0042687B">
              <w:rPr>
                <w:rFonts w:ascii="Arial" w:eastAsia="Simsun (Founder Extended)" w:hAnsi="Arial" w:cs="Arial"/>
                <w:sz w:val="20"/>
                <w:szCs w:val="20"/>
              </w:rPr>
              <w:t xml:space="preserve"> za zaprimanje komentara je </w:t>
            </w:r>
            <w:r w:rsidR="0042687B" w:rsidRPr="0042687B">
              <w:rPr>
                <w:rFonts w:ascii="Arial" w:eastAsia="Simsun (Founder Extended)" w:hAnsi="Arial" w:cs="Arial"/>
                <w:sz w:val="20"/>
                <w:szCs w:val="20"/>
              </w:rPr>
              <w:t>do 29. studenoga 2018.</w:t>
            </w:r>
            <w:r w:rsidRPr="0042687B">
              <w:rPr>
                <w:rFonts w:ascii="Arial" w:eastAsia="Simsun (Founder Extended)" w:hAnsi="Arial" w:cs="Arial"/>
                <w:sz w:val="20"/>
                <w:szCs w:val="20"/>
              </w:rPr>
              <w:t xml:space="preserve">, a očekivana objava Izvješća o provedenom savjetovanju je </w:t>
            </w:r>
            <w:r w:rsidR="0042687B" w:rsidRPr="0042687B">
              <w:rPr>
                <w:rFonts w:ascii="Arial" w:eastAsia="Simsun (Founder Extended)" w:hAnsi="Arial" w:cs="Arial"/>
                <w:sz w:val="20"/>
                <w:szCs w:val="20"/>
              </w:rPr>
              <w:t>do 3. prosinca 2018</w:t>
            </w:r>
            <w:r w:rsidR="00186201" w:rsidRPr="0042687B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830BD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(koordinator savjetovanja)</w:t>
            </w:r>
          </w:p>
          <w:p w:rsidR="00830BDF" w:rsidRDefault="00830BDF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2D508A" w:rsidP="002D508A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Zdravka Zmajlović</w:t>
            </w:r>
            <w:r w:rsidR="0018620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zdravka.zmajlovic</w:t>
            </w:r>
            <w:proofErr w:type="spellEnd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@</w:t>
            </w:r>
            <w:proofErr w:type="spellStart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mzoe</w:t>
            </w:r>
            <w:r w:rsidR="00186201" w:rsidRPr="00830BDF">
              <w:rPr>
                <w:rFonts w:ascii="Arial" w:eastAsia="Simsun (Founder Extended)" w:hAnsi="Arial" w:cs="Arial"/>
                <w:sz w:val="20"/>
                <w:szCs w:val="20"/>
              </w:rPr>
              <w:t>.hr</w:t>
            </w:r>
            <w:proofErr w:type="spellEnd"/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)</w:t>
            </w:r>
            <w:r w:rsidR="00EA40A8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zahtjev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A527D8" w:rsidRDefault="00A527D8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2D508A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953B71">
              <w:rPr>
                <w:rFonts w:ascii="Arial" w:eastAsia="Simsun (Founder Extended)" w:hAnsi="Arial" w:cs="Arial"/>
                <w:sz w:val="20"/>
                <w:szCs w:val="20"/>
              </w:rPr>
              <w:t>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izjava da 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zaprimljeni 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anonimnih, uvredljivih i irelevantnih komentara koji se neće objaviti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953B71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su javno dostupni na 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mrežnoj stranici e-Savjetovanje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te se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videntiraju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automatski u trenutku</w:t>
            </w:r>
            <w:r w:rsidRPr="00E05B08">
              <w:rPr>
                <w:rFonts w:ascii="Arial" w:eastAsia="Simsun (Founder Extended)" w:hAnsi="Arial" w:cs="Arial"/>
                <w:sz w:val="20"/>
                <w:szCs w:val="20"/>
              </w:rPr>
              <w:t xml:space="preserve"> kad su zaprimljeni. Odgovori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Ministarstva zaštite okoliša i energetike su također dostupni na mrežnoj stranici e-Savjetovanje i evidentiraju se na isti način.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05B08" w:rsidRPr="00AA051D" w:rsidRDefault="00E05B08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053ABE" w:rsidRPr="00AA051D" w:rsidRDefault="002D508A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053ABE">
              <w:rPr>
                <w:rFonts w:ascii="Arial" w:eastAsia="Simsun (Founder Extended)" w:hAnsi="Arial" w:cs="Arial"/>
                <w:sz w:val="20"/>
                <w:szCs w:val="20"/>
              </w:rPr>
              <w:t>rimjenjivo.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D6"/>
    <w:multiLevelType w:val="hybridMultilevel"/>
    <w:tmpl w:val="1B107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030DA"/>
    <w:rsid w:val="000217D7"/>
    <w:rsid w:val="00053ABE"/>
    <w:rsid w:val="0008240B"/>
    <w:rsid w:val="0008777D"/>
    <w:rsid w:val="000A69CB"/>
    <w:rsid w:val="000B3619"/>
    <w:rsid w:val="000C3E0B"/>
    <w:rsid w:val="000F6925"/>
    <w:rsid w:val="00117139"/>
    <w:rsid w:val="00186201"/>
    <w:rsid w:val="00262245"/>
    <w:rsid w:val="0027193A"/>
    <w:rsid w:val="00297BD5"/>
    <w:rsid w:val="002C093B"/>
    <w:rsid w:val="002D508A"/>
    <w:rsid w:val="003207B1"/>
    <w:rsid w:val="0033269E"/>
    <w:rsid w:val="003C6358"/>
    <w:rsid w:val="003D66A8"/>
    <w:rsid w:val="003D6BC0"/>
    <w:rsid w:val="003E0665"/>
    <w:rsid w:val="0042687B"/>
    <w:rsid w:val="00463B88"/>
    <w:rsid w:val="00464DDF"/>
    <w:rsid w:val="004721D4"/>
    <w:rsid w:val="004978B3"/>
    <w:rsid w:val="004B2B6B"/>
    <w:rsid w:val="004F0EB0"/>
    <w:rsid w:val="004F440C"/>
    <w:rsid w:val="00503956"/>
    <w:rsid w:val="00523503"/>
    <w:rsid w:val="00536371"/>
    <w:rsid w:val="00571664"/>
    <w:rsid w:val="00582DF3"/>
    <w:rsid w:val="005A29F4"/>
    <w:rsid w:val="005F22B9"/>
    <w:rsid w:val="00612AC9"/>
    <w:rsid w:val="00643DC4"/>
    <w:rsid w:val="0066471C"/>
    <w:rsid w:val="00677145"/>
    <w:rsid w:val="006C4426"/>
    <w:rsid w:val="00742E14"/>
    <w:rsid w:val="0079521B"/>
    <w:rsid w:val="007968C1"/>
    <w:rsid w:val="007A0829"/>
    <w:rsid w:val="007A68E9"/>
    <w:rsid w:val="007F63A1"/>
    <w:rsid w:val="00830BDF"/>
    <w:rsid w:val="0083569D"/>
    <w:rsid w:val="00846456"/>
    <w:rsid w:val="0088669C"/>
    <w:rsid w:val="008A4E17"/>
    <w:rsid w:val="009436A5"/>
    <w:rsid w:val="00953B71"/>
    <w:rsid w:val="009566CE"/>
    <w:rsid w:val="00980EDF"/>
    <w:rsid w:val="009B58E6"/>
    <w:rsid w:val="00A113A8"/>
    <w:rsid w:val="00A14585"/>
    <w:rsid w:val="00A16AEE"/>
    <w:rsid w:val="00A17EFF"/>
    <w:rsid w:val="00A527D8"/>
    <w:rsid w:val="00A55084"/>
    <w:rsid w:val="00A92F20"/>
    <w:rsid w:val="00AA051D"/>
    <w:rsid w:val="00AE494C"/>
    <w:rsid w:val="00B0255E"/>
    <w:rsid w:val="00BA0378"/>
    <w:rsid w:val="00BE22C2"/>
    <w:rsid w:val="00BE3FBC"/>
    <w:rsid w:val="00BE640C"/>
    <w:rsid w:val="00BF0E0B"/>
    <w:rsid w:val="00BF5A39"/>
    <w:rsid w:val="00C12F69"/>
    <w:rsid w:val="00C50C63"/>
    <w:rsid w:val="00C9558F"/>
    <w:rsid w:val="00C9590D"/>
    <w:rsid w:val="00CB2880"/>
    <w:rsid w:val="00CD5231"/>
    <w:rsid w:val="00CF23A8"/>
    <w:rsid w:val="00D23B8B"/>
    <w:rsid w:val="00DB6D8F"/>
    <w:rsid w:val="00DD0ACA"/>
    <w:rsid w:val="00DD1522"/>
    <w:rsid w:val="00E05B08"/>
    <w:rsid w:val="00E2513F"/>
    <w:rsid w:val="00E3268D"/>
    <w:rsid w:val="00E34ED3"/>
    <w:rsid w:val="00E47C24"/>
    <w:rsid w:val="00E85399"/>
    <w:rsid w:val="00EA40A8"/>
    <w:rsid w:val="00EA7FEB"/>
    <w:rsid w:val="00EC1EE0"/>
    <w:rsid w:val="00EE6637"/>
    <w:rsid w:val="00F20144"/>
    <w:rsid w:val="00F46CF3"/>
    <w:rsid w:val="00F504AD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  <w:style w:type="paragraph" w:customStyle="1" w:styleId="Stavak">
    <w:name w:val="_ (Stavak)"/>
    <w:basedOn w:val="Normal"/>
    <w:link w:val="StavakChar"/>
    <w:uiPriority w:val="99"/>
    <w:rsid w:val="00C50C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avakChar">
    <w:name w:val="_ (Stavak) Char"/>
    <w:basedOn w:val="DefaultParagraphFont"/>
    <w:link w:val="Stavak"/>
    <w:uiPriority w:val="99"/>
    <w:locked/>
    <w:rsid w:val="00C50C63"/>
    <w:rPr>
      <w:rFonts w:eastAsia="Times New Roman"/>
      <w:sz w:val="24"/>
      <w:szCs w:val="24"/>
      <w:lang w:eastAsia="en-US"/>
    </w:rPr>
  </w:style>
  <w:style w:type="paragraph" w:customStyle="1" w:styleId="tb-na16-000009">
    <w:name w:val="tb-na16-000009"/>
    <w:basedOn w:val="Normal"/>
    <w:rsid w:val="00C50C63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defaultparagraphfont-000012">
    <w:name w:val="defaultparagraphfont-000012"/>
    <w:basedOn w:val="DefaultParagraphFont"/>
    <w:rsid w:val="00C50C6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3D6BC0"/>
    <w:rPr>
      <w:rFonts w:ascii="Calibri" w:eastAsia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8A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  <w:style w:type="paragraph" w:customStyle="1" w:styleId="Stavak">
    <w:name w:val="_ (Stavak)"/>
    <w:basedOn w:val="Normal"/>
    <w:link w:val="StavakChar"/>
    <w:uiPriority w:val="99"/>
    <w:rsid w:val="00C50C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avakChar">
    <w:name w:val="_ (Stavak) Char"/>
    <w:basedOn w:val="DefaultParagraphFont"/>
    <w:link w:val="Stavak"/>
    <w:uiPriority w:val="99"/>
    <w:locked/>
    <w:rsid w:val="00C50C63"/>
    <w:rPr>
      <w:rFonts w:eastAsia="Times New Roman"/>
      <w:sz w:val="24"/>
      <w:szCs w:val="24"/>
      <w:lang w:eastAsia="en-US"/>
    </w:rPr>
  </w:style>
  <w:style w:type="paragraph" w:customStyle="1" w:styleId="tb-na16-000009">
    <w:name w:val="tb-na16-000009"/>
    <w:basedOn w:val="Normal"/>
    <w:rsid w:val="00C50C63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defaultparagraphfont-000012">
    <w:name w:val="defaultparagraphfont-000012"/>
    <w:basedOn w:val="DefaultParagraphFont"/>
    <w:rsid w:val="00C50C6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3D6BC0"/>
    <w:rPr>
      <w:rFonts w:ascii="Calibri" w:eastAsia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8A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Kristina Čolig</cp:lastModifiedBy>
  <cp:revision>11</cp:revision>
  <cp:lastPrinted>2018-07-03T08:30:00Z</cp:lastPrinted>
  <dcterms:created xsi:type="dcterms:W3CDTF">2018-10-29T18:27:00Z</dcterms:created>
  <dcterms:modified xsi:type="dcterms:W3CDTF">2018-11-14T11:57:00Z</dcterms:modified>
</cp:coreProperties>
</file>