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0A" w:rsidRPr="00293E03" w:rsidRDefault="0053670A" w:rsidP="00FA6B7A">
      <w:pPr>
        <w:spacing w:before="100" w:beforeAutospacing="1" w:after="100" w:afterAutospacing="1"/>
        <w:jc w:val="center"/>
        <w:rPr>
          <w:b/>
          <w:bCs/>
          <w:color w:val="000000"/>
          <w:lang w:eastAsia="zh-TW"/>
        </w:rPr>
      </w:pPr>
      <w:r w:rsidRPr="00293E03">
        <w:rPr>
          <w:b/>
          <w:bCs/>
          <w:color w:val="000000"/>
          <w:lang w:eastAsia="zh-TW"/>
        </w:rPr>
        <w:t>MINISTARSTVO GOSPODARSTVA</w:t>
      </w:r>
      <w:r w:rsidR="0045261F">
        <w:rPr>
          <w:b/>
          <w:bCs/>
          <w:color w:val="000000"/>
          <w:lang w:eastAsia="zh-TW"/>
        </w:rPr>
        <w:t>, PODUZETNIŠTVA I OBRTA</w:t>
      </w:r>
      <w:bookmarkStart w:id="0" w:name="_GoBack"/>
      <w:bookmarkEnd w:id="0"/>
    </w:p>
    <w:p w:rsidR="0053670A" w:rsidRPr="005D39EE" w:rsidRDefault="0053670A" w:rsidP="00BF5FA0">
      <w:pPr>
        <w:spacing w:before="100" w:beforeAutospacing="1" w:after="100" w:afterAutospacing="1"/>
        <w:jc w:val="both"/>
        <w:rPr>
          <w:lang w:eastAsia="zh-TW"/>
        </w:rPr>
      </w:pPr>
      <w:r w:rsidRPr="005D39EE">
        <w:rPr>
          <w:lang w:eastAsia="zh-TW"/>
        </w:rPr>
        <w:t>Na temelju članka 4. stavka 1. Zakona o tehničkim zahtjevima za proizvode i ocjenjivanju sukladnosti (»Narodne novine«, broj 80/2013</w:t>
      </w:r>
      <w:r w:rsidR="00A61F25" w:rsidRPr="005D39EE">
        <w:rPr>
          <w:lang w:eastAsia="zh-TW"/>
        </w:rPr>
        <w:t xml:space="preserve"> i 14/2014</w:t>
      </w:r>
      <w:r w:rsidR="00B1314A" w:rsidRPr="005D39EE">
        <w:rPr>
          <w:lang w:eastAsia="zh-TW"/>
        </w:rPr>
        <w:t>), minist</w:t>
      </w:r>
      <w:r w:rsidR="0003799C" w:rsidRPr="005D39EE">
        <w:rPr>
          <w:lang w:eastAsia="zh-TW"/>
        </w:rPr>
        <w:t>ar</w:t>
      </w:r>
      <w:r w:rsidRPr="005D39EE">
        <w:rPr>
          <w:lang w:eastAsia="zh-TW"/>
        </w:rPr>
        <w:t xml:space="preserve"> gospodarstva</w:t>
      </w:r>
      <w:r w:rsidR="0045261F" w:rsidRPr="005D39EE">
        <w:rPr>
          <w:lang w:eastAsia="zh-TW"/>
        </w:rPr>
        <w:t>, poduzetništva i obrta</w:t>
      </w:r>
      <w:r w:rsidRPr="005D39EE">
        <w:rPr>
          <w:lang w:eastAsia="zh-TW"/>
        </w:rPr>
        <w:t xml:space="preserve"> u suradnji s ministrom zaštite okoliša i </w:t>
      </w:r>
      <w:r w:rsidR="00B1314A" w:rsidRPr="005D39EE">
        <w:rPr>
          <w:lang w:eastAsia="zh-TW"/>
        </w:rPr>
        <w:t>energetike i ministrom zdravstva</w:t>
      </w:r>
      <w:r w:rsidRPr="005D39EE">
        <w:rPr>
          <w:lang w:eastAsia="zh-TW"/>
        </w:rPr>
        <w:t xml:space="preserve"> donosi</w:t>
      </w:r>
    </w:p>
    <w:p w:rsidR="007B13AC" w:rsidRPr="005D39EE" w:rsidRDefault="006019B0" w:rsidP="007D79B2">
      <w:pPr>
        <w:pStyle w:val="Title"/>
        <w:rPr>
          <w:rFonts w:ascii="Times New Roman" w:hAnsi="Times New Roman"/>
          <w:b w:val="0"/>
        </w:rPr>
      </w:pPr>
      <w:r w:rsidRPr="005D39EE">
        <w:rPr>
          <w:rFonts w:ascii="Times New Roman" w:hAnsi="Times New Roman"/>
          <w:b w:val="0"/>
        </w:rPr>
        <w:t>Pravilnik</w:t>
      </w:r>
      <w:r w:rsidR="0064512A" w:rsidRPr="005D39EE">
        <w:rPr>
          <w:rFonts w:ascii="Times New Roman" w:hAnsi="Times New Roman"/>
          <w:b w:val="0"/>
        </w:rPr>
        <w:t xml:space="preserve"> </w:t>
      </w:r>
      <w:r w:rsidRPr="005D39EE">
        <w:rPr>
          <w:rFonts w:ascii="Times New Roman" w:hAnsi="Times New Roman"/>
          <w:b w:val="0"/>
        </w:rPr>
        <w:t xml:space="preserve">o </w:t>
      </w:r>
      <w:r w:rsidR="007D79B2" w:rsidRPr="005D39EE">
        <w:rPr>
          <w:rFonts w:ascii="Times New Roman" w:hAnsi="Times New Roman"/>
          <w:b w:val="0"/>
        </w:rPr>
        <w:t xml:space="preserve">izmjenama i dopunama Pravilnika o </w:t>
      </w:r>
      <w:r w:rsidRPr="005D39EE">
        <w:rPr>
          <w:rFonts w:ascii="Times New Roman" w:hAnsi="Times New Roman"/>
          <w:b w:val="0"/>
        </w:rPr>
        <w:t xml:space="preserve">ograničavanju uporabe određenih opasnih tvari u </w:t>
      </w:r>
      <w:r w:rsidR="007D79B2" w:rsidRPr="005D39EE">
        <w:rPr>
          <w:rFonts w:ascii="Times New Roman" w:hAnsi="Times New Roman"/>
          <w:b w:val="0"/>
        </w:rPr>
        <w:t>električnoj</w:t>
      </w:r>
      <w:r w:rsidRPr="005D39EE">
        <w:rPr>
          <w:rFonts w:ascii="Times New Roman" w:hAnsi="Times New Roman"/>
          <w:b w:val="0"/>
        </w:rPr>
        <w:t xml:space="preserve"> </w:t>
      </w:r>
      <w:r w:rsidR="00CC0CF6" w:rsidRPr="005D39EE">
        <w:rPr>
          <w:rFonts w:ascii="Times New Roman" w:hAnsi="Times New Roman"/>
          <w:b w:val="0"/>
        </w:rPr>
        <w:t xml:space="preserve">i </w:t>
      </w:r>
      <w:r w:rsidR="007D79B2" w:rsidRPr="005D39EE">
        <w:rPr>
          <w:rFonts w:ascii="Times New Roman" w:hAnsi="Times New Roman"/>
          <w:b w:val="0"/>
        </w:rPr>
        <w:t>elektroničk</w:t>
      </w:r>
      <w:r w:rsidR="004308D0" w:rsidRPr="005D39EE">
        <w:rPr>
          <w:rFonts w:ascii="Times New Roman" w:hAnsi="Times New Roman"/>
          <w:b w:val="0"/>
        </w:rPr>
        <w:t xml:space="preserve">oj </w:t>
      </w:r>
      <w:r w:rsidRPr="005D39EE">
        <w:rPr>
          <w:rFonts w:ascii="Times New Roman" w:hAnsi="Times New Roman"/>
          <w:b w:val="0"/>
        </w:rPr>
        <w:t>opremi</w:t>
      </w:r>
    </w:p>
    <w:p w:rsidR="00216D16" w:rsidRPr="005D39EE" w:rsidRDefault="00216D16" w:rsidP="0064512A">
      <w:pPr>
        <w:pStyle w:val="Heading1"/>
      </w:pPr>
      <w:r w:rsidRPr="005D39EE">
        <w:t>Članak 1.</w:t>
      </w:r>
    </w:p>
    <w:p w:rsidR="00A71792" w:rsidRPr="005D39EE" w:rsidRDefault="006E47C6" w:rsidP="006043FA">
      <w:pPr>
        <w:spacing w:before="120"/>
        <w:jc w:val="both"/>
      </w:pPr>
      <w:r w:rsidRPr="005D39EE">
        <w:t>U Pravilniku o ograničavanju uporabe određenih opasnih tvari u električnoj i elektroničkoj</w:t>
      </w:r>
      <w:r w:rsidR="00E4492B" w:rsidRPr="005D39EE">
        <w:t xml:space="preserve"> opremi (»Narodne novine«, broj </w:t>
      </w:r>
      <w:r w:rsidRPr="005D39EE">
        <w:t>131/</w:t>
      </w:r>
      <w:r w:rsidR="00F4311E" w:rsidRPr="005D39EE">
        <w:t>2013,</w:t>
      </w:r>
      <w:r w:rsidR="00AF1190" w:rsidRPr="005D39EE">
        <w:t xml:space="preserve"> 16/2014</w:t>
      </w:r>
      <w:r w:rsidR="00593558" w:rsidRPr="005D39EE">
        <w:t>,</w:t>
      </w:r>
      <w:r w:rsidR="00F4311E" w:rsidRPr="005D39EE">
        <w:t xml:space="preserve"> 90/2014</w:t>
      </w:r>
      <w:r w:rsidR="00827A03" w:rsidRPr="005D39EE">
        <w:t xml:space="preserve">, </w:t>
      </w:r>
      <w:r w:rsidR="00593558" w:rsidRPr="005D39EE">
        <w:t>142/2014</w:t>
      </w:r>
      <w:r w:rsidR="00827A03" w:rsidRPr="005D39EE">
        <w:t>, 128/2015, 92/2016</w:t>
      </w:r>
      <w:r w:rsidR="0003799C" w:rsidRPr="005D39EE">
        <w:t xml:space="preserve">, </w:t>
      </w:r>
      <w:r w:rsidR="00827A03" w:rsidRPr="005D39EE">
        <w:t xml:space="preserve">  20/2017</w:t>
      </w:r>
      <w:r w:rsidR="0003799C" w:rsidRPr="005D39EE">
        <w:t xml:space="preserve"> i 58/2018</w:t>
      </w:r>
      <w:r w:rsidRPr="005D39EE">
        <w:t>)</w:t>
      </w:r>
      <w:r w:rsidR="00A71792" w:rsidRPr="005D39EE">
        <w:t xml:space="preserve"> </w:t>
      </w:r>
      <w:r w:rsidR="00206E38" w:rsidRPr="005D39EE">
        <w:t>u član</w:t>
      </w:r>
      <w:r w:rsidR="00A71792" w:rsidRPr="005D39EE">
        <w:t>k</w:t>
      </w:r>
      <w:r w:rsidR="00206E38" w:rsidRPr="005D39EE">
        <w:t>u</w:t>
      </w:r>
      <w:r w:rsidR="00E4492B" w:rsidRPr="005D39EE">
        <w:t> </w:t>
      </w:r>
      <w:r w:rsidR="00A71792" w:rsidRPr="005D39EE">
        <w:t>1</w:t>
      </w:r>
      <w:r w:rsidR="00206E38" w:rsidRPr="005D39EE">
        <w:t xml:space="preserve">. </w:t>
      </w:r>
      <w:r w:rsidR="00D516E4" w:rsidRPr="005D39EE">
        <w:t>stavku</w:t>
      </w:r>
      <w:r w:rsidR="00E4492B" w:rsidRPr="005D39EE">
        <w:t> </w:t>
      </w:r>
      <w:r w:rsidR="00206E38" w:rsidRPr="005D39EE">
        <w:t>2.</w:t>
      </w:r>
      <w:r w:rsidR="00E4492B" w:rsidRPr="005D39EE">
        <w:t xml:space="preserve"> iza točke </w:t>
      </w:r>
      <w:r w:rsidR="00827A03" w:rsidRPr="005D39EE">
        <w:t>3</w:t>
      </w:r>
      <w:r w:rsidR="0003799C" w:rsidRPr="005D39EE">
        <w:t>7</w:t>
      </w:r>
      <w:r w:rsidR="00206E38" w:rsidRPr="005D39EE">
        <w:t>. dodaju</w:t>
      </w:r>
      <w:r w:rsidR="00193F98" w:rsidRPr="005D39EE">
        <w:t xml:space="preserve"> se točke</w:t>
      </w:r>
      <w:r w:rsidR="00E4492B" w:rsidRPr="005D39EE">
        <w:t> </w:t>
      </w:r>
      <w:r w:rsidR="00827A03" w:rsidRPr="005D39EE">
        <w:t>3</w:t>
      </w:r>
      <w:r w:rsidR="0003799C" w:rsidRPr="005D39EE">
        <w:t>8</w:t>
      </w:r>
      <w:r w:rsidR="00206E38" w:rsidRPr="005D39EE">
        <w:t>.</w:t>
      </w:r>
      <w:r w:rsidR="00827A03" w:rsidRPr="005D39EE">
        <w:t>, 3</w:t>
      </w:r>
      <w:r w:rsidR="0003799C" w:rsidRPr="005D39EE">
        <w:t>9</w:t>
      </w:r>
      <w:r w:rsidR="00827A03" w:rsidRPr="005D39EE">
        <w:t xml:space="preserve">., </w:t>
      </w:r>
      <w:r w:rsidR="0003799C" w:rsidRPr="005D39EE">
        <w:t>40</w:t>
      </w:r>
      <w:r w:rsidR="00827A03" w:rsidRPr="005D39EE">
        <w:t>.</w:t>
      </w:r>
      <w:r w:rsidR="0003799C" w:rsidRPr="005D39EE">
        <w:t>, 41., 42., 43., 44.</w:t>
      </w:r>
      <w:r w:rsidR="007734EF">
        <w:t>,</w:t>
      </w:r>
      <w:r w:rsidR="00827A03" w:rsidRPr="005D39EE">
        <w:t xml:space="preserve">  </w:t>
      </w:r>
      <w:r w:rsidR="0003799C" w:rsidRPr="005D39EE">
        <w:t>45</w:t>
      </w:r>
      <w:r w:rsidR="00827A03" w:rsidRPr="005D39EE">
        <w:t>.</w:t>
      </w:r>
      <w:r w:rsidR="007734EF">
        <w:t xml:space="preserve"> i 46.</w:t>
      </w:r>
      <w:r w:rsidR="00827A03" w:rsidRPr="005D39EE">
        <w:t xml:space="preserve"> ko</w:t>
      </w:r>
      <w:r w:rsidR="00206E38" w:rsidRPr="005D39EE">
        <w:t>je glase:</w:t>
      </w:r>
    </w:p>
    <w:p w:rsidR="000316BF" w:rsidRPr="000316BF" w:rsidRDefault="009B40C6" w:rsidP="006043FA">
      <w:pPr>
        <w:pStyle w:val="Default"/>
        <w:spacing w:before="12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„</w:t>
      </w:r>
      <w:r w:rsidR="000316BF">
        <w:rPr>
          <w:rFonts w:ascii="Times New Roman" w:hAnsi="Times New Roman" w:cs="Times New Roman"/>
          <w:color w:val="auto"/>
        </w:rPr>
        <w:t>38.</w:t>
      </w:r>
      <w:r w:rsidR="000316BF" w:rsidRPr="005D39EE">
        <w:rPr>
          <w:rStyle w:val="Clanak"/>
          <w:rFonts w:ascii="Times New Roman" w:hAnsi="Times New Roman" w:cs="Times New Roman"/>
          <w:color w:val="auto"/>
        </w:rPr>
        <w:t xml:space="preserve"> D</w:t>
      </w:r>
      <w:r w:rsidR="000316BF" w:rsidRPr="005D39EE">
        <w:rPr>
          <w:rFonts w:ascii="Times New Roman" w:hAnsi="Times New Roman" w:cs="Times New Roman"/>
          <w:bCs/>
          <w:color w:val="auto"/>
        </w:rPr>
        <w:t>irektiva (EU) 2017/2102</w:t>
      </w:r>
      <w:r w:rsidR="008B5135">
        <w:rPr>
          <w:rFonts w:ascii="Times New Roman" w:hAnsi="Times New Roman" w:cs="Times New Roman"/>
          <w:bCs/>
          <w:color w:val="auto"/>
        </w:rPr>
        <w:t xml:space="preserve"> Europskog parlamenta i </w:t>
      </w:r>
      <w:r w:rsidR="006909BA">
        <w:rPr>
          <w:rFonts w:ascii="Times New Roman" w:hAnsi="Times New Roman" w:cs="Times New Roman"/>
          <w:bCs/>
          <w:color w:val="auto"/>
        </w:rPr>
        <w:t>V</w:t>
      </w:r>
      <w:r w:rsidR="008B5135">
        <w:rPr>
          <w:rFonts w:ascii="Times New Roman" w:hAnsi="Times New Roman" w:cs="Times New Roman"/>
          <w:bCs/>
          <w:color w:val="auto"/>
        </w:rPr>
        <w:t>ijeća</w:t>
      </w:r>
      <w:r w:rsidR="000316BF" w:rsidRPr="005D39EE">
        <w:rPr>
          <w:rFonts w:ascii="Times New Roman" w:hAnsi="Times New Roman" w:cs="Times New Roman"/>
          <w:bCs/>
          <w:color w:val="auto"/>
        </w:rPr>
        <w:t xml:space="preserve"> оd 15. studenoga 2017. o izmjeni Direktive 2011/65/EU o ograničenju uporabe određenih opasnih tvari u električnoj i elektroničkoj opremi (Tekst značajan za EGP)</w:t>
      </w:r>
      <w:r w:rsidR="008B5135">
        <w:rPr>
          <w:rStyle w:val="Strong"/>
          <w:rFonts w:ascii="Times New Roman" w:hAnsi="Times New Roman" w:cs="Times New Roman"/>
          <w:b w:val="0"/>
          <w:color w:val="auto"/>
        </w:rPr>
        <w:t xml:space="preserve"> (SL L 30</w:t>
      </w:r>
      <w:r w:rsidR="000316BF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5, </w:t>
      </w:r>
      <w:r w:rsidR="008B5135">
        <w:rPr>
          <w:rStyle w:val="Strong"/>
          <w:rFonts w:ascii="Times New Roman" w:hAnsi="Times New Roman" w:cs="Times New Roman"/>
          <w:b w:val="0"/>
          <w:color w:val="auto"/>
        </w:rPr>
        <w:t>21.11.2017.</w:t>
      </w:r>
      <w:r w:rsidR="000316BF" w:rsidRPr="005D39EE">
        <w:rPr>
          <w:rStyle w:val="Strong"/>
          <w:rFonts w:ascii="Times New Roman" w:hAnsi="Times New Roman" w:cs="Times New Roman"/>
          <w:b w:val="0"/>
          <w:color w:val="auto"/>
        </w:rPr>
        <w:t>, str. </w:t>
      </w:r>
      <w:r w:rsidR="008B5135">
        <w:rPr>
          <w:rStyle w:val="Strong"/>
          <w:rFonts w:ascii="Times New Roman" w:hAnsi="Times New Roman" w:cs="Times New Roman"/>
          <w:b w:val="0"/>
          <w:color w:val="auto"/>
        </w:rPr>
        <w:t>8.-11.</w:t>
      </w:r>
      <w:r w:rsidR="000316BF" w:rsidRPr="005D39EE">
        <w:rPr>
          <w:rStyle w:val="Strong"/>
          <w:rFonts w:ascii="Times New Roman" w:hAnsi="Times New Roman" w:cs="Times New Roman"/>
          <w:b w:val="0"/>
          <w:color w:val="auto"/>
        </w:rPr>
        <w:t>)</w:t>
      </w:r>
    </w:p>
    <w:p w:rsidR="00687811" w:rsidRPr="005D39EE" w:rsidRDefault="000316BF" w:rsidP="006043FA">
      <w:pPr>
        <w:pStyle w:val="Default"/>
        <w:spacing w:before="120"/>
        <w:jc w:val="both"/>
        <w:rPr>
          <w:rStyle w:val="Strong"/>
          <w:rFonts w:ascii="Times New Roman" w:hAnsi="Times New Roman" w:cs="Times New Roman"/>
          <w:b w:val="0"/>
          <w:color w:val="auto"/>
        </w:rPr>
      </w:pPr>
      <w:r w:rsidRPr="005D39EE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>9</w:t>
      </w:r>
      <w:r w:rsidR="009354E8" w:rsidRPr="005D39EE">
        <w:rPr>
          <w:rFonts w:ascii="Times New Roman" w:hAnsi="Times New Roman" w:cs="Times New Roman"/>
          <w:color w:val="auto"/>
        </w:rPr>
        <w:t xml:space="preserve">. 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>Delegirana direktiva Komisije (EU) 201</w:t>
      </w:r>
      <w:r w:rsidR="00366DDA" w:rsidRPr="005D39EE">
        <w:rPr>
          <w:rStyle w:val="Strong"/>
          <w:rFonts w:ascii="Times New Roman" w:hAnsi="Times New Roman" w:cs="Times New Roman"/>
          <w:b w:val="0"/>
          <w:color w:val="auto"/>
        </w:rPr>
        <w:t>8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>/</w:t>
      </w:r>
      <w:r w:rsidR="00E347DF" w:rsidRPr="005D39EE">
        <w:rPr>
          <w:rStyle w:val="Strong"/>
          <w:rFonts w:ascii="Times New Roman" w:hAnsi="Times New Roman" w:cs="Times New Roman"/>
          <w:b w:val="0"/>
          <w:color w:val="auto"/>
        </w:rPr>
        <w:t>736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 оd </w:t>
      </w:r>
      <w:r w:rsidR="00366DDA" w:rsidRPr="005D39EE">
        <w:rPr>
          <w:rStyle w:val="Strong"/>
          <w:rFonts w:ascii="Times New Roman" w:hAnsi="Times New Roman" w:cs="Times New Roman"/>
          <w:b w:val="0"/>
          <w:color w:val="auto"/>
        </w:rPr>
        <w:t>27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>. </w:t>
      </w:r>
      <w:r w:rsidR="00366DDA" w:rsidRPr="005D39EE">
        <w:rPr>
          <w:rStyle w:val="Strong"/>
          <w:rFonts w:ascii="Times New Roman" w:hAnsi="Times New Roman" w:cs="Times New Roman"/>
          <w:b w:val="0"/>
          <w:color w:val="auto"/>
        </w:rPr>
        <w:t>veljače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 201</w:t>
      </w:r>
      <w:r w:rsidR="00366DDA" w:rsidRPr="005D39EE">
        <w:rPr>
          <w:rStyle w:val="Strong"/>
          <w:rFonts w:ascii="Times New Roman" w:hAnsi="Times New Roman" w:cs="Times New Roman"/>
          <w:b w:val="0"/>
          <w:color w:val="auto"/>
        </w:rPr>
        <w:t>8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. o izmjeni, </w:t>
      </w:r>
      <w:r w:rsidR="00366DDA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u svrhu prilagodbe 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tehničkom napretku, Priloga III. Direktive 2011/65/EU Europskog parlamenta i Vijeća u pogledu izuzeća za </w:t>
      </w:r>
      <w:r w:rsidR="00366DDA" w:rsidRPr="005D39EE">
        <w:rPr>
          <w:rStyle w:val="Strong"/>
          <w:rFonts w:ascii="Times New Roman" w:hAnsi="Times New Roman" w:cs="Times New Roman"/>
          <w:b w:val="0"/>
          <w:color w:val="auto"/>
        </w:rPr>
        <w:t>određene električne i elektroničke komponente</w:t>
      </w:r>
      <w:r w:rsidR="000B7901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 </w:t>
      </w:r>
      <w:r w:rsidR="00366DDA" w:rsidRPr="005D39EE">
        <w:rPr>
          <w:rStyle w:val="Strong"/>
          <w:rFonts w:ascii="Times New Roman" w:hAnsi="Times New Roman" w:cs="Times New Roman"/>
          <w:b w:val="0"/>
          <w:color w:val="auto"/>
        </w:rPr>
        <w:t>ko</w:t>
      </w:r>
      <w:r w:rsidR="000B7901" w:rsidRPr="005D39EE">
        <w:rPr>
          <w:rStyle w:val="Strong"/>
          <w:rFonts w:ascii="Times New Roman" w:hAnsi="Times New Roman" w:cs="Times New Roman"/>
          <w:b w:val="0"/>
          <w:color w:val="auto"/>
        </w:rPr>
        <w:t>je sadrže olovo u staklu ili keramici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 (Tekst značajan za EGP) </w:t>
      </w:r>
      <w:r w:rsidR="00E4492B" w:rsidRPr="005D39EE">
        <w:rPr>
          <w:rStyle w:val="Strong"/>
          <w:rFonts w:ascii="Times New Roman" w:hAnsi="Times New Roman" w:cs="Times New Roman"/>
          <w:b w:val="0"/>
          <w:color w:val="auto"/>
        </w:rPr>
        <w:t>(SL L 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>1</w:t>
      </w:r>
      <w:r w:rsidR="00E347DF" w:rsidRPr="005D39EE">
        <w:rPr>
          <w:rStyle w:val="Strong"/>
          <w:rFonts w:ascii="Times New Roman" w:hAnsi="Times New Roman" w:cs="Times New Roman"/>
          <w:b w:val="0"/>
          <w:color w:val="auto"/>
        </w:rPr>
        <w:t>23</w:t>
      </w:r>
      <w:r w:rsidR="00593558" w:rsidRPr="005D39EE">
        <w:rPr>
          <w:rStyle w:val="Strong"/>
          <w:rFonts w:ascii="Times New Roman" w:hAnsi="Times New Roman" w:cs="Times New Roman"/>
          <w:b w:val="0"/>
          <w:color w:val="auto"/>
        </w:rPr>
        <w:t>,</w:t>
      </w:r>
      <w:r w:rsidR="00E347DF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 </w:t>
      </w:r>
      <w:r w:rsidR="000B7901" w:rsidRPr="005D39EE">
        <w:rPr>
          <w:rStyle w:val="Strong"/>
          <w:rFonts w:ascii="Times New Roman" w:hAnsi="Times New Roman" w:cs="Times New Roman"/>
          <w:b w:val="0"/>
          <w:color w:val="auto"/>
        </w:rPr>
        <w:t>1</w:t>
      </w:r>
      <w:r w:rsidR="00E347DF" w:rsidRPr="005D39EE">
        <w:rPr>
          <w:rStyle w:val="Strong"/>
          <w:rFonts w:ascii="Times New Roman" w:hAnsi="Times New Roman" w:cs="Times New Roman"/>
          <w:b w:val="0"/>
          <w:color w:val="auto"/>
        </w:rPr>
        <w:t>8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>.</w:t>
      </w:r>
      <w:r w:rsidR="00E4492B" w:rsidRPr="005D39EE">
        <w:rPr>
          <w:rStyle w:val="Strong"/>
          <w:rFonts w:ascii="Times New Roman" w:hAnsi="Times New Roman" w:cs="Times New Roman"/>
          <w:b w:val="0"/>
          <w:color w:val="auto"/>
        </w:rPr>
        <w:t> </w:t>
      </w:r>
      <w:r w:rsidR="00E347DF" w:rsidRPr="005D39EE">
        <w:rPr>
          <w:rStyle w:val="Strong"/>
          <w:rFonts w:ascii="Times New Roman" w:hAnsi="Times New Roman" w:cs="Times New Roman"/>
          <w:b w:val="0"/>
          <w:color w:val="auto"/>
        </w:rPr>
        <w:t>5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>.</w:t>
      </w:r>
      <w:r w:rsidR="00E4492B" w:rsidRPr="005D39EE">
        <w:rPr>
          <w:rStyle w:val="Strong"/>
          <w:rFonts w:ascii="Times New Roman" w:hAnsi="Times New Roman" w:cs="Times New Roman"/>
          <w:b w:val="0"/>
          <w:color w:val="auto"/>
        </w:rPr>
        <w:t> 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>201</w:t>
      </w:r>
      <w:r w:rsidR="00E347DF" w:rsidRPr="005D39EE">
        <w:rPr>
          <w:rStyle w:val="Strong"/>
          <w:rFonts w:ascii="Times New Roman" w:hAnsi="Times New Roman" w:cs="Times New Roman"/>
          <w:b w:val="0"/>
          <w:color w:val="auto"/>
        </w:rPr>
        <w:t>8</w:t>
      </w:r>
      <w:r w:rsidR="00593558" w:rsidRPr="005D39EE">
        <w:rPr>
          <w:rStyle w:val="Strong"/>
          <w:rFonts w:ascii="Times New Roman" w:hAnsi="Times New Roman" w:cs="Times New Roman"/>
          <w:b w:val="0"/>
          <w:color w:val="auto"/>
        </w:rPr>
        <w:t>.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>, str. </w:t>
      </w:r>
      <w:r w:rsidR="00E347DF" w:rsidRPr="005D39EE">
        <w:rPr>
          <w:rStyle w:val="Strong"/>
          <w:rFonts w:ascii="Times New Roman" w:hAnsi="Times New Roman" w:cs="Times New Roman"/>
          <w:b w:val="0"/>
          <w:color w:val="auto"/>
        </w:rPr>
        <w:t>9</w:t>
      </w:r>
      <w:r w:rsidR="00FF360E" w:rsidRPr="005D39EE">
        <w:rPr>
          <w:rStyle w:val="Strong"/>
          <w:rFonts w:ascii="Times New Roman" w:hAnsi="Times New Roman" w:cs="Times New Roman"/>
          <w:b w:val="0"/>
          <w:color w:val="auto"/>
        </w:rPr>
        <w:t>4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>.</w:t>
      </w:r>
      <w:r w:rsidR="00593558" w:rsidRPr="005D39EE">
        <w:rPr>
          <w:rStyle w:val="Strong"/>
          <w:rFonts w:ascii="Times New Roman" w:hAnsi="Times New Roman" w:cs="Times New Roman"/>
          <w:b w:val="0"/>
          <w:color w:val="auto"/>
        </w:rPr>
        <w:t>)</w:t>
      </w:r>
    </w:p>
    <w:p w:rsidR="00827A03" w:rsidRPr="005D39EE" w:rsidRDefault="000316BF" w:rsidP="006043FA">
      <w:pPr>
        <w:pStyle w:val="Default"/>
        <w:spacing w:before="12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40</w:t>
      </w:r>
      <w:r w:rsidR="009354E8" w:rsidRPr="005D39EE">
        <w:rPr>
          <w:rFonts w:ascii="Times New Roman" w:hAnsi="Times New Roman" w:cs="Times New Roman"/>
          <w:color w:val="auto"/>
        </w:rPr>
        <w:t>.</w:t>
      </w:r>
      <w:r w:rsidR="009354E8" w:rsidRPr="005D39EE">
        <w:rPr>
          <w:rStyle w:val="Clanak"/>
          <w:rFonts w:ascii="Times New Roman" w:hAnsi="Times New Roman" w:cs="Times New Roman"/>
          <w:color w:val="auto"/>
        </w:rPr>
        <w:t xml:space="preserve"> </w:t>
      </w:r>
      <w:r w:rsidR="00827A03" w:rsidRPr="005D39EE">
        <w:rPr>
          <w:rFonts w:ascii="Times New Roman" w:hAnsi="Times New Roman" w:cs="Times New Roman"/>
          <w:bCs/>
          <w:color w:val="auto"/>
        </w:rPr>
        <w:t>Delegirana direktiva Komisije (EU)</w:t>
      </w:r>
      <w:r w:rsidR="00E4492B" w:rsidRPr="005D39EE">
        <w:rPr>
          <w:rFonts w:ascii="Times New Roman" w:hAnsi="Times New Roman" w:cs="Times New Roman"/>
          <w:bCs/>
          <w:color w:val="auto"/>
        </w:rPr>
        <w:t> </w:t>
      </w:r>
      <w:r w:rsidR="00827A03" w:rsidRPr="005D39EE">
        <w:rPr>
          <w:rFonts w:ascii="Times New Roman" w:hAnsi="Times New Roman" w:cs="Times New Roman"/>
          <w:bCs/>
          <w:color w:val="auto"/>
        </w:rPr>
        <w:t>201</w:t>
      </w:r>
      <w:r w:rsidR="00E347DF" w:rsidRPr="005D39EE">
        <w:rPr>
          <w:rFonts w:ascii="Times New Roman" w:hAnsi="Times New Roman" w:cs="Times New Roman"/>
          <w:bCs/>
          <w:color w:val="auto"/>
        </w:rPr>
        <w:t>8</w:t>
      </w:r>
      <w:r w:rsidR="00827A03" w:rsidRPr="005D39EE">
        <w:rPr>
          <w:rFonts w:ascii="Times New Roman" w:hAnsi="Times New Roman" w:cs="Times New Roman"/>
          <w:bCs/>
          <w:color w:val="auto"/>
        </w:rPr>
        <w:t>/</w:t>
      </w:r>
      <w:r w:rsidR="00E347DF" w:rsidRPr="005D39EE">
        <w:rPr>
          <w:rFonts w:ascii="Times New Roman" w:hAnsi="Times New Roman" w:cs="Times New Roman"/>
          <w:bCs/>
          <w:color w:val="auto"/>
        </w:rPr>
        <w:t>737</w:t>
      </w:r>
      <w:r w:rsidR="00827A03" w:rsidRPr="005D39EE">
        <w:rPr>
          <w:rFonts w:ascii="Times New Roman" w:hAnsi="Times New Roman" w:cs="Times New Roman"/>
          <w:bCs/>
          <w:color w:val="auto"/>
        </w:rPr>
        <w:t xml:space="preserve"> оd </w:t>
      </w:r>
      <w:r w:rsidR="00E347DF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27. veljače 2018. </w:t>
      </w:r>
      <w:r w:rsidR="00827A03" w:rsidRPr="005D39EE">
        <w:rPr>
          <w:rFonts w:ascii="Times New Roman" w:hAnsi="Times New Roman" w:cs="Times New Roman"/>
          <w:bCs/>
          <w:color w:val="auto"/>
        </w:rPr>
        <w:t xml:space="preserve">o izmjeni, u svrhu prilagodbe tehničkom napretku, Priloga III. Direktivi 2011/65/EU Europskog parlamenta i Vijeća u pogledu izuzeća za olovo u </w:t>
      </w:r>
      <w:r w:rsidR="00E347DF" w:rsidRPr="005D39EE">
        <w:rPr>
          <w:rFonts w:ascii="Times New Roman" w:hAnsi="Times New Roman" w:cs="Times New Roman"/>
          <w:bCs/>
          <w:color w:val="auto"/>
        </w:rPr>
        <w:t xml:space="preserve">lemovima za lemljenje diskoidalnih i ravnih višeslojnih </w:t>
      </w:r>
      <w:r w:rsidR="006909BA">
        <w:rPr>
          <w:rFonts w:ascii="Times New Roman" w:hAnsi="Times New Roman" w:cs="Times New Roman"/>
          <w:bCs/>
          <w:color w:val="auto"/>
        </w:rPr>
        <w:t xml:space="preserve">keramičkih kondenzatora </w:t>
      </w:r>
      <w:r w:rsidR="00E347DF" w:rsidRPr="005D39EE">
        <w:rPr>
          <w:rFonts w:ascii="Times New Roman" w:hAnsi="Times New Roman" w:cs="Times New Roman"/>
          <w:bCs/>
          <w:color w:val="auto"/>
        </w:rPr>
        <w:t>s izvodima</w:t>
      </w:r>
      <w:r w:rsidR="00827A03" w:rsidRPr="005D39EE">
        <w:rPr>
          <w:rFonts w:ascii="Times New Roman" w:hAnsi="Times New Roman" w:cs="Times New Roman"/>
          <w:bCs/>
          <w:color w:val="auto"/>
        </w:rPr>
        <w:t xml:space="preserve"> (Tekst značajan za EGP) 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>(</w:t>
      </w:r>
      <w:r w:rsidR="00E347DF" w:rsidRPr="005D39EE">
        <w:rPr>
          <w:rStyle w:val="Strong"/>
          <w:rFonts w:ascii="Times New Roman" w:hAnsi="Times New Roman" w:cs="Times New Roman"/>
          <w:b w:val="0"/>
          <w:color w:val="auto"/>
        </w:rPr>
        <w:t>SL L 123, 18. 5. 2018., str. </w:t>
      </w:r>
      <w:r w:rsidR="00FF360E" w:rsidRPr="005D39EE">
        <w:rPr>
          <w:rStyle w:val="Strong"/>
          <w:rFonts w:ascii="Times New Roman" w:hAnsi="Times New Roman" w:cs="Times New Roman"/>
          <w:b w:val="0"/>
          <w:color w:val="auto"/>
        </w:rPr>
        <w:t>97</w:t>
      </w:r>
      <w:r w:rsidR="00E347DF" w:rsidRPr="005D39EE">
        <w:rPr>
          <w:rStyle w:val="Strong"/>
          <w:rFonts w:ascii="Times New Roman" w:hAnsi="Times New Roman" w:cs="Times New Roman"/>
          <w:b w:val="0"/>
          <w:color w:val="auto"/>
        </w:rPr>
        <w:t>.)</w:t>
      </w:r>
    </w:p>
    <w:p w:rsidR="00827A03" w:rsidRPr="005D39EE" w:rsidRDefault="000316BF" w:rsidP="006043FA">
      <w:pPr>
        <w:pStyle w:val="Default"/>
        <w:spacing w:before="120"/>
        <w:jc w:val="both"/>
        <w:rPr>
          <w:rStyle w:val="Strong"/>
          <w:rFonts w:ascii="Times New Roman" w:hAnsi="Times New Roman" w:cs="Times New Roman"/>
          <w:b w:val="0"/>
          <w:color w:val="auto"/>
        </w:rPr>
      </w:pPr>
      <w:r w:rsidRPr="005D39EE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1</w:t>
      </w:r>
      <w:r w:rsidR="00827A03" w:rsidRPr="005D39EE">
        <w:rPr>
          <w:rFonts w:ascii="Times New Roman" w:hAnsi="Times New Roman" w:cs="Times New Roman"/>
          <w:color w:val="auto"/>
        </w:rPr>
        <w:t>.</w:t>
      </w:r>
      <w:r w:rsidR="00827A03" w:rsidRPr="005D39EE">
        <w:rPr>
          <w:rStyle w:val="Clanak"/>
          <w:rFonts w:ascii="Times New Roman" w:hAnsi="Times New Roman" w:cs="Times New Roman"/>
          <w:color w:val="auto"/>
        </w:rPr>
        <w:t xml:space="preserve"> </w:t>
      </w:r>
      <w:r w:rsidR="00827A03" w:rsidRPr="005D39EE">
        <w:rPr>
          <w:rFonts w:ascii="Times New Roman" w:hAnsi="Times New Roman" w:cs="Times New Roman"/>
          <w:bCs/>
          <w:color w:val="auto"/>
        </w:rPr>
        <w:t>Delegirana direktiva</w:t>
      </w:r>
      <w:r w:rsidR="00E4492B" w:rsidRPr="005D39EE">
        <w:rPr>
          <w:rFonts w:ascii="Times New Roman" w:hAnsi="Times New Roman" w:cs="Times New Roman"/>
          <w:bCs/>
          <w:color w:val="auto"/>
        </w:rPr>
        <w:t xml:space="preserve"> Komisije (EU) 201</w:t>
      </w:r>
      <w:r w:rsidR="00E347DF" w:rsidRPr="005D39EE">
        <w:rPr>
          <w:rFonts w:ascii="Times New Roman" w:hAnsi="Times New Roman" w:cs="Times New Roman"/>
          <w:bCs/>
          <w:color w:val="auto"/>
        </w:rPr>
        <w:t>8</w:t>
      </w:r>
      <w:r w:rsidR="00E4492B" w:rsidRPr="005D39EE">
        <w:rPr>
          <w:rFonts w:ascii="Times New Roman" w:hAnsi="Times New Roman" w:cs="Times New Roman"/>
          <w:bCs/>
          <w:color w:val="auto"/>
        </w:rPr>
        <w:t>/</w:t>
      </w:r>
      <w:r w:rsidR="00E347DF" w:rsidRPr="005D39EE">
        <w:rPr>
          <w:rFonts w:ascii="Times New Roman" w:hAnsi="Times New Roman" w:cs="Times New Roman"/>
          <w:bCs/>
          <w:color w:val="auto"/>
        </w:rPr>
        <w:t>738</w:t>
      </w:r>
      <w:r w:rsidR="00E4492B" w:rsidRPr="005D39EE">
        <w:rPr>
          <w:rFonts w:ascii="Times New Roman" w:hAnsi="Times New Roman" w:cs="Times New Roman"/>
          <w:bCs/>
          <w:color w:val="auto"/>
        </w:rPr>
        <w:t xml:space="preserve"> оd </w:t>
      </w:r>
      <w:r w:rsidR="00E347DF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27. veljače 2018. </w:t>
      </w:r>
      <w:r w:rsidR="00827A03" w:rsidRPr="005D39EE">
        <w:rPr>
          <w:rFonts w:ascii="Times New Roman" w:hAnsi="Times New Roman" w:cs="Times New Roman"/>
          <w:bCs/>
          <w:color w:val="auto"/>
        </w:rPr>
        <w:t xml:space="preserve">o izmjeni, u svrhu prilagodbe tehničkom napretku, Priloga III. Direktivi 2011/65/EU Europskog parlamenta i Vijeća u pogledu izuzeća za olovo u </w:t>
      </w:r>
      <w:r w:rsidR="00A0405C" w:rsidRPr="005D39EE">
        <w:rPr>
          <w:rFonts w:ascii="Times New Roman" w:hAnsi="Times New Roman" w:cs="Times New Roman"/>
          <w:bCs/>
          <w:color w:val="auto"/>
        </w:rPr>
        <w:t>metalno-keramičkim (cermet) elementima trimer potenciometra</w:t>
      </w:r>
      <w:r w:rsidR="00611FC3" w:rsidRPr="005D39EE">
        <w:rPr>
          <w:rFonts w:ascii="Times New Roman" w:hAnsi="Times New Roman" w:cs="Times New Roman"/>
          <w:bCs/>
          <w:color w:val="auto"/>
        </w:rPr>
        <w:t xml:space="preserve"> (Tekst značajan za EGP</w:t>
      </w:r>
      <w:r w:rsidR="00827A03" w:rsidRPr="005D39EE">
        <w:rPr>
          <w:rFonts w:ascii="Times New Roman" w:hAnsi="Times New Roman" w:cs="Times New Roman"/>
          <w:bCs/>
          <w:color w:val="auto"/>
        </w:rPr>
        <w:t xml:space="preserve">) 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>(SL L 1</w:t>
      </w:r>
      <w:r w:rsidR="00A0405C" w:rsidRPr="005D39EE">
        <w:rPr>
          <w:rStyle w:val="Strong"/>
          <w:rFonts w:ascii="Times New Roman" w:hAnsi="Times New Roman" w:cs="Times New Roman"/>
          <w:b w:val="0"/>
          <w:color w:val="auto"/>
        </w:rPr>
        <w:t>2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3, </w:t>
      </w:r>
      <w:r w:rsidR="00A0405C" w:rsidRPr="005D39EE">
        <w:rPr>
          <w:rStyle w:val="Strong"/>
          <w:rFonts w:ascii="Times New Roman" w:hAnsi="Times New Roman" w:cs="Times New Roman"/>
          <w:b w:val="0"/>
          <w:color w:val="auto"/>
        </w:rPr>
        <w:t>18. 5. 2018.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>, str. </w:t>
      </w:r>
      <w:r w:rsidR="00A0405C" w:rsidRPr="005D39EE">
        <w:rPr>
          <w:rStyle w:val="Strong"/>
          <w:rFonts w:ascii="Times New Roman" w:hAnsi="Times New Roman" w:cs="Times New Roman"/>
          <w:b w:val="0"/>
          <w:color w:val="auto"/>
        </w:rPr>
        <w:t>10</w:t>
      </w:r>
      <w:r w:rsidR="00FF360E" w:rsidRPr="005D39EE">
        <w:rPr>
          <w:rStyle w:val="Strong"/>
          <w:rFonts w:ascii="Times New Roman" w:hAnsi="Times New Roman" w:cs="Times New Roman"/>
          <w:b w:val="0"/>
          <w:color w:val="auto"/>
        </w:rPr>
        <w:t>0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>.)</w:t>
      </w:r>
    </w:p>
    <w:p w:rsidR="00E015C0" w:rsidRPr="005D39EE" w:rsidRDefault="000316BF" w:rsidP="006043FA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5D39EE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2</w:t>
      </w:r>
      <w:r w:rsidR="00827A03" w:rsidRPr="005D39EE">
        <w:rPr>
          <w:rFonts w:ascii="Times New Roman" w:hAnsi="Times New Roman" w:cs="Times New Roman"/>
          <w:color w:val="auto"/>
        </w:rPr>
        <w:t>.</w:t>
      </w:r>
      <w:r w:rsidR="00827A03" w:rsidRPr="005D39EE">
        <w:rPr>
          <w:rStyle w:val="Clanak"/>
          <w:rFonts w:ascii="Times New Roman" w:hAnsi="Times New Roman" w:cs="Times New Roman"/>
          <w:color w:val="auto"/>
        </w:rPr>
        <w:t xml:space="preserve"> </w:t>
      </w:r>
      <w:r w:rsidR="00827A03" w:rsidRPr="005D39EE">
        <w:rPr>
          <w:rFonts w:ascii="Times New Roman" w:hAnsi="Times New Roman" w:cs="Times New Roman"/>
          <w:bCs/>
          <w:color w:val="auto"/>
        </w:rPr>
        <w:t>Delegirana direktiv</w:t>
      </w:r>
      <w:r w:rsidR="00E4492B" w:rsidRPr="005D39EE">
        <w:rPr>
          <w:rFonts w:ascii="Times New Roman" w:hAnsi="Times New Roman" w:cs="Times New Roman"/>
          <w:bCs/>
          <w:color w:val="auto"/>
        </w:rPr>
        <w:t>a Komisije (EU) 201</w:t>
      </w:r>
      <w:r w:rsidR="00A0405C" w:rsidRPr="005D39EE">
        <w:rPr>
          <w:rFonts w:ascii="Times New Roman" w:hAnsi="Times New Roman" w:cs="Times New Roman"/>
          <w:bCs/>
          <w:color w:val="auto"/>
        </w:rPr>
        <w:t>8</w:t>
      </w:r>
      <w:r w:rsidR="00E4492B" w:rsidRPr="005D39EE">
        <w:rPr>
          <w:rFonts w:ascii="Times New Roman" w:hAnsi="Times New Roman" w:cs="Times New Roman"/>
          <w:bCs/>
          <w:color w:val="auto"/>
        </w:rPr>
        <w:t>/7</w:t>
      </w:r>
      <w:r w:rsidR="00A0405C" w:rsidRPr="005D39EE">
        <w:rPr>
          <w:rFonts w:ascii="Times New Roman" w:hAnsi="Times New Roman" w:cs="Times New Roman"/>
          <w:bCs/>
          <w:color w:val="auto"/>
        </w:rPr>
        <w:t>39</w:t>
      </w:r>
      <w:r w:rsidR="00E4492B" w:rsidRPr="005D39EE">
        <w:rPr>
          <w:rFonts w:ascii="Times New Roman" w:hAnsi="Times New Roman" w:cs="Times New Roman"/>
          <w:bCs/>
          <w:color w:val="auto"/>
        </w:rPr>
        <w:t xml:space="preserve"> оd </w:t>
      </w:r>
      <w:r w:rsidR="00A0405C" w:rsidRPr="005D39EE">
        <w:rPr>
          <w:rFonts w:ascii="Times New Roman" w:hAnsi="Times New Roman" w:cs="Times New Roman"/>
          <w:bCs/>
          <w:color w:val="auto"/>
        </w:rPr>
        <w:t>1</w:t>
      </w:r>
      <w:r w:rsidR="00E4492B" w:rsidRPr="005D39EE">
        <w:rPr>
          <w:rFonts w:ascii="Times New Roman" w:hAnsi="Times New Roman" w:cs="Times New Roman"/>
          <w:bCs/>
          <w:color w:val="auto"/>
        </w:rPr>
        <w:t>. </w:t>
      </w:r>
      <w:r w:rsidR="00A0405C" w:rsidRPr="005D39EE">
        <w:rPr>
          <w:rFonts w:ascii="Times New Roman" w:hAnsi="Times New Roman" w:cs="Times New Roman"/>
          <w:bCs/>
          <w:color w:val="auto"/>
        </w:rPr>
        <w:t>ožujka</w:t>
      </w:r>
      <w:r w:rsidR="00827A03" w:rsidRPr="005D39EE">
        <w:rPr>
          <w:rFonts w:ascii="Times New Roman" w:hAnsi="Times New Roman" w:cs="Times New Roman"/>
          <w:bCs/>
          <w:color w:val="auto"/>
        </w:rPr>
        <w:t xml:space="preserve"> 201</w:t>
      </w:r>
      <w:r w:rsidR="00A0405C" w:rsidRPr="005D39EE">
        <w:rPr>
          <w:rFonts w:ascii="Times New Roman" w:hAnsi="Times New Roman" w:cs="Times New Roman"/>
          <w:bCs/>
          <w:color w:val="auto"/>
        </w:rPr>
        <w:t>8</w:t>
      </w:r>
      <w:r w:rsidR="00827A03" w:rsidRPr="005D39EE">
        <w:rPr>
          <w:rFonts w:ascii="Times New Roman" w:hAnsi="Times New Roman" w:cs="Times New Roman"/>
          <w:bCs/>
          <w:color w:val="auto"/>
        </w:rPr>
        <w:t xml:space="preserve">. o izmjeni, u svrhu prilagodbe tehničkom napretku, Priloga III. Direktivi 2011/65/EU Europskog parlamenta i Vijeća u pogledu izuzeća za </w:t>
      </w:r>
      <w:r w:rsidR="00A0405C" w:rsidRPr="005D39EE">
        <w:rPr>
          <w:rFonts w:ascii="Times New Roman" w:hAnsi="Times New Roman" w:cs="Times New Roman"/>
          <w:bCs/>
          <w:color w:val="auto"/>
        </w:rPr>
        <w:t>olovo kao element</w:t>
      </w:r>
      <w:r w:rsidR="00FF360E" w:rsidRPr="005D39EE">
        <w:rPr>
          <w:rFonts w:ascii="Times New Roman" w:hAnsi="Times New Roman" w:cs="Times New Roman"/>
          <w:bCs/>
          <w:color w:val="auto"/>
        </w:rPr>
        <w:t xml:space="preserve"> </w:t>
      </w:r>
      <w:r w:rsidR="00A0405C" w:rsidRPr="005D39EE">
        <w:rPr>
          <w:rFonts w:ascii="Times New Roman" w:hAnsi="Times New Roman" w:cs="Times New Roman"/>
          <w:bCs/>
          <w:color w:val="auto"/>
        </w:rPr>
        <w:t>u čeličnim legurama</w:t>
      </w:r>
      <w:r w:rsidR="00827A03" w:rsidRPr="005D39EE">
        <w:rPr>
          <w:rFonts w:ascii="Times New Roman" w:hAnsi="Times New Roman" w:cs="Times New Roman"/>
          <w:bCs/>
          <w:color w:val="auto"/>
        </w:rPr>
        <w:t xml:space="preserve"> (Teks</w:t>
      </w:r>
      <w:r w:rsidR="00611FC3" w:rsidRPr="005D39EE">
        <w:rPr>
          <w:rFonts w:ascii="Times New Roman" w:hAnsi="Times New Roman" w:cs="Times New Roman"/>
          <w:bCs/>
          <w:color w:val="auto"/>
        </w:rPr>
        <w:t>t značajan za EGP</w:t>
      </w:r>
      <w:r w:rsidR="00827A03" w:rsidRPr="005D39EE">
        <w:rPr>
          <w:rFonts w:ascii="Times New Roman" w:hAnsi="Times New Roman" w:cs="Times New Roman"/>
          <w:bCs/>
          <w:color w:val="auto"/>
        </w:rPr>
        <w:t>)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 (SL L </w:t>
      </w:r>
      <w:r w:rsidR="00A0405C" w:rsidRPr="005D39EE">
        <w:rPr>
          <w:rStyle w:val="Strong"/>
          <w:rFonts w:ascii="Times New Roman" w:hAnsi="Times New Roman" w:cs="Times New Roman"/>
          <w:b w:val="0"/>
          <w:color w:val="auto"/>
        </w:rPr>
        <w:t>123</w:t>
      </w:r>
      <w:r w:rsidR="00827A03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, </w:t>
      </w:r>
      <w:r w:rsidR="00A0405C" w:rsidRPr="005D39EE">
        <w:rPr>
          <w:rStyle w:val="Strong"/>
          <w:rFonts w:ascii="Times New Roman" w:hAnsi="Times New Roman" w:cs="Times New Roman"/>
          <w:b w:val="0"/>
          <w:color w:val="auto"/>
        </w:rPr>
        <w:t>18. 5. 2018., str. 10</w:t>
      </w:r>
      <w:r w:rsidR="00FF360E" w:rsidRPr="005D39EE">
        <w:rPr>
          <w:rStyle w:val="Strong"/>
          <w:rFonts w:ascii="Times New Roman" w:hAnsi="Times New Roman" w:cs="Times New Roman"/>
          <w:b w:val="0"/>
          <w:color w:val="auto"/>
        </w:rPr>
        <w:t>3</w:t>
      </w:r>
      <w:r w:rsidR="00A0405C" w:rsidRPr="005D39EE">
        <w:rPr>
          <w:rStyle w:val="Strong"/>
          <w:rFonts w:ascii="Times New Roman" w:hAnsi="Times New Roman" w:cs="Times New Roman"/>
          <w:b w:val="0"/>
          <w:color w:val="auto"/>
        </w:rPr>
        <w:t>.)</w:t>
      </w:r>
    </w:p>
    <w:p w:rsidR="00A0405C" w:rsidRPr="005D39EE" w:rsidRDefault="000316BF" w:rsidP="00A0405C">
      <w:pPr>
        <w:pStyle w:val="Default"/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5D39EE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3</w:t>
      </w:r>
      <w:r w:rsidR="00A0405C" w:rsidRPr="005D39EE">
        <w:rPr>
          <w:rFonts w:ascii="Times New Roman" w:hAnsi="Times New Roman" w:cs="Times New Roman"/>
          <w:color w:val="auto"/>
        </w:rPr>
        <w:t>.</w:t>
      </w:r>
      <w:r w:rsidR="00A0405C" w:rsidRPr="005D39EE">
        <w:rPr>
          <w:rStyle w:val="Clanak"/>
          <w:rFonts w:ascii="Times New Roman" w:hAnsi="Times New Roman" w:cs="Times New Roman"/>
          <w:color w:val="auto"/>
        </w:rPr>
        <w:t xml:space="preserve"> </w:t>
      </w:r>
      <w:r w:rsidR="00A0405C" w:rsidRPr="005D39EE">
        <w:rPr>
          <w:rFonts w:ascii="Times New Roman" w:hAnsi="Times New Roman" w:cs="Times New Roman"/>
          <w:bCs/>
          <w:color w:val="auto"/>
        </w:rPr>
        <w:t xml:space="preserve">Delegirana direktiva Komisije (EU) 2018/740 оd 1. ožujka 2018. o izmjeni, u svrhu prilagodbe tehničkom napretku, Priloga III. Direktivi 2011/65/EU Europskog parlamenta i Vijeća u pogledu izuzeća za </w:t>
      </w:r>
      <w:r w:rsidR="00FF360E" w:rsidRPr="005D39EE">
        <w:rPr>
          <w:rFonts w:ascii="Times New Roman" w:hAnsi="Times New Roman" w:cs="Times New Roman"/>
          <w:bCs/>
          <w:color w:val="auto"/>
        </w:rPr>
        <w:t xml:space="preserve">olovo kao element u aluminijskim legurama </w:t>
      </w:r>
      <w:r w:rsidR="00A0405C" w:rsidRPr="005D39EE">
        <w:rPr>
          <w:rFonts w:ascii="Times New Roman" w:hAnsi="Times New Roman" w:cs="Times New Roman"/>
          <w:bCs/>
          <w:color w:val="auto"/>
        </w:rPr>
        <w:t>(Tekst značajan za EGP)</w:t>
      </w:r>
      <w:r w:rsidR="00A0405C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 (SL L </w:t>
      </w:r>
      <w:r w:rsidR="00FF360E" w:rsidRPr="005D39EE">
        <w:rPr>
          <w:rStyle w:val="Strong"/>
          <w:rFonts w:ascii="Times New Roman" w:hAnsi="Times New Roman" w:cs="Times New Roman"/>
          <w:b w:val="0"/>
          <w:color w:val="auto"/>
        </w:rPr>
        <w:t>123, 18. 5. 2018., str. 106.)</w:t>
      </w:r>
    </w:p>
    <w:p w:rsidR="00A0405C" w:rsidRPr="005D39EE" w:rsidRDefault="000316BF" w:rsidP="00A0405C">
      <w:pPr>
        <w:pStyle w:val="Default"/>
        <w:spacing w:before="120"/>
        <w:jc w:val="both"/>
        <w:rPr>
          <w:rFonts w:ascii="Times New Roman" w:hAnsi="Times New Roman" w:cs="Times New Roman"/>
          <w:bCs/>
          <w:color w:val="auto"/>
        </w:rPr>
      </w:pPr>
      <w:r w:rsidRPr="005D39EE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4</w:t>
      </w:r>
      <w:r w:rsidR="00A0405C" w:rsidRPr="005D39EE">
        <w:rPr>
          <w:rFonts w:ascii="Times New Roman" w:hAnsi="Times New Roman" w:cs="Times New Roman"/>
          <w:color w:val="auto"/>
        </w:rPr>
        <w:t>.</w:t>
      </w:r>
      <w:r w:rsidR="00A0405C" w:rsidRPr="005D39EE">
        <w:rPr>
          <w:rStyle w:val="Clanak"/>
          <w:rFonts w:ascii="Times New Roman" w:hAnsi="Times New Roman" w:cs="Times New Roman"/>
          <w:color w:val="auto"/>
        </w:rPr>
        <w:t xml:space="preserve"> </w:t>
      </w:r>
      <w:r w:rsidR="00A0405C" w:rsidRPr="005D39EE">
        <w:rPr>
          <w:rFonts w:ascii="Times New Roman" w:hAnsi="Times New Roman" w:cs="Times New Roman"/>
          <w:bCs/>
          <w:color w:val="auto"/>
        </w:rPr>
        <w:t>Delegirana direktiva Komisije (EU) 201</w:t>
      </w:r>
      <w:r w:rsidR="00FF360E" w:rsidRPr="005D39EE">
        <w:rPr>
          <w:rFonts w:ascii="Times New Roman" w:hAnsi="Times New Roman" w:cs="Times New Roman"/>
          <w:bCs/>
          <w:color w:val="auto"/>
        </w:rPr>
        <w:t>8</w:t>
      </w:r>
      <w:r w:rsidR="00A0405C" w:rsidRPr="005D39EE">
        <w:rPr>
          <w:rFonts w:ascii="Times New Roman" w:hAnsi="Times New Roman" w:cs="Times New Roman"/>
          <w:bCs/>
          <w:color w:val="auto"/>
        </w:rPr>
        <w:t>/</w:t>
      </w:r>
      <w:r w:rsidR="00FF360E" w:rsidRPr="005D39EE">
        <w:rPr>
          <w:rFonts w:ascii="Times New Roman" w:hAnsi="Times New Roman" w:cs="Times New Roman"/>
          <w:bCs/>
          <w:color w:val="auto"/>
        </w:rPr>
        <w:t xml:space="preserve">741 </w:t>
      </w:r>
      <w:r w:rsidR="00A0405C" w:rsidRPr="005D39EE">
        <w:rPr>
          <w:rFonts w:ascii="Times New Roman" w:hAnsi="Times New Roman" w:cs="Times New Roman"/>
          <w:bCs/>
          <w:color w:val="auto"/>
        </w:rPr>
        <w:t xml:space="preserve">оd </w:t>
      </w:r>
      <w:r w:rsidR="00FF360E" w:rsidRPr="005D39EE">
        <w:rPr>
          <w:rFonts w:ascii="Times New Roman" w:hAnsi="Times New Roman" w:cs="Times New Roman"/>
          <w:bCs/>
          <w:color w:val="auto"/>
        </w:rPr>
        <w:t>1</w:t>
      </w:r>
      <w:r w:rsidR="00A0405C" w:rsidRPr="005D39EE">
        <w:rPr>
          <w:rFonts w:ascii="Times New Roman" w:hAnsi="Times New Roman" w:cs="Times New Roman"/>
          <w:bCs/>
          <w:color w:val="auto"/>
        </w:rPr>
        <w:t>. </w:t>
      </w:r>
      <w:r w:rsidR="00FF360E" w:rsidRPr="005D39EE">
        <w:rPr>
          <w:rFonts w:ascii="Times New Roman" w:hAnsi="Times New Roman" w:cs="Times New Roman"/>
          <w:bCs/>
          <w:color w:val="auto"/>
        </w:rPr>
        <w:t>ožujka</w:t>
      </w:r>
      <w:r w:rsidR="00A0405C" w:rsidRPr="005D39EE">
        <w:rPr>
          <w:rFonts w:ascii="Times New Roman" w:hAnsi="Times New Roman" w:cs="Times New Roman"/>
          <w:bCs/>
          <w:color w:val="auto"/>
        </w:rPr>
        <w:t xml:space="preserve"> 201</w:t>
      </w:r>
      <w:r w:rsidR="00FF360E" w:rsidRPr="005D39EE">
        <w:rPr>
          <w:rFonts w:ascii="Times New Roman" w:hAnsi="Times New Roman" w:cs="Times New Roman"/>
          <w:bCs/>
          <w:color w:val="auto"/>
        </w:rPr>
        <w:t>8</w:t>
      </w:r>
      <w:r w:rsidR="00A0405C" w:rsidRPr="005D39EE">
        <w:rPr>
          <w:rFonts w:ascii="Times New Roman" w:hAnsi="Times New Roman" w:cs="Times New Roman"/>
          <w:bCs/>
          <w:color w:val="auto"/>
        </w:rPr>
        <w:t xml:space="preserve">. o izmjeni, u svrhu prilagodbe tehničkom napretku, Priloga III. Direktivi 2011/65/EU Europskog parlamenta i Vijeća u pogledu izuzeća za </w:t>
      </w:r>
      <w:r w:rsidR="00FF360E" w:rsidRPr="005D39EE">
        <w:rPr>
          <w:rFonts w:ascii="Times New Roman" w:hAnsi="Times New Roman" w:cs="Times New Roman"/>
          <w:bCs/>
          <w:color w:val="auto"/>
        </w:rPr>
        <w:t xml:space="preserve">olovo kao element u bakrenim legurama </w:t>
      </w:r>
      <w:r w:rsidR="00A0405C" w:rsidRPr="005D39EE">
        <w:rPr>
          <w:rFonts w:ascii="Times New Roman" w:hAnsi="Times New Roman" w:cs="Times New Roman"/>
          <w:bCs/>
          <w:color w:val="auto"/>
        </w:rPr>
        <w:t>(Tekst značajan za EGP)</w:t>
      </w:r>
      <w:r w:rsidR="00A0405C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 (SL L </w:t>
      </w:r>
      <w:r w:rsidR="00FF360E" w:rsidRPr="005D39EE">
        <w:rPr>
          <w:rStyle w:val="Strong"/>
          <w:rFonts w:ascii="Times New Roman" w:hAnsi="Times New Roman" w:cs="Times New Roman"/>
          <w:b w:val="0"/>
          <w:color w:val="auto"/>
        </w:rPr>
        <w:t>123, 18. 5. 2018., str. 10</w:t>
      </w:r>
      <w:r w:rsidR="000F28E8" w:rsidRPr="005D39EE">
        <w:rPr>
          <w:rStyle w:val="Strong"/>
          <w:rFonts w:ascii="Times New Roman" w:hAnsi="Times New Roman" w:cs="Times New Roman"/>
          <w:b w:val="0"/>
          <w:color w:val="auto"/>
        </w:rPr>
        <w:t>9</w:t>
      </w:r>
      <w:r w:rsidR="00FF360E" w:rsidRPr="005D39EE">
        <w:rPr>
          <w:rStyle w:val="Strong"/>
          <w:rFonts w:ascii="Times New Roman" w:hAnsi="Times New Roman" w:cs="Times New Roman"/>
          <w:b w:val="0"/>
          <w:color w:val="auto"/>
        </w:rPr>
        <w:t>.)</w:t>
      </w:r>
    </w:p>
    <w:p w:rsidR="00A0405C" w:rsidRDefault="0095321F" w:rsidP="00A0405C">
      <w:pPr>
        <w:pStyle w:val="Default"/>
        <w:spacing w:before="120"/>
        <w:jc w:val="both"/>
        <w:rPr>
          <w:rStyle w:val="Strong"/>
          <w:rFonts w:ascii="Times New Roman" w:hAnsi="Times New Roman" w:cs="Times New Roman"/>
          <w:b w:val="0"/>
          <w:color w:val="auto"/>
        </w:rPr>
      </w:pPr>
      <w:r w:rsidRPr="005D39EE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5</w:t>
      </w:r>
      <w:r w:rsidR="00A0405C" w:rsidRPr="005D39EE">
        <w:rPr>
          <w:rFonts w:ascii="Times New Roman" w:hAnsi="Times New Roman" w:cs="Times New Roman"/>
          <w:color w:val="auto"/>
        </w:rPr>
        <w:t>.</w:t>
      </w:r>
      <w:r w:rsidR="00A0405C" w:rsidRPr="005D39EE">
        <w:rPr>
          <w:rStyle w:val="Clanak"/>
          <w:rFonts w:ascii="Times New Roman" w:hAnsi="Times New Roman" w:cs="Times New Roman"/>
          <w:color w:val="auto"/>
        </w:rPr>
        <w:t xml:space="preserve"> </w:t>
      </w:r>
      <w:r w:rsidR="00A0405C" w:rsidRPr="005D39EE">
        <w:rPr>
          <w:rFonts w:ascii="Times New Roman" w:hAnsi="Times New Roman" w:cs="Times New Roman"/>
          <w:bCs/>
          <w:color w:val="auto"/>
        </w:rPr>
        <w:t>Delegirana direktiva Komisije (EU) 201</w:t>
      </w:r>
      <w:r w:rsidR="000F28E8" w:rsidRPr="005D39EE">
        <w:rPr>
          <w:rFonts w:ascii="Times New Roman" w:hAnsi="Times New Roman" w:cs="Times New Roman"/>
          <w:bCs/>
          <w:color w:val="auto"/>
        </w:rPr>
        <w:t>8</w:t>
      </w:r>
      <w:r w:rsidR="00A0405C" w:rsidRPr="005D39EE">
        <w:rPr>
          <w:rFonts w:ascii="Times New Roman" w:hAnsi="Times New Roman" w:cs="Times New Roman"/>
          <w:bCs/>
          <w:color w:val="auto"/>
        </w:rPr>
        <w:t>/7</w:t>
      </w:r>
      <w:r w:rsidR="000F28E8" w:rsidRPr="005D39EE">
        <w:rPr>
          <w:rFonts w:ascii="Times New Roman" w:hAnsi="Times New Roman" w:cs="Times New Roman"/>
          <w:bCs/>
          <w:color w:val="auto"/>
        </w:rPr>
        <w:t>42</w:t>
      </w:r>
      <w:r w:rsidR="00A0405C" w:rsidRPr="005D39EE">
        <w:rPr>
          <w:rFonts w:ascii="Times New Roman" w:hAnsi="Times New Roman" w:cs="Times New Roman"/>
          <w:bCs/>
          <w:color w:val="auto"/>
        </w:rPr>
        <w:t xml:space="preserve"> оd </w:t>
      </w:r>
      <w:r w:rsidR="000F28E8" w:rsidRPr="005D39EE">
        <w:rPr>
          <w:rFonts w:ascii="Times New Roman" w:hAnsi="Times New Roman" w:cs="Times New Roman"/>
          <w:bCs/>
          <w:color w:val="auto"/>
        </w:rPr>
        <w:t>1. ožujka 2018</w:t>
      </w:r>
      <w:r w:rsidR="00A0405C" w:rsidRPr="005D39EE">
        <w:rPr>
          <w:rFonts w:ascii="Times New Roman" w:hAnsi="Times New Roman" w:cs="Times New Roman"/>
          <w:bCs/>
          <w:color w:val="auto"/>
        </w:rPr>
        <w:t xml:space="preserve">. o izmjeni, u svrhu prilagodbe tehničkom napretku, Priloga III. Direktivi 2011/65/EU Europskog parlamenta i Vijeća u pogledu izuzeća za </w:t>
      </w:r>
      <w:r w:rsidR="000F28E8" w:rsidRPr="005D39EE">
        <w:rPr>
          <w:rFonts w:ascii="Times New Roman" w:hAnsi="Times New Roman" w:cs="Times New Roman"/>
          <w:bCs/>
          <w:color w:val="auto"/>
        </w:rPr>
        <w:t xml:space="preserve">olovo u lemovima s visokim temperaturama taljenja </w:t>
      </w:r>
      <w:r w:rsidR="00A0405C" w:rsidRPr="005D39EE">
        <w:rPr>
          <w:rFonts w:ascii="Times New Roman" w:hAnsi="Times New Roman" w:cs="Times New Roman"/>
          <w:bCs/>
          <w:color w:val="auto"/>
        </w:rPr>
        <w:t>(Tekst značajan za EGP)</w:t>
      </w:r>
      <w:r w:rsidR="00A0405C" w:rsidRPr="005D39EE">
        <w:rPr>
          <w:rStyle w:val="Strong"/>
          <w:rFonts w:ascii="Times New Roman" w:hAnsi="Times New Roman" w:cs="Times New Roman"/>
          <w:b w:val="0"/>
          <w:color w:val="auto"/>
        </w:rPr>
        <w:t xml:space="preserve"> (SL L </w:t>
      </w:r>
      <w:r w:rsidR="000F28E8" w:rsidRPr="005D39EE">
        <w:rPr>
          <w:rStyle w:val="Strong"/>
          <w:rFonts w:ascii="Times New Roman" w:hAnsi="Times New Roman" w:cs="Times New Roman"/>
          <w:b w:val="0"/>
          <w:color w:val="auto"/>
        </w:rPr>
        <w:t>123, 18. 5. 2018., str. 112.)</w:t>
      </w:r>
      <w:r w:rsidR="005C1D69">
        <w:rPr>
          <w:rStyle w:val="Strong"/>
          <w:rFonts w:ascii="Times New Roman" w:hAnsi="Times New Roman" w:cs="Times New Roman"/>
          <w:b w:val="0"/>
          <w:color w:val="auto"/>
        </w:rPr>
        <w:t>.</w:t>
      </w:r>
    </w:p>
    <w:p w:rsidR="00B84D33" w:rsidRPr="007734EF" w:rsidRDefault="00E36CBB" w:rsidP="00B84D33">
      <w:pPr>
        <w:pStyle w:val="Default"/>
        <w:spacing w:before="120"/>
        <w:jc w:val="both"/>
        <w:rPr>
          <w:bCs/>
        </w:rPr>
      </w:pPr>
      <w:r>
        <w:rPr>
          <w:rStyle w:val="Strong"/>
          <w:rFonts w:ascii="Times New Roman" w:hAnsi="Times New Roman" w:cs="Times New Roman"/>
          <w:b w:val="0"/>
          <w:color w:val="auto"/>
        </w:rPr>
        <w:lastRenderedPageBreak/>
        <w:t xml:space="preserve">46. </w:t>
      </w:r>
      <w:r w:rsidR="00B84D33" w:rsidRPr="00B84D33">
        <w:rPr>
          <w:bCs/>
        </w:rPr>
        <w:t>Delegirana direktiva Komisije (EU) 2019/178 оd 16. studenoga 2018</w:t>
      </w:r>
      <w:r w:rsidR="00B84D33" w:rsidRPr="007734EF">
        <w:rPr>
          <w:bCs/>
        </w:rPr>
        <w:t>. o izmjeni, u svrhu prilagodbe znanstvenom i tehničkom napretku, Priloga III. Direktivi 2011/65/EU Europskog parlamenta i Vijeća u pogledu izuzeća za olovo u ležajevima i tuljcima ležajeva za primjenu u određenoj necestovnoj opremi za profesionalnu uporabu.</w:t>
      </w:r>
    </w:p>
    <w:p w:rsidR="00707AAB" w:rsidRDefault="00707AAB" w:rsidP="00707AAB">
      <w:pPr>
        <w:pStyle w:val="Default"/>
        <w:spacing w:before="120"/>
        <w:jc w:val="both"/>
        <w:rPr>
          <w:rFonts w:ascii="Times New Roman" w:hAnsi="Times New Roman" w:cs="Times New Roman"/>
          <w:bCs/>
          <w:color w:val="auto"/>
        </w:rPr>
      </w:pPr>
    </w:p>
    <w:p w:rsidR="005C1D69" w:rsidRDefault="005C1D69" w:rsidP="00A85E87">
      <w:pPr>
        <w:pStyle w:val="Default"/>
        <w:spacing w:before="120"/>
        <w:jc w:val="both"/>
        <w:rPr>
          <w:rStyle w:val="Strong"/>
          <w:rFonts w:ascii="Times New Roman" w:hAnsi="Times New Roman" w:cs="Times New Roman"/>
          <w:b w:val="0"/>
          <w:color w:val="auto"/>
        </w:rPr>
      </w:pPr>
    </w:p>
    <w:p w:rsidR="005C1D69" w:rsidRDefault="005C1D69" w:rsidP="005C1D69">
      <w:pPr>
        <w:pStyle w:val="Default"/>
        <w:spacing w:before="120"/>
        <w:jc w:val="center"/>
        <w:rPr>
          <w:rStyle w:val="Strong"/>
          <w:rFonts w:ascii="Times New Roman" w:hAnsi="Times New Roman" w:cs="Times New Roman"/>
          <w:b w:val="0"/>
          <w:color w:val="auto"/>
        </w:rPr>
      </w:pPr>
      <w:r>
        <w:rPr>
          <w:rStyle w:val="Strong"/>
          <w:rFonts w:ascii="Times New Roman" w:hAnsi="Times New Roman" w:cs="Times New Roman"/>
          <w:b w:val="0"/>
          <w:color w:val="auto"/>
        </w:rPr>
        <w:t xml:space="preserve">Članak </w:t>
      </w:r>
      <w:r w:rsidR="00FF1154">
        <w:rPr>
          <w:rStyle w:val="Strong"/>
          <w:rFonts w:ascii="Times New Roman" w:hAnsi="Times New Roman" w:cs="Times New Roman"/>
          <w:b w:val="0"/>
          <w:color w:val="auto"/>
        </w:rPr>
        <w:t>2</w:t>
      </w:r>
      <w:r>
        <w:rPr>
          <w:rStyle w:val="Strong"/>
          <w:rFonts w:ascii="Times New Roman" w:hAnsi="Times New Roman" w:cs="Times New Roman"/>
          <w:b w:val="0"/>
          <w:color w:val="auto"/>
        </w:rPr>
        <w:t>.</w:t>
      </w:r>
    </w:p>
    <w:p w:rsidR="00FF1154" w:rsidRDefault="00FF1154" w:rsidP="00A85E87">
      <w:pPr>
        <w:pStyle w:val="Default"/>
        <w:spacing w:before="120"/>
        <w:jc w:val="both"/>
        <w:rPr>
          <w:rStyle w:val="Strong"/>
          <w:rFonts w:ascii="Times New Roman" w:hAnsi="Times New Roman" w:cs="Times New Roman"/>
          <w:b w:val="0"/>
          <w:color w:val="auto"/>
        </w:rPr>
      </w:pPr>
      <w:r>
        <w:rPr>
          <w:rStyle w:val="Strong"/>
          <w:rFonts w:ascii="Times New Roman" w:hAnsi="Times New Roman" w:cs="Times New Roman"/>
          <w:b w:val="0"/>
          <w:color w:val="auto"/>
        </w:rPr>
        <w:t xml:space="preserve">U članku 2. stavku 3. točki (j) iza riječi „poduzeća“ umjesto točke stavlja se točka-zarez i iza točke (j) dodaje se točka (k) koja glasi: </w:t>
      </w:r>
    </w:p>
    <w:p w:rsidR="003D7BFF" w:rsidRDefault="003D7BFF" w:rsidP="00A85E87">
      <w:pPr>
        <w:pStyle w:val="Default"/>
        <w:spacing w:before="120"/>
        <w:jc w:val="both"/>
        <w:rPr>
          <w:rStyle w:val="Strong"/>
          <w:rFonts w:ascii="Times New Roman" w:hAnsi="Times New Roman" w:cs="Times New Roman"/>
          <w:b w:val="0"/>
          <w:color w:val="auto"/>
        </w:rPr>
      </w:pPr>
    </w:p>
    <w:p w:rsidR="00A85E87" w:rsidRDefault="00A85E87" w:rsidP="00A85E87">
      <w:pPr>
        <w:pStyle w:val="Default"/>
        <w:spacing w:before="120"/>
        <w:jc w:val="both"/>
        <w:rPr>
          <w:rStyle w:val="Strong"/>
          <w:rFonts w:ascii="Times New Roman" w:hAnsi="Times New Roman" w:cs="Times New Roman"/>
          <w:b w:val="0"/>
          <w:color w:val="auto"/>
        </w:rPr>
      </w:pPr>
      <w:r>
        <w:rPr>
          <w:rStyle w:val="Strong"/>
          <w:rFonts w:ascii="Times New Roman" w:hAnsi="Times New Roman" w:cs="Times New Roman"/>
          <w:b w:val="0"/>
          <w:color w:val="auto"/>
        </w:rPr>
        <w:t>„</w:t>
      </w:r>
      <w:r w:rsidR="00640E9F">
        <w:rPr>
          <w:rStyle w:val="Strong"/>
          <w:rFonts w:ascii="Times New Roman" w:hAnsi="Times New Roman" w:cs="Times New Roman"/>
          <w:b w:val="0"/>
          <w:color w:val="auto"/>
        </w:rPr>
        <w:t xml:space="preserve">(k) </w:t>
      </w:r>
      <w:r w:rsidRPr="00A85E87">
        <w:rPr>
          <w:rStyle w:val="Strong"/>
          <w:rFonts w:ascii="Times New Roman" w:hAnsi="Times New Roman" w:cs="Times New Roman"/>
          <w:b w:val="0"/>
          <w:color w:val="auto"/>
        </w:rPr>
        <w:t>orgulje.</w:t>
      </w:r>
      <w:r>
        <w:rPr>
          <w:rStyle w:val="Strong"/>
          <w:rFonts w:ascii="Times New Roman" w:hAnsi="Times New Roman" w:cs="Times New Roman"/>
          <w:b w:val="0"/>
          <w:color w:val="auto"/>
        </w:rPr>
        <w:t>“</w:t>
      </w:r>
      <w:r w:rsidR="004A711F">
        <w:rPr>
          <w:rStyle w:val="Strong"/>
          <w:rFonts w:ascii="Times New Roman" w:hAnsi="Times New Roman" w:cs="Times New Roman"/>
          <w:b w:val="0"/>
          <w:color w:val="auto"/>
        </w:rPr>
        <w:t>.</w:t>
      </w:r>
    </w:p>
    <w:p w:rsidR="00AA4131" w:rsidRDefault="00AA4131" w:rsidP="00A85E87">
      <w:pPr>
        <w:pStyle w:val="Default"/>
        <w:spacing w:before="120"/>
        <w:jc w:val="both"/>
        <w:rPr>
          <w:rStyle w:val="Strong"/>
          <w:rFonts w:ascii="Times New Roman" w:hAnsi="Times New Roman" w:cs="Times New Roman"/>
          <w:b w:val="0"/>
          <w:color w:val="auto"/>
        </w:rPr>
      </w:pPr>
    </w:p>
    <w:p w:rsidR="00A85E87" w:rsidRPr="00A85E87" w:rsidRDefault="00A85E87" w:rsidP="00A85E87">
      <w:pPr>
        <w:pStyle w:val="Default"/>
        <w:spacing w:before="120"/>
        <w:jc w:val="center"/>
        <w:rPr>
          <w:rStyle w:val="Strong"/>
          <w:rFonts w:ascii="Times New Roman" w:hAnsi="Times New Roman" w:cs="Times New Roman"/>
          <w:b w:val="0"/>
          <w:color w:val="auto"/>
        </w:rPr>
      </w:pPr>
      <w:r w:rsidRPr="00A85E87">
        <w:rPr>
          <w:rStyle w:val="Strong"/>
          <w:rFonts w:ascii="Times New Roman" w:hAnsi="Times New Roman" w:cs="Times New Roman"/>
          <w:b w:val="0"/>
          <w:color w:val="auto"/>
        </w:rPr>
        <w:t xml:space="preserve">Članak </w:t>
      </w:r>
      <w:r w:rsidR="00FF1154">
        <w:rPr>
          <w:rStyle w:val="Strong"/>
          <w:rFonts w:ascii="Times New Roman" w:hAnsi="Times New Roman" w:cs="Times New Roman"/>
          <w:b w:val="0"/>
          <w:color w:val="auto"/>
        </w:rPr>
        <w:t>3</w:t>
      </w:r>
      <w:r w:rsidRPr="00A85E87">
        <w:rPr>
          <w:rStyle w:val="Strong"/>
          <w:rFonts w:ascii="Times New Roman" w:hAnsi="Times New Roman" w:cs="Times New Roman"/>
          <w:b w:val="0"/>
          <w:color w:val="auto"/>
        </w:rPr>
        <w:t>.</w:t>
      </w:r>
    </w:p>
    <w:p w:rsidR="00A85E87" w:rsidRPr="00A85E87" w:rsidRDefault="00A85E87" w:rsidP="00A85E87">
      <w:pPr>
        <w:pStyle w:val="Default"/>
        <w:spacing w:before="120"/>
        <w:jc w:val="both"/>
        <w:rPr>
          <w:rStyle w:val="Strong"/>
          <w:rFonts w:ascii="Times New Roman" w:hAnsi="Times New Roman" w:cs="Times New Roman"/>
          <w:b w:val="0"/>
          <w:color w:val="auto"/>
        </w:rPr>
      </w:pPr>
      <w:r w:rsidRPr="00A85E87">
        <w:rPr>
          <w:rStyle w:val="Strong"/>
          <w:rFonts w:ascii="Times New Roman" w:hAnsi="Times New Roman" w:cs="Times New Roman"/>
          <w:b w:val="0"/>
          <w:color w:val="auto"/>
        </w:rPr>
        <w:tab/>
        <w:t xml:space="preserve">U članku 3. točka 28. mijenja se i glasi: </w:t>
      </w:r>
    </w:p>
    <w:p w:rsidR="00A85E87" w:rsidRPr="00A85E87" w:rsidRDefault="00A85E87" w:rsidP="00A85E87">
      <w:pPr>
        <w:pStyle w:val="Default"/>
        <w:spacing w:before="120"/>
        <w:jc w:val="both"/>
        <w:rPr>
          <w:rStyle w:val="Strong"/>
          <w:rFonts w:ascii="Times New Roman" w:hAnsi="Times New Roman" w:cs="Times New Roman"/>
          <w:b w:val="0"/>
          <w:color w:val="auto"/>
        </w:rPr>
      </w:pPr>
    </w:p>
    <w:p w:rsidR="00F20838" w:rsidRDefault="00A85E87" w:rsidP="00C063D5">
      <w:pPr>
        <w:pStyle w:val="Default"/>
        <w:spacing w:before="120"/>
        <w:jc w:val="both"/>
        <w:rPr>
          <w:rStyle w:val="Strong"/>
          <w:rFonts w:ascii="Times New Roman" w:hAnsi="Times New Roman" w:cs="Times New Roman"/>
          <w:b w:val="0"/>
          <w:color w:val="auto"/>
        </w:rPr>
      </w:pPr>
      <w:r>
        <w:rPr>
          <w:rStyle w:val="Strong"/>
          <w:rFonts w:ascii="Times New Roman" w:hAnsi="Times New Roman" w:cs="Times New Roman"/>
          <w:b w:val="0"/>
          <w:color w:val="auto"/>
        </w:rPr>
        <w:t>„28.</w:t>
      </w:r>
      <w:r w:rsidRPr="00A85E87">
        <w:rPr>
          <w:rStyle w:val="Strong"/>
          <w:rFonts w:ascii="Times New Roman" w:hAnsi="Times New Roman" w:cs="Times New Roman"/>
          <w:b w:val="0"/>
          <w:color w:val="auto"/>
        </w:rPr>
        <w:t>)</w:t>
      </w:r>
      <w:r>
        <w:rPr>
          <w:rStyle w:val="Strong"/>
          <w:rFonts w:ascii="Times New Roman" w:hAnsi="Times New Roman" w:cs="Times New Roman"/>
          <w:b w:val="0"/>
          <w:color w:val="auto"/>
        </w:rPr>
        <w:t xml:space="preserve"> </w:t>
      </w:r>
      <w:r w:rsidRPr="00A85E87">
        <w:rPr>
          <w:rStyle w:val="Strong"/>
          <w:rFonts w:ascii="Times New Roman" w:hAnsi="Times New Roman" w:cs="Times New Roman"/>
          <w:b w:val="0"/>
          <w:color w:val="auto"/>
        </w:rPr>
        <w:t>necestovni pokretni strojevi koji su dostupni isključivo za profesionalnu uporabu’ znači strojevi s ugrađenim izvorom energije ili s vučnim pogonom s vanjskim izvorom napajanja koji moraju biti pokretni da bi radili ili se u radu moraju kontinuirano ili polukontinuirano kretati između niza fiksnih radnih lokacija, a dostupni su isključivo za profesionalnu uporabu.</w:t>
      </w:r>
      <w:r>
        <w:rPr>
          <w:rStyle w:val="Strong"/>
          <w:rFonts w:ascii="Times New Roman" w:hAnsi="Times New Roman" w:cs="Times New Roman"/>
          <w:b w:val="0"/>
          <w:color w:val="auto"/>
        </w:rPr>
        <w:t>“</w:t>
      </w:r>
      <w:r w:rsidR="004A711F">
        <w:rPr>
          <w:rStyle w:val="Strong"/>
          <w:rFonts w:ascii="Times New Roman" w:hAnsi="Times New Roman" w:cs="Times New Roman"/>
          <w:b w:val="0"/>
          <w:color w:val="auto"/>
        </w:rPr>
        <w:t>.</w:t>
      </w:r>
    </w:p>
    <w:p w:rsidR="00C063D5" w:rsidRPr="00C063D5" w:rsidRDefault="00C063D5" w:rsidP="00C063D5">
      <w:pPr>
        <w:pStyle w:val="Default"/>
        <w:spacing w:before="120"/>
        <w:jc w:val="both"/>
        <w:rPr>
          <w:rFonts w:ascii="Times New Roman" w:hAnsi="Times New Roman" w:cs="Times New Roman"/>
          <w:bCs/>
          <w:color w:val="auto"/>
        </w:rPr>
      </w:pPr>
    </w:p>
    <w:p w:rsidR="00F20838" w:rsidRPr="00654B40" w:rsidRDefault="00F20838" w:rsidP="00654B40">
      <w:pPr>
        <w:pStyle w:val="normal0"/>
        <w:shd w:val="clear" w:color="auto" w:fill="FFFFFF"/>
        <w:spacing w:before="120" w:line="312" w:lineRule="atLeast"/>
        <w:jc w:val="center"/>
      </w:pPr>
      <w:r w:rsidRPr="00F20838">
        <w:t xml:space="preserve">Članak </w:t>
      </w:r>
      <w:r w:rsidR="00D522E8">
        <w:t>4</w:t>
      </w:r>
      <w:r w:rsidRPr="00F20838">
        <w:t>.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 xml:space="preserve">U članku 4. stavku 2. točki 1. iza podtočke (e) dodaje se podtočka (f) koja glasi: 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 xml:space="preserve">„sveg drugog EEO-a koji nije bio obuhvaćen područjem primjene koji je uvršten u kategoriju 11. iz Priloga I. ovoga Pravilnika i koji je stavljen na tržište prije 22. srpnja 2019.“. 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 xml:space="preserve">U članku 4. stavku 2. točki 1. dosadašnja podtčka (f) postaje podtočka (g).  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 xml:space="preserve">U članku 4. stavku 2. točka 2. mijenja se i glasi: 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>„Pod uvjetom da se ponovna uporaba odvija u povratnim zatvorenim sustavima poslovanja među poduzećima koji se mogu revidirati i da se o ponovnoj uporabi rezervnih dijelova obavijesti potrošač, stavak 1. ovog članka ne primjenjuje se na ponovno uporabljene rezervne dijelove: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>(a)</w:t>
      </w:r>
      <w:r w:rsidRPr="00F20838">
        <w:tab/>
        <w:t>oporabljene iz EEO-a stavljenog na tržište prije 1. srpnja 2006. i uporabljene u EEO-u stavljenom na tržište prije 1. srpnja 2016.;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>(b)</w:t>
      </w:r>
      <w:r w:rsidRPr="00F20838">
        <w:tab/>
        <w:t>oporabljene iz medicinskih proizvoda ili instrumenata za praćenje i kontrolu stavljenih na tržište prije 22. srpnja 2014. i uporabljene u EEO-u stavljenom na tržište prije 22. srpnja 2024.;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lastRenderedPageBreak/>
        <w:t>(c)</w:t>
      </w:r>
      <w:r w:rsidRPr="00F20838">
        <w:tab/>
        <w:t>oporabljene iz in vitro dijagnostičkih medicinskih proizvoda stavljenih na tržište prije 22. srpnja 2016. i uporabljene u EEO-u stavljenom na tržište prije 22. srpnja 2026.;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>(d)</w:t>
      </w:r>
      <w:r w:rsidRPr="00F20838">
        <w:tab/>
        <w:t>oporabljene iz instrumenata za praćenje i kontrolu u industriji stavljenih na tržište prije 22. srpnja 2017. i uporabljene u EEO-u stavljenom na tržište prije 22. srpnja 2027.;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>(e)</w:t>
      </w:r>
      <w:r w:rsidRPr="00F20838">
        <w:tab/>
        <w:t>oporabljene iz sveg drugog EEO-a koji nije bio obuhvaćen područjem primjene Direktive 2002/95/EZ i koji je stavljen na tržište prije 22. srpnja 2019. i uporabljene u EEO-u stavljenom na tržište prije 22. srpnja 2029.”.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  <w:rPr>
          <w:sz w:val="27"/>
          <w:szCs w:val="27"/>
        </w:rPr>
      </w:pPr>
      <w:r w:rsidRPr="00F20838">
        <w:rPr>
          <w:sz w:val="27"/>
          <w:szCs w:val="27"/>
        </w:rPr>
        <w:tab/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 xml:space="preserve">U članku 4. stavku 2. iza podstavka 3. dodaje se podstavak 4. koji glasi: 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>„Pod uvjetom da nije utvrđeno kraće razdoblje, najdulje razdoblje valjanosti za izuzeća navedena u Prilogu III. na dan 21. srpnja 2011., a koje se može produljiti: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>(a)za kategorije od 1. do 7. i kategoriju 10. iz Priloga I. iznosi pet godina od 21. srpnja 2011.;</w:t>
      </w:r>
    </w:p>
    <w:p w:rsidR="00654B40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>(b)</w:t>
      </w:r>
      <w:r w:rsidRPr="00F20838">
        <w:tab/>
        <w:t>za kategorije 8. i 9. iz Priloga I. iznosi sedam godina od relevantnih datuma utvrđenih u članku 4. stavku 3.; i</w:t>
      </w:r>
    </w:p>
    <w:p w:rsidR="00F20838" w:rsidRPr="00F20838" w:rsidRDefault="00F20838" w:rsidP="00F20838">
      <w:pPr>
        <w:pStyle w:val="normal0"/>
        <w:shd w:val="clear" w:color="auto" w:fill="FFFFFF"/>
        <w:spacing w:before="120" w:line="312" w:lineRule="atLeast"/>
        <w:jc w:val="both"/>
      </w:pPr>
      <w:r w:rsidRPr="00F20838">
        <w:t>(c)za kategoriju 11. iz Priloga I. iznosi pet godina od 22. srpnja 2019.”.</w:t>
      </w:r>
    </w:p>
    <w:p w:rsidR="00707AAB" w:rsidRDefault="00707AAB" w:rsidP="00707AAB"/>
    <w:p w:rsidR="00AA4131" w:rsidRPr="00F20838" w:rsidRDefault="00D522E8" w:rsidP="00D522E8">
      <w:pPr>
        <w:pStyle w:val="normal0"/>
        <w:shd w:val="clear" w:color="auto" w:fill="FFFFFF"/>
        <w:spacing w:before="120" w:line="312" w:lineRule="atLeast"/>
        <w:jc w:val="center"/>
      </w:pPr>
      <w:r w:rsidRPr="00F20838">
        <w:t xml:space="preserve">Članak </w:t>
      </w:r>
      <w:r>
        <w:t>5</w:t>
      </w:r>
      <w:r w:rsidRPr="00F20838">
        <w:t>.</w:t>
      </w:r>
    </w:p>
    <w:p w:rsidR="00D522E8" w:rsidRPr="00F20838" w:rsidRDefault="00D522E8" w:rsidP="00D522E8">
      <w:pPr>
        <w:pStyle w:val="normal0"/>
        <w:shd w:val="clear" w:color="auto" w:fill="FFFFFF"/>
        <w:spacing w:before="120" w:line="312" w:lineRule="atLeast"/>
        <w:jc w:val="both"/>
      </w:pPr>
      <w:r w:rsidRPr="00F20838">
        <w:t xml:space="preserve">Članak 19. mijenja se i glasi: </w:t>
      </w:r>
    </w:p>
    <w:p w:rsidR="00D522E8" w:rsidRPr="00F20838" w:rsidRDefault="00D522E8" w:rsidP="00D522E8">
      <w:pPr>
        <w:pStyle w:val="normal0"/>
        <w:shd w:val="clear" w:color="auto" w:fill="FFFFFF"/>
        <w:spacing w:before="120" w:line="312" w:lineRule="atLeast"/>
        <w:jc w:val="both"/>
      </w:pPr>
      <w:r w:rsidRPr="00F20838">
        <w:t>„Odredbe članka 4. stavka 1. ovog Pravilnika primjenjuju se na medicinske proizvode i instrumente za praćenje i kontrolu koji su stavljeni na tržište od 22. srpnja 2014., na in vitro dijagnostičke medicinske proizvode koji su stavljeni na tržište od 22. srpnja 2016., na instrumente za praćenje i kontrolu u industriji koji su stavljeni na tržište od 22. srpnja 2017. te na sav ostali EEO koji je uvršten u kategoriju 11. iz Priloga I. ovoga Pravilnika i stavlja se na  tržište od 22. srpnja 2019.”.</w:t>
      </w:r>
    </w:p>
    <w:p w:rsidR="00654B40" w:rsidRDefault="00654B40" w:rsidP="00707AAB"/>
    <w:p w:rsidR="00654B40" w:rsidRDefault="00654B40" w:rsidP="00707AAB"/>
    <w:p w:rsidR="00654B40" w:rsidRPr="005D39EE" w:rsidRDefault="00654B40" w:rsidP="00707AAB">
      <w:pPr>
        <w:rPr>
          <w:vanish/>
        </w:rPr>
      </w:pPr>
    </w:p>
    <w:p w:rsidR="00707AAB" w:rsidRPr="005D39EE" w:rsidRDefault="00707AAB" w:rsidP="00707AAB">
      <w:pPr>
        <w:rPr>
          <w:vanish/>
        </w:rPr>
      </w:pPr>
    </w:p>
    <w:p w:rsidR="00707AAB" w:rsidRPr="005D39EE" w:rsidRDefault="00707AAB" w:rsidP="00707AAB">
      <w:pPr>
        <w:rPr>
          <w:vanish/>
        </w:rPr>
      </w:pPr>
    </w:p>
    <w:p w:rsidR="00707AAB" w:rsidRDefault="00707AAB" w:rsidP="00A0405C">
      <w:pPr>
        <w:pStyle w:val="Default"/>
        <w:spacing w:before="120"/>
        <w:jc w:val="both"/>
        <w:rPr>
          <w:rFonts w:ascii="Times New Roman" w:hAnsi="Times New Roman" w:cs="Times New Roman"/>
          <w:bCs/>
          <w:color w:val="auto"/>
        </w:rPr>
      </w:pPr>
    </w:p>
    <w:p w:rsidR="008C7D84" w:rsidRPr="005D39EE" w:rsidRDefault="008C7D84" w:rsidP="00A0405C">
      <w:pPr>
        <w:pStyle w:val="Default"/>
        <w:spacing w:before="120"/>
        <w:jc w:val="both"/>
        <w:rPr>
          <w:rFonts w:ascii="Times New Roman" w:hAnsi="Times New Roman" w:cs="Times New Roman"/>
          <w:bCs/>
          <w:color w:val="auto"/>
        </w:rPr>
      </w:pPr>
    </w:p>
    <w:p w:rsidR="00707AAB" w:rsidRDefault="00824BEC" w:rsidP="004A711F">
      <w:pPr>
        <w:pStyle w:val="Heading1"/>
      </w:pPr>
      <w:r>
        <w:t>Čla</w:t>
      </w:r>
      <w:r w:rsidR="004A711F">
        <w:t xml:space="preserve">nak </w:t>
      </w:r>
      <w:r w:rsidR="001F0DED">
        <w:t>6</w:t>
      </w:r>
      <w:r w:rsidR="004A711F">
        <w:t xml:space="preserve">. </w:t>
      </w:r>
    </w:p>
    <w:p w:rsidR="008426B7" w:rsidRPr="005D39EE" w:rsidRDefault="008426B7" w:rsidP="008426B7">
      <w:pPr>
        <w:pStyle w:val="normal0"/>
        <w:numPr>
          <w:ilvl w:val="0"/>
          <w:numId w:val="6"/>
        </w:numPr>
        <w:shd w:val="clear" w:color="auto" w:fill="FFFFFF"/>
        <w:spacing w:before="120" w:beforeAutospacing="0" w:after="0" w:afterAutospacing="0"/>
        <w:jc w:val="both"/>
      </w:pPr>
      <w:r w:rsidRPr="005D39EE">
        <w:t>U Prilogu III. točka 6(a) mijenja se i glasi:</w:t>
      </w:r>
    </w:p>
    <w:p w:rsidR="008426B7" w:rsidRPr="005D39EE" w:rsidRDefault="008426B7" w:rsidP="008426B7">
      <w:pPr>
        <w:pStyle w:val="normal0"/>
        <w:shd w:val="clear" w:color="auto" w:fill="FFFFFF"/>
        <w:spacing w:before="120" w:beforeAutospacing="0" w:after="0" w:afterAutospacing="0"/>
        <w:ind w:left="720"/>
        <w:jc w:val="both"/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077"/>
        <w:gridCol w:w="3258"/>
      </w:tblGrid>
      <w:tr w:rsidR="008426B7" w:rsidRPr="005D39EE" w:rsidTr="006D10A3">
        <w:trPr>
          <w:tblCellSpacing w:w="0" w:type="dxa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6B7" w:rsidRPr="005D39EE" w:rsidRDefault="008426B7">
            <w:pPr>
              <w:pStyle w:val="tbl-txt"/>
              <w:spacing w:before="60" w:beforeAutospacing="0" w:after="60" w:afterAutospacing="0"/>
              <w:rPr>
                <w:rFonts w:ascii="inherit" w:hAnsi="inherit"/>
                <w:sz w:val="22"/>
                <w:szCs w:val="22"/>
              </w:rPr>
            </w:pPr>
            <w:r w:rsidRPr="005D39EE">
              <w:rPr>
                <w:rFonts w:ascii="inherit" w:hAnsi="inherit"/>
                <w:sz w:val="22"/>
                <w:szCs w:val="22"/>
              </w:rPr>
              <w:lastRenderedPageBreak/>
              <w:t>„6(a)</w:t>
            </w:r>
          </w:p>
        </w:tc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6B7" w:rsidRPr="005D39EE" w:rsidRDefault="008426B7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Olovo kao element u čeličnim legurama za potrebe strojne obrade i u galvaniziranom čeliku s masenim udjelom olova do 0,35 %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6B7" w:rsidRPr="005D39EE" w:rsidRDefault="008426B7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Istječe: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8426B7" w:rsidRPr="005D39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426B7" w:rsidRPr="005D39EE" w:rsidRDefault="008426B7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8426B7" w:rsidRPr="005D39EE" w:rsidRDefault="008426B7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21. srpnja 2021. za kategorije 8. i 9. osim medicinskih proizvoda za dijagnostiku </w:t>
                  </w:r>
                  <w:r w:rsidRPr="005D39EE">
                    <w:rPr>
                      <w:rStyle w:val="italic"/>
                      <w:i/>
                      <w:iCs/>
                    </w:rPr>
                    <w:t>in vitro</w:t>
                  </w:r>
                  <w:r w:rsidRPr="005D39EE">
                    <w:t> te instrumente za praćenje i kontrolu u industriji,</w:t>
                  </w:r>
                </w:p>
              </w:tc>
            </w:tr>
          </w:tbl>
          <w:p w:rsidR="008426B7" w:rsidRPr="005D39EE" w:rsidRDefault="008426B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8426B7" w:rsidRPr="005D39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426B7" w:rsidRPr="005D39EE" w:rsidRDefault="008426B7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8426B7" w:rsidRPr="005D39EE" w:rsidRDefault="008426B7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21. srpnja 2023. za medicinske proizvode za dijagnostiku </w:t>
                  </w:r>
                  <w:r w:rsidRPr="005D39EE">
                    <w:rPr>
                      <w:rStyle w:val="italic"/>
                      <w:i/>
                      <w:iCs/>
                    </w:rPr>
                    <w:t>in vitro</w:t>
                  </w:r>
                  <w:r w:rsidRPr="005D39EE">
                    <w:t> iz kategorije 8.,</w:t>
                  </w:r>
                </w:p>
              </w:tc>
            </w:tr>
          </w:tbl>
          <w:p w:rsidR="008426B7" w:rsidRPr="005D39EE" w:rsidRDefault="008426B7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8426B7" w:rsidRPr="005D39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426B7" w:rsidRPr="005D39EE" w:rsidRDefault="008426B7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8426B7" w:rsidRPr="005D39EE" w:rsidRDefault="008426B7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21. srpnja 2024. za instrumente za praćenje i kontrolu u industriji iz kategorije 9. te za kategoriju 11.</w:t>
                  </w:r>
                </w:p>
              </w:tc>
            </w:tr>
          </w:tbl>
          <w:p w:rsidR="008426B7" w:rsidRPr="005D39EE" w:rsidRDefault="008426B7"/>
        </w:tc>
      </w:tr>
      <w:tr w:rsidR="008426B7" w:rsidRPr="005D39EE" w:rsidTr="006D10A3">
        <w:trPr>
          <w:tblCellSpacing w:w="0" w:type="dxa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6B7" w:rsidRPr="005D39EE" w:rsidRDefault="008426B7">
            <w:pPr>
              <w:pStyle w:val="tbl-txt"/>
              <w:spacing w:before="60" w:beforeAutospacing="0" w:after="60" w:afterAutospacing="0"/>
              <w:rPr>
                <w:rFonts w:ascii="inherit" w:hAnsi="inherit"/>
                <w:sz w:val="22"/>
                <w:szCs w:val="22"/>
              </w:rPr>
            </w:pPr>
            <w:r w:rsidRPr="005D39EE">
              <w:rPr>
                <w:rFonts w:ascii="inherit" w:hAnsi="inherit"/>
                <w:sz w:val="22"/>
                <w:szCs w:val="22"/>
              </w:rPr>
              <w:t>6(a)-I</w:t>
            </w:r>
          </w:p>
        </w:tc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6B7" w:rsidRPr="005D39EE" w:rsidRDefault="008426B7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Olovo kao element u čeličnim legurama za potrebe strojne obrade s masenim udjelom olova do 0,35 % te u komponentama od vruće pocinčanog čelika s masenim udjelom olova do 0,2 %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6B7" w:rsidRPr="005D39EE" w:rsidRDefault="008426B7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Istječe 21. srpnja 2021. za kategorije od 1. do 7. te 10.”</w:t>
            </w:r>
          </w:p>
        </w:tc>
      </w:tr>
    </w:tbl>
    <w:p w:rsidR="00126668" w:rsidRPr="005D39EE" w:rsidRDefault="00126668" w:rsidP="00126668">
      <w:pPr>
        <w:pStyle w:val="normal0"/>
        <w:numPr>
          <w:ilvl w:val="0"/>
          <w:numId w:val="6"/>
        </w:numPr>
        <w:shd w:val="clear" w:color="auto" w:fill="FFFFFF"/>
        <w:spacing w:before="120" w:beforeAutospacing="0" w:after="0" w:afterAutospacing="0"/>
        <w:jc w:val="both"/>
      </w:pPr>
      <w:r w:rsidRPr="005D39EE">
        <w:t>U Prilogu III. točka 6(b) mijenja se i glasi:</w:t>
      </w:r>
    </w:p>
    <w:p w:rsidR="00126668" w:rsidRPr="005D39EE" w:rsidRDefault="00126668" w:rsidP="00126668">
      <w:pPr>
        <w:pStyle w:val="normal0"/>
        <w:shd w:val="clear" w:color="auto" w:fill="FFFFFF"/>
        <w:spacing w:before="120" w:beforeAutospacing="0" w:after="0" w:afterAutospacing="0"/>
        <w:ind w:left="360"/>
        <w:jc w:val="both"/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077"/>
        <w:gridCol w:w="3258"/>
      </w:tblGrid>
      <w:tr w:rsidR="00126668" w:rsidRPr="005D39EE" w:rsidTr="00A65F89">
        <w:trPr>
          <w:tblCellSpacing w:w="0" w:type="dxa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„6(b)</w:t>
            </w:r>
          </w:p>
        </w:tc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Olovo kao element u aluminijskim legurama s masenim udjelom olova do 0,4 %.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Istječe: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126668" w:rsidRPr="005D39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 xml:space="preserve">21. srpnja 2021. za kategorije 8. i 9. osim medicinskih proizvoda za dijagnostiku </w:t>
                  </w:r>
                  <w:r w:rsidRPr="00A65F89">
                    <w:rPr>
                      <w:i/>
                    </w:rPr>
                    <w:t>in vitro</w:t>
                  </w:r>
                  <w:r w:rsidRPr="005D39EE">
                    <w:t xml:space="preserve"> te instrumente za praćenje i kontrolu u industriji,</w:t>
                  </w:r>
                </w:p>
              </w:tc>
            </w:tr>
          </w:tbl>
          <w:p w:rsidR="00126668" w:rsidRPr="005D39EE" w:rsidRDefault="00126668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126668" w:rsidRPr="005D39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21. srpnja 2023. za medicinske proizvode za dijagnostiku in vitro iz kategorije 8.,</w:t>
                  </w:r>
                </w:p>
              </w:tc>
            </w:tr>
          </w:tbl>
          <w:p w:rsidR="00126668" w:rsidRPr="005D39EE" w:rsidRDefault="00126668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126668" w:rsidRPr="005D39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21. srpnja 2024. za instrumente za praćenje i kontrolu u industriji iz kategorije 9. te za kategoriju 11.,</w:t>
                  </w:r>
                </w:p>
              </w:tc>
            </w:tr>
          </w:tbl>
          <w:p w:rsidR="00126668" w:rsidRPr="005D39EE" w:rsidRDefault="00126668"/>
        </w:tc>
      </w:tr>
      <w:tr w:rsidR="00126668" w:rsidRPr="005D39EE" w:rsidTr="00A65F89">
        <w:trPr>
          <w:tblCellSpacing w:w="0" w:type="dxa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6(b)-I</w:t>
            </w:r>
          </w:p>
        </w:tc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Olovo kao element u aluminijskim legurama s masenim udjelom olova do 0,4 % pod uvjetom da to rezultat recikliranja aluminijskog otpada koji sadržava olovo.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Istječe 21. srpnja 2021. za kategorije od 1. do 7. te 10.</w:t>
            </w:r>
          </w:p>
        </w:tc>
      </w:tr>
      <w:tr w:rsidR="00126668" w:rsidRPr="005D39EE" w:rsidTr="00A65F89">
        <w:trPr>
          <w:tblCellSpacing w:w="0" w:type="dxa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6(b)-II</w:t>
            </w:r>
          </w:p>
        </w:tc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Olovo kao element u aluminijskim legurama za potrebe strojne obrade s masenim udjelom olova do 0,4 %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Istječe 18. svibnja 2021. od 1. do 7. te 10.”</w:t>
            </w:r>
          </w:p>
        </w:tc>
      </w:tr>
    </w:tbl>
    <w:p w:rsidR="008426B7" w:rsidRPr="005D39EE" w:rsidRDefault="008426B7" w:rsidP="00126668">
      <w:pPr>
        <w:pStyle w:val="Default"/>
        <w:spacing w:before="240" w:after="240"/>
        <w:jc w:val="both"/>
        <w:rPr>
          <w:rFonts w:ascii="Times New Roman" w:hAnsi="Times New Roman" w:cs="Times New Roman"/>
          <w:color w:val="auto"/>
        </w:rPr>
      </w:pPr>
    </w:p>
    <w:p w:rsidR="00126668" w:rsidRPr="005D39EE" w:rsidRDefault="00126668" w:rsidP="00126668">
      <w:pPr>
        <w:pStyle w:val="normal0"/>
        <w:numPr>
          <w:ilvl w:val="0"/>
          <w:numId w:val="6"/>
        </w:numPr>
        <w:shd w:val="clear" w:color="auto" w:fill="FFFFFF"/>
        <w:spacing w:before="120" w:beforeAutospacing="0" w:after="0" w:afterAutospacing="0"/>
        <w:jc w:val="both"/>
      </w:pPr>
      <w:r w:rsidRPr="005D39EE">
        <w:t>U Prilogu III. točka 6(c) mijenja se i glasi:</w:t>
      </w:r>
    </w:p>
    <w:p w:rsidR="00126668" w:rsidRPr="005D39EE" w:rsidRDefault="00126668" w:rsidP="00126668">
      <w:pPr>
        <w:pStyle w:val="normal0"/>
        <w:shd w:val="clear" w:color="auto" w:fill="FFFFFF"/>
        <w:spacing w:before="120" w:beforeAutospacing="0" w:after="0" w:afterAutospacing="0"/>
        <w:jc w:val="both"/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077"/>
        <w:gridCol w:w="3258"/>
      </w:tblGrid>
      <w:tr w:rsidR="00126668" w:rsidRPr="005D39EE" w:rsidTr="00A65F89">
        <w:trPr>
          <w:tblCellSpacing w:w="0" w:type="dxa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A65F89">
            <w:pPr>
              <w:pStyle w:val="tbl-txt"/>
              <w:spacing w:before="60" w:beforeAutospacing="0" w:after="60" w:afterAutospacing="0"/>
              <w:rPr>
                <w:rFonts w:ascii="inherit" w:hAnsi="inherit"/>
                <w:sz w:val="22"/>
                <w:szCs w:val="22"/>
              </w:rPr>
            </w:pPr>
            <w:r>
              <w:rPr>
                <w:rFonts w:ascii="inherit" w:hAnsi="inherit"/>
                <w:sz w:val="22"/>
                <w:szCs w:val="22"/>
              </w:rPr>
              <w:t>„6</w:t>
            </w:r>
            <w:r w:rsidR="00126668" w:rsidRPr="005D39EE">
              <w:rPr>
                <w:rFonts w:ascii="inherit" w:hAnsi="inherit"/>
                <w:sz w:val="22"/>
                <w:szCs w:val="22"/>
              </w:rPr>
              <w:t>(c)</w:t>
            </w:r>
          </w:p>
        </w:tc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rFonts w:ascii="inherit" w:hAnsi="inherit"/>
                <w:sz w:val="22"/>
                <w:szCs w:val="22"/>
              </w:rPr>
            </w:pPr>
            <w:r w:rsidRPr="005D39EE">
              <w:rPr>
                <w:rFonts w:ascii="inherit" w:hAnsi="inherit"/>
                <w:sz w:val="22"/>
                <w:szCs w:val="22"/>
              </w:rPr>
              <w:t>Bakrene legure s masenim udjelom olova do 4 %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rFonts w:ascii="inherit" w:hAnsi="inherit"/>
                <w:sz w:val="22"/>
                <w:szCs w:val="22"/>
              </w:rPr>
            </w:pPr>
            <w:r w:rsidRPr="005D39EE">
              <w:rPr>
                <w:rFonts w:ascii="inherit" w:hAnsi="inherit"/>
                <w:sz w:val="22"/>
                <w:szCs w:val="22"/>
              </w:rPr>
              <w:t>Istječe: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126668" w:rsidRPr="005D39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  <w:rPr>
                      <w:rFonts w:ascii="inherit" w:hAnsi="inherit"/>
                    </w:rPr>
                  </w:pPr>
                  <w:r w:rsidRPr="005D39EE">
                    <w:rPr>
                      <w:rFonts w:ascii="inherit" w:hAnsi="inherit"/>
                    </w:rPr>
                    <w:lastRenderedPageBreak/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  <w:rPr>
                      <w:rFonts w:ascii="inherit" w:hAnsi="inherit"/>
                    </w:rPr>
                  </w:pPr>
                  <w:r w:rsidRPr="005D39EE">
                    <w:rPr>
                      <w:rFonts w:ascii="inherit" w:hAnsi="inherit"/>
                    </w:rPr>
                    <w:t>21. srpnja 2021. za kategorije od 1. do 7. te 10.</w:t>
                  </w:r>
                </w:p>
              </w:tc>
            </w:tr>
          </w:tbl>
          <w:p w:rsidR="00126668" w:rsidRPr="005D39EE" w:rsidRDefault="00126668">
            <w:pPr>
              <w:rPr>
                <w:rFonts w:ascii="inherit" w:hAnsi="inherit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126668" w:rsidRPr="005D39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  <w:rPr>
                      <w:rFonts w:ascii="inherit" w:hAnsi="inherit"/>
                    </w:rPr>
                  </w:pPr>
                  <w:r w:rsidRPr="005D39EE">
                    <w:rPr>
                      <w:rFonts w:ascii="inherit" w:hAnsi="inherit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  <w:rPr>
                      <w:rFonts w:ascii="inherit" w:hAnsi="inherit"/>
                    </w:rPr>
                  </w:pPr>
                  <w:r w:rsidRPr="005D39EE">
                    <w:rPr>
                      <w:rFonts w:ascii="inherit" w:hAnsi="inherit"/>
                    </w:rPr>
                    <w:t xml:space="preserve">21. srpnja 2021. za kategorije 8. i 9. osim medicinskih proizvoda za dijagnostiku </w:t>
                  </w:r>
                  <w:r w:rsidRPr="00E67D60">
                    <w:rPr>
                      <w:rFonts w:ascii="inherit" w:hAnsi="inherit"/>
                      <w:i/>
                    </w:rPr>
                    <w:t>in</w:t>
                  </w:r>
                  <w:r w:rsidRPr="005D39EE">
                    <w:rPr>
                      <w:rFonts w:ascii="inherit" w:hAnsi="inherit"/>
                    </w:rPr>
                    <w:t xml:space="preserve"> </w:t>
                  </w:r>
                  <w:r w:rsidRPr="00E67D60">
                    <w:rPr>
                      <w:rFonts w:ascii="inherit" w:hAnsi="inherit"/>
                      <w:i/>
                    </w:rPr>
                    <w:t>vitro</w:t>
                  </w:r>
                  <w:r w:rsidRPr="005D39EE">
                    <w:rPr>
                      <w:rFonts w:ascii="inherit" w:hAnsi="inherit"/>
                    </w:rPr>
                    <w:t xml:space="preserve"> te instrumente za praćenje i kontrolu u industriji,</w:t>
                  </w:r>
                </w:p>
              </w:tc>
            </w:tr>
          </w:tbl>
          <w:p w:rsidR="00126668" w:rsidRPr="005D39EE" w:rsidRDefault="00126668">
            <w:pPr>
              <w:rPr>
                <w:rFonts w:ascii="inherit" w:hAnsi="inherit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126668" w:rsidRPr="005D39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  <w:rPr>
                      <w:rFonts w:ascii="inherit" w:hAnsi="inherit"/>
                    </w:rPr>
                  </w:pPr>
                  <w:r w:rsidRPr="005D39EE">
                    <w:rPr>
                      <w:rFonts w:ascii="inherit" w:hAnsi="inherit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  <w:rPr>
                      <w:rFonts w:ascii="inherit" w:hAnsi="inherit"/>
                    </w:rPr>
                  </w:pPr>
                  <w:r w:rsidRPr="005D39EE">
                    <w:rPr>
                      <w:rFonts w:ascii="inherit" w:hAnsi="inherit"/>
                    </w:rPr>
                    <w:t xml:space="preserve">21. srpnja 2023. za medicinske proizvode za dijagnostiku </w:t>
                  </w:r>
                  <w:r w:rsidRPr="00E67D60">
                    <w:rPr>
                      <w:rFonts w:ascii="inherit" w:hAnsi="inherit"/>
                      <w:i/>
                    </w:rPr>
                    <w:t>in vitro</w:t>
                  </w:r>
                  <w:r w:rsidRPr="005D39EE">
                    <w:rPr>
                      <w:rFonts w:ascii="inherit" w:hAnsi="inherit"/>
                    </w:rPr>
                    <w:t xml:space="preserve"> iz kategorije 8.,</w:t>
                  </w:r>
                </w:p>
              </w:tc>
            </w:tr>
          </w:tbl>
          <w:p w:rsidR="00126668" w:rsidRPr="005D39EE" w:rsidRDefault="00126668">
            <w:pPr>
              <w:rPr>
                <w:rFonts w:ascii="inherit" w:hAnsi="inherit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126668" w:rsidRPr="005D39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  <w:rPr>
                      <w:rFonts w:ascii="inherit" w:hAnsi="inherit"/>
                    </w:rPr>
                  </w:pPr>
                  <w:r w:rsidRPr="005D39EE">
                    <w:rPr>
                      <w:rFonts w:ascii="inherit" w:hAnsi="inherit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126668" w:rsidRPr="005D39EE" w:rsidRDefault="00126668">
                  <w:pPr>
                    <w:pStyle w:val="normal0"/>
                    <w:spacing w:before="120" w:beforeAutospacing="0" w:after="0" w:afterAutospacing="0"/>
                    <w:jc w:val="both"/>
                    <w:rPr>
                      <w:rFonts w:ascii="inherit" w:hAnsi="inherit"/>
                    </w:rPr>
                  </w:pPr>
                  <w:r w:rsidRPr="005D39EE">
                    <w:rPr>
                      <w:rFonts w:ascii="inherit" w:hAnsi="inherit"/>
                    </w:rPr>
                    <w:t>21. srpnja 2024. za instrumente za praćenje i kontrolu u industriji iz kategorije 9. te za kategoriju 11.”</w:t>
                  </w:r>
                </w:p>
              </w:tc>
            </w:tr>
          </w:tbl>
          <w:p w:rsidR="00126668" w:rsidRPr="005D39EE" w:rsidRDefault="00126668">
            <w:pPr>
              <w:rPr>
                <w:rFonts w:ascii="inherit" w:hAnsi="inherit"/>
              </w:rPr>
            </w:pPr>
          </w:p>
        </w:tc>
      </w:tr>
    </w:tbl>
    <w:p w:rsidR="00126668" w:rsidRPr="005D39EE" w:rsidRDefault="00126668" w:rsidP="00126668">
      <w:pPr>
        <w:pStyle w:val="normal0"/>
        <w:shd w:val="clear" w:color="auto" w:fill="FFFFFF"/>
        <w:spacing w:before="120" w:beforeAutospacing="0" w:after="0" w:afterAutospacing="0"/>
        <w:jc w:val="both"/>
        <w:rPr>
          <w:rFonts w:ascii="inherit" w:hAnsi="inherit"/>
        </w:rPr>
      </w:pPr>
    </w:p>
    <w:p w:rsidR="00126668" w:rsidRPr="005D39EE" w:rsidRDefault="00126668" w:rsidP="00126668">
      <w:pPr>
        <w:pStyle w:val="normal0"/>
        <w:numPr>
          <w:ilvl w:val="0"/>
          <w:numId w:val="6"/>
        </w:numPr>
        <w:shd w:val="clear" w:color="auto" w:fill="FFFFFF"/>
        <w:spacing w:before="120" w:beforeAutospacing="0" w:after="0" w:afterAutospacing="0"/>
        <w:jc w:val="both"/>
        <w:rPr>
          <w:rFonts w:ascii="inherit" w:hAnsi="inherit"/>
        </w:rPr>
      </w:pPr>
      <w:r w:rsidRPr="005D39EE">
        <w:rPr>
          <w:rFonts w:ascii="inherit" w:hAnsi="inherit"/>
        </w:rPr>
        <w:t xml:space="preserve">U Prilogu III. točka 7(a) </w:t>
      </w:r>
      <w:r w:rsidRPr="005D39EE">
        <w:t>mijenja se i glasi:</w:t>
      </w:r>
    </w:p>
    <w:p w:rsidR="00126668" w:rsidRPr="005D39EE" w:rsidRDefault="00126668" w:rsidP="00126668">
      <w:pPr>
        <w:pStyle w:val="normal0"/>
        <w:shd w:val="clear" w:color="auto" w:fill="FFFFFF"/>
        <w:spacing w:before="120" w:beforeAutospacing="0" w:after="0" w:afterAutospacing="0"/>
        <w:jc w:val="both"/>
        <w:rPr>
          <w:rFonts w:ascii="inherit" w:hAnsi="inherit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077"/>
        <w:gridCol w:w="3258"/>
      </w:tblGrid>
      <w:tr w:rsidR="00126668" w:rsidRPr="005D39EE" w:rsidTr="00012DF3">
        <w:trPr>
          <w:tblCellSpacing w:w="0" w:type="dxa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rFonts w:ascii="inherit" w:hAnsi="inherit"/>
                <w:sz w:val="22"/>
                <w:szCs w:val="22"/>
              </w:rPr>
            </w:pPr>
            <w:r w:rsidRPr="005D39EE">
              <w:rPr>
                <w:rFonts w:ascii="inherit" w:hAnsi="inherit"/>
                <w:sz w:val="22"/>
                <w:szCs w:val="22"/>
              </w:rPr>
              <w:t>„7(a)</w:t>
            </w:r>
          </w:p>
        </w:tc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rFonts w:ascii="inherit" w:hAnsi="inherit"/>
                <w:sz w:val="22"/>
                <w:szCs w:val="22"/>
              </w:rPr>
            </w:pPr>
            <w:r w:rsidRPr="005D39EE">
              <w:rPr>
                <w:rFonts w:ascii="inherit" w:hAnsi="inherit"/>
                <w:sz w:val="22"/>
                <w:szCs w:val="22"/>
              </w:rPr>
              <w:t>Olovo u lemovima s visokim temperaturama taljenja (npr. u olovnim legurama, s masenim udjelom olova 85 % ili više)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rFonts w:ascii="inherit" w:hAnsi="inherit"/>
                <w:sz w:val="22"/>
                <w:szCs w:val="22"/>
              </w:rPr>
            </w:pPr>
            <w:r w:rsidRPr="005D39EE">
              <w:rPr>
                <w:rFonts w:ascii="inherit" w:hAnsi="inherit"/>
                <w:sz w:val="22"/>
                <w:szCs w:val="22"/>
              </w:rPr>
              <w:t>Primjenjuje se za kategorije od 1. do 7. i 10. (osim primjena obuhvaćenih točkom 24. ovog Priloga) te istječe 21. srpnja 2021.</w:t>
            </w:r>
          </w:p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rFonts w:ascii="inherit" w:hAnsi="inherit"/>
                <w:sz w:val="22"/>
                <w:szCs w:val="22"/>
              </w:rPr>
            </w:pPr>
            <w:r w:rsidRPr="005D39EE">
              <w:rPr>
                <w:rFonts w:ascii="inherit" w:hAnsi="inherit"/>
                <w:sz w:val="22"/>
                <w:szCs w:val="22"/>
              </w:rPr>
              <w:t>Za kategorije 8. i 9. osim medicinskih proizvoda za dijagnostiku </w:t>
            </w:r>
            <w:r w:rsidRPr="005D39EE">
              <w:rPr>
                <w:rStyle w:val="italic"/>
                <w:rFonts w:ascii="inherit" w:hAnsi="inherit"/>
                <w:i/>
                <w:iCs/>
                <w:sz w:val="22"/>
                <w:szCs w:val="22"/>
              </w:rPr>
              <w:t>in vitro</w:t>
            </w:r>
            <w:r w:rsidRPr="005D39EE">
              <w:rPr>
                <w:rFonts w:ascii="inherit" w:hAnsi="inherit"/>
                <w:sz w:val="22"/>
                <w:szCs w:val="22"/>
              </w:rPr>
              <w:t> te instrumente za praćenje i kontrolu u industriji istječe 21. srpnja 2021.</w:t>
            </w:r>
          </w:p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rFonts w:ascii="inherit" w:hAnsi="inherit"/>
                <w:sz w:val="22"/>
                <w:szCs w:val="22"/>
              </w:rPr>
            </w:pPr>
            <w:r w:rsidRPr="005D39EE">
              <w:rPr>
                <w:rFonts w:ascii="inherit" w:hAnsi="inherit"/>
                <w:sz w:val="22"/>
                <w:szCs w:val="22"/>
              </w:rPr>
              <w:t>Za medicinske proizvode za dijagnostiku </w:t>
            </w:r>
            <w:r w:rsidRPr="005D39EE">
              <w:rPr>
                <w:rStyle w:val="italic"/>
                <w:rFonts w:ascii="inherit" w:hAnsi="inherit"/>
                <w:i/>
                <w:iCs/>
                <w:sz w:val="22"/>
                <w:szCs w:val="22"/>
              </w:rPr>
              <w:t>in vitro</w:t>
            </w:r>
            <w:r w:rsidRPr="005D39EE">
              <w:rPr>
                <w:rFonts w:ascii="inherit" w:hAnsi="inherit"/>
                <w:sz w:val="22"/>
                <w:szCs w:val="22"/>
              </w:rPr>
              <w:t> iz kategorije 8. istječe 21. srpnja 2023.</w:t>
            </w:r>
          </w:p>
          <w:p w:rsidR="00126668" w:rsidRPr="005D39EE" w:rsidRDefault="00126668">
            <w:pPr>
              <w:pStyle w:val="tbl-txt"/>
              <w:spacing w:before="60" w:beforeAutospacing="0" w:after="60" w:afterAutospacing="0"/>
              <w:rPr>
                <w:rFonts w:ascii="inherit" w:hAnsi="inherit"/>
                <w:sz w:val="22"/>
                <w:szCs w:val="22"/>
              </w:rPr>
            </w:pPr>
            <w:r w:rsidRPr="005D39EE">
              <w:rPr>
                <w:rFonts w:ascii="inherit" w:hAnsi="inherit"/>
                <w:sz w:val="22"/>
                <w:szCs w:val="22"/>
              </w:rPr>
              <w:t>Za instrumente za praćenje i kontrolu u industriji iz kategorije 9. te za kategoriju 11. istječe 21. srpnja 2024.”</w:t>
            </w:r>
          </w:p>
        </w:tc>
      </w:tr>
    </w:tbl>
    <w:p w:rsidR="00012DF3" w:rsidRPr="005D39EE" w:rsidRDefault="00012DF3" w:rsidP="00012DF3">
      <w:pPr>
        <w:pStyle w:val="Default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color w:val="auto"/>
        </w:rPr>
      </w:pPr>
      <w:r w:rsidRPr="005D39EE">
        <w:rPr>
          <w:color w:val="auto"/>
        </w:rPr>
        <w:t xml:space="preserve">U Prilogu III. točka 7(c)-I </w:t>
      </w:r>
      <w:r w:rsidRPr="005D39EE">
        <w:rPr>
          <w:rFonts w:ascii="Times New Roman" w:hAnsi="Times New Roman" w:cs="Times New Roman"/>
          <w:color w:val="auto"/>
        </w:rPr>
        <w:t>mijenja se i glasi:</w:t>
      </w:r>
    </w:p>
    <w:p w:rsidR="00012DF3" w:rsidRPr="005D39EE" w:rsidRDefault="00012DF3" w:rsidP="00012DF3">
      <w:pPr>
        <w:pStyle w:val="normal0"/>
        <w:shd w:val="clear" w:color="auto" w:fill="FFFFFF"/>
        <w:spacing w:before="120" w:beforeAutospacing="0" w:after="0" w:afterAutospacing="0"/>
        <w:jc w:val="both"/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4984"/>
        <w:gridCol w:w="3351"/>
      </w:tblGrid>
      <w:tr w:rsidR="00012DF3" w:rsidRPr="005D39EE" w:rsidTr="004B7890">
        <w:trPr>
          <w:tblCellSpacing w:w="0" w:type="dxa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DF3" w:rsidRPr="005D39EE" w:rsidRDefault="00012DF3" w:rsidP="004B7890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„7</w:t>
            </w:r>
            <w:r w:rsidRPr="005D39EE">
              <w:rPr>
                <w:sz w:val="22"/>
                <w:szCs w:val="22"/>
              </w:rPr>
              <w:t>(c)-I</w:t>
            </w:r>
          </w:p>
        </w:tc>
        <w:tc>
          <w:tcPr>
            <w:tcW w:w="2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DF3" w:rsidRPr="005D39EE" w:rsidRDefault="00012DF3" w:rsidP="004B7890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Električne i elektroničke komponente koje olovo sadrže u staklu ili keramici, izuzimajući dielektričnu keramiku u kondenzatorima, npr. u piezoelektroničkim uređajima, ili u staklenim ili keramičkim matričnim spojevima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DF3" w:rsidRPr="005D39EE" w:rsidRDefault="00012DF3" w:rsidP="004B7890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Primjenjuje se za kategorije od 1. do 7. i 10. (osim primjena obuhvaćenih točkom 34.) te istječe 21. srpnja 2021.</w:t>
            </w:r>
          </w:p>
          <w:p w:rsidR="00012DF3" w:rsidRPr="005D39EE" w:rsidRDefault="00012DF3" w:rsidP="004B7890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 xml:space="preserve">Za kategorije 8. i 9. osim medicinskih proizvoda za dijagnostiku </w:t>
            </w:r>
            <w:r w:rsidRPr="00DE4747">
              <w:rPr>
                <w:i/>
                <w:sz w:val="22"/>
                <w:szCs w:val="22"/>
              </w:rPr>
              <w:t>in vitro</w:t>
            </w:r>
            <w:r w:rsidRPr="005D39EE">
              <w:rPr>
                <w:sz w:val="22"/>
                <w:szCs w:val="22"/>
              </w:rPr>
              <w:t xml:space="preserve"> te instrumente za praćenje i kontrolu u industriji istječe 21. srpnja 2021.</w:t>
            </w:r>
          </w:p>
          <w:p w:rsidR="00012DF3" w:rsidRPr="005D39EE" w:rsidRDefault="00012DF3" w:rsidP="004B7890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lastRenderedPageBreak/>
              <w:t xml:space="preserve">Za medicinske proizvode za dijagnostiku </w:t>
            </w:r>
            <w:r w:rsidRPr="00DE4747">
              <w:rPr>
                <w:i/>
                <w:sz w:val="22"/>
                <w:szCs w:val="22"/>
              </w:rPr>
              <w:t>in vitro</w:t>
            </w:r>
            <w:r w:rsidRPr="005D39EE">
              <w:rPr>
                <w:sz w:val="22"/>
                <w:szCs w:val="22"/>
              </w:rPr>
              <w:t xml:space="preserve"> iz kategorije 8.</w:t>
            </w:r>
            <w:r>
              <w:rPr>
                <w:sz w:val="22"/>
                <w:szCs w:val="22"/>
              </w:rPr>
              <w:t xml:space="preserve"> </w:t>
            </w:r>
            <w:r w:rsidRPr="005D39EE">
              <w:rPr>
                <w:sz w:val="22"/>
                <w:szCs w:val="22"/>
              </w:rPr>
              <w:t>istječe 21. srpnja 2023.</w:t>
            </w:r>
          </w:p>
          <w:p w:rsidR="00012DF3" w:rsidRPr="005D39EE" w:rsidRDefault="00012DF3" w:rsidP="004B7890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Za instrumente za praćenje i kontrolu u industriji iz kategorije 9. te za kategoriju 11. istječe 21. srpnja 2024.”</w:t>
            </w:r>
          </w:p>
        </w:tc>
      </w:tr>
    </w:tbl>
    <w:p w:rsidR="00012DF3" w:rsidRPr="005D39EE" w:rsidRDefault="00012DF3" w:rsidP="00012DF3">
      <w:pPr>
        <w:pStyle w:val="Default"/>
        <w:numPr>
          <w:ilvl w:val="0"/>
          <w:numId w:val="6"/>
        </w:numPr>
        <w:spacing w:before="240" w:after="240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D39EE">
        <w:rPr>
          <w:color w:val="auto"/>
        </w:rPr>
        <w:lastRenderedPageBreak/>
        <w:t>U Prilogu III. točka 24.</w:t>
      </w:r>
      <w:r w:rsidRPr="005D39EE">
        <w:rPr>
          <w:rFonts w:ascii="Times New Roman" w:hAnsi="Times New Roman" w:cs="Times New Roman"/>
          <w:color w:val="auto"/>
        </w:rPr>
        <w:t xml:space="preserve"> mijenja se i glasi:</w:t>
      </w:r>
    </w:p>
    <w:p w:rsidR="00012DF3" w:rsidRPr="005D39EE" w:rsidRDefault="00012DF3" w:rsidP="00012DF3">
      <w:pPr>
        <w:pStyle w:val="normal0"/>
        <w:shd w:val="clear" w:color="auto" w:fill="FFFFFF"/>
        <w:spacing w:before="120" w:beforeAutospacing="0" w:after="0" w:afterAutospacing="0"/>
        <w:jc w:val="both"/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077"/>
        <w:gridCol w:w="3258"/>
      </w:tblGrid>
      <w:tr w:rsidR="00012DF3" w:rsidRPr="005D39EE" w:rsidTr="004B7890">
        <w:trPr>
          <w:tblCellSpacing w:w="0" w:type="dxa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DF3" w:rsidRPr="005D39EE" w:rsidRDefault="00012DF3" w:rsidP="004B7890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 xml:space="preserve"> </w:t>
            </w:r>
            <w:r w:rsidRPr="005D39EE">
              <w:rPr>
                <w:sz w:val="22"/>
                <w:szCs w:val="22"/>
              </w:rPr>
              <w:t>24</w:t>
            </w:r>
          </w:p>
        </w:tc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DF3" w:rsidRPr="005D39EE" w:rsidRDefault="00012DF3" w:rsidP="004B7890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Olovo u lemovima za lemljenje diskoidalnih i ravnih višeslojnih keramičkih kondenzatora s izvodima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DF3" w:rsidRPr="005D39EE" w:rsidRDefault="00012DF3" w:rsidP="004B7890">
            <w:pPr>
              <w:pStyle w:val="tbl-txt"/>
              <w:spacing w:before="60" w:beforeAutospacing="0" w:after="60" w:afterAutospacing="0"/>
              <w:rPr>
                <w:sz w:val="22"/>
                <w:szCs w:val="22"/>
              </w:rPr>
            </w:pPr>
            <w:r w:rsidRPr="005D39EE">
              <w:rPr>
                <w:sz w:val="22"/>
                <w:szCs w:val="22"/>
              </w:rPr>
              <w:t>Istječe: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012DF3" w:rsidRPr="005D39EE" w:rsidTr="004B789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DF3" w:rsidRPr="005D39EE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012DF3" w:rsidRPr="005D39EE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21. srpnja 2021. za kategorije od 1. do 7. te 10.,</w:t>
                  </w:r>
                </w:p>
              </w:tc>
            </w:tr>
          </w:tbl>
          <w:p w:rsidR="00012DF3" w:rsidRPr="005D39EE" w:rsidRDefault="00012DF3" w:rsidP="004B7890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012DF3" w:rsidRPr="005D39EE" w:rsidTr="004B789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DF3" w:rsidRPr="005D39EE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012DF3" w:rsidRPr="005D39EE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21. srpnja 2021. za kategorije 8. i 9. osim medicinskih proizvoda za dijagnostiku </w:t>
                  </w:r>
                  <w:r w:rsidRPr="005D39EE">
                    <w:rPr>
                      <w:rStyle w:val="italic"/>
                      <w:i/>
                      <w:iCs/>
                    </w:rPr>
                    <w:t>in vitro</w:t>
                  </w:r>
                  <w:r w:rsidRPr="005D39EE">
                    <w:t> te instrumente za praćenje i kontrolu u industriji,</w:t>
                  </w:r>
                </w:p>
              </w:tc>
            </w:tr>
          </w:tbl>
          <w:p w:rsidR="00012DF3" w:rsidRPr="005D39EE" w:rsidRDefault="00012DF3" w:rsidP="004B7890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012DF3" w:rsidRPr="005D39EE" w:rsidTr="004B789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DF3" w:rsidRPr="005D39EE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012DF3" w:rsidRPr="005D39EE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21. srpnja 2023. za medicinske proizvode za dijagnostiku </w:t>
                  </w:r>
                  <w:r w:rsidRPr="005D39EE">
                    <w:rPr>
                      <w:rStyle w:val="italic"/>
                      <w:i/>
                      <w:iCs/>
                    </w:rPr>
                    <w:t>in vitro</w:t>
                  </w:r>
                  <w:r w:rsidRPr="005D39EE">
                    <w:t> iz kategorije 8.,</w:t>
                  </w:r>
                </w:p>
              </w:tc>
            </w:tr>
          </w:tbl>
          <w:p w:rsidR="00012DF3" w:rsidRPr="005D39EE" w:rsidRDefault="00012DF3" w:rsidP="004B7890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012DF3" w:rsidRPr="005D39EE" w:rsidTr="004B789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DF3" w:rsidRPr="005D39EE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012DF3" w:rsidRPr="005D39EE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5D39EE">
                    <w:t>21. srpnja 2024. za instrumente za praćenje i kontrolu u industriji iz kategorije 9. te za kategoriju 11.”</w:t>
                  </w:r>
                </w:p>
              </w:tc>
            </w:tr>
          </w:tbl>
          <w:p w:rsidR="00012DF3" w:rsidRPr="005D39EE" w:rsidRDefault="00012DF3" w:rsidP="004B7890"/>
        </w:tc>
      </w:tr>
    </w:tbl>
    <w:p w:rsidR="00012DF3" w:rsidRPr="005D39EE" w:rsidRDefault="00012DF3" w:rsidP="00012DF3">
      <w:pPr>
        <w:pStyle w:val="Default"/>
        <w:numPr>
          <w:ilvl w:val="0"/>
          <w:numId w:val="6"/>
        </w:numPr>
        <w:spacing w:before="240" w:after="240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D39EE">
        <w:rPr>
          <w:rFonts w:ascii="Times New Roman" w:hAnsi="Times New Roman" w:cs="Times New Roman"/>
          <w:color w:val="auto"/>
        </w:rPr>
        <w:t xml:space="preserve"> U </w:t>
      </w:r>
      <w:r w:rsidRPr="005D39EE">
        <w:rPr>
          <w:rFonts w:ascii="inherit" w:hAnsi="inherit"/>
          <w:color w:val="auto"/>
        </w:rPr>
        <w:t xml:space="preserve">Prilogu III. točka 34. </w:t>
      </w:r>
      <w:r w:rsidRPr="005D39EE">
        <w:rPr>
          <w:rFonts w:ascii="Times New Roman" w:hAnsi="Times New Roman" w:cs="Times New Roman"/>
          <w:color w:val="auto"/>
        </w:rPr>
        <w:t>mijenja se i glasi:</w:t>
      </w:r>
    </w:p>
    <w:p w:rsidR="00012DF3" w:rsidRPr="005D39EE" w:rsidRDefault="00012DF3" w:rsidP="00012DF3">
      <w:pPr>
        <w:pStyle w:val="normal0"/>
        <w:shd w:val="clear" w:color="auto" w:fill="FFFFFF"/>
        <w:spacing w:before="120" w:beforeAutospacing="0" w:after="0" w:afterAutospacing="0"/>
        <w:ind w:left="720"/>
        <w:jc w:val="both"/>
        <w:rPr>
          <w:rFonts w:ascii="inherit" w:hAnsi="inherit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077"/>
        <w:gridCol w:w="3258"/>
      </w:tblGrid>
      <w:tr w:rsidR="00012DF3" w:rsidRPr="00E36CBB" w:rsidTr="004B7890">
        <w:trPr>
          <w:tblCellSpacing w:w="0" w:type="dxa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DF3" w:rsidRPr="00E36CBB" w:rsidRDefault="00012DF3" w:rsidP="004B7890">
            <w:pPr>
              <w:pStyle w:val="tbl-txt"/>
              <w:spacing w:before="60" w:beforeAutospacing="0" w:after="60" w:afterAutospacing="0"/>
            </w:pPr>
            <w:r w:rsidRPr="00E36CBB">
              <w:t>„34</w:t>
            </w:r>
          </w:p>
        </w:tc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DF3" w:rsidRPr="00E36CBB" w:rsidRDefault="00012DF3" w:rsidP="004B7890">
            <w:pPr>
              <w:pStyle w:val="tbl-txt"/>
              <w:spacing w:before="60" w:beforeAutospacing="0" w:after="60" w:afterAutospacing="0"/>
            </w:pPr>
            <w:r w:rsidRPr="00E36CBB">
              <w:t>Olovo u metalno-keramičkim (cermet) elementima trimer potenciometra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DF3" w:rsidRPr="00E36CBB" w:rsidRDefault="00012DF3" w:rsidP="004B7890">
            <w:pPr>
              <w:pStyle w:val="tbl-txt"/>
              <w:spacing w:before="60" w:beforeAutospacing="0" w:after="60" w:afterAutospacing="0"/>
            </w:pPr>
            <w:r w:rsidRPr="00E36CBB">
              <w:t>Primjenjuje se na sve kategorije; istječe: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012DF3" w:rsidRPr="00E36CBB" w:rsidTr="004B789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DF3" w:rsidRPr="00E36CBB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E36CBB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012DF3" w:rsidRPr="00E36CBB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E36CBB">
                    <w:t>21. srpnja 2021. za kategorije od 1. do 7. te 10.,</w:t>
                  </w:r>
                </w:p>
              </w:tc>
            </w:tr>
          </w:tbl>
          <w:p w:rsidR="00012DF3" w:rsidRPr="00E36CBB" w:rsidRDefault="00012DF3" w:rsidP="004B7890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012DF3" w:rsidRPr="00E36CBB" w:rsidTr="004B789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DF3" w:rsidRPr="00E36CBB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E36CBB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012DF3" w:rsidRPr="00E36CBB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E36CBB">
                    <w:t xml:space="preserve">21. srpnja 2021. za kategorije 8. i 9. osim medicinskih proizvoda za dijagnostiku </w:t>
                  </w:r>
                  <w:r w:rsidRPr="00E36CBB">
                    <w:rPr>
                      <w:i/>
                    </w:rPr>
                    <w:t>in vitro</w:t>
                  </w:r>
                  <w:r w:rsidRPr="00E36CBB">
                    <w:t xml:space="preserve"> te instrumenata za praćenje i kontrolu u industriji,</w:t>
                  </w:r>
                </w:p>
              </w:tc>
            </w:tr>
          </w:tbl>
          <w:p w:rsidR="00012DF3" w:rsidRPr="00E36CBB" w:rsidRDefault="00012DF3" w:rsidP="004B7890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012DF3" w:rsidRPr="00E36CBB" w:rsidTr="004B789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DF3" w:rsidRPr="00E36CBB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E36CBB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012DF3" w:rsidRPr="00E36CBB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E36CBB">
                    <w:t xml:space="preserve">21. srpnja 2023. za medicinske proizvode za dijagnostiku </w:t>
                  </w:r>
                  <w:r w:rsidRPr="00E36CBB">
                    <w:rPr>
                      <w:i/>
                    </w:rPr>
                    <w:t>in vitro</w:t>
                  </w:r>
                  <w:r w:rsidRPr="00E36CBB">
                    <w:t xml:space="preserve"> iz kategorije 8.,</w:t>
                  </w:r>
                </w:p>
              </w:tc>
            </w:tr>
          </w:tbl>
          <w:p w:rsidR="00012DF3" w:rsidRPr="00E36CBB" w:rsidRDefault="00012DF3" w:rsidP="004B7890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988"/>
            </w:tblGrid>
            <w:tr w:rsidR="00012DF3" w:rsidRPr="00E36CBB" w:rsidTr="004B789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2DF3" w:rsidRPr="00E36CBB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E36CBB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012DF3" w:rsidRPr="00E36CBB" w:rsidRDefault="00012DF3" w:rsidP="004B7890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E36CBB">
                    <w:t>21. srpnja 2024. za instrumente za praćenje i kontrolu u industriji iz kategorije 9. te za kategoriju 11.”</w:t>
                  </w:r>
                </w:p>
              </w:tc>
            </w:tr>
          </w:tbl>
          <w:p w:rsidR="00012DF3" w:rsidRPr="00E36CBB" w:rsidRDefault="00012DF3" w:rsidP="004B7890"/>
        </w:tc>
      </w:tr>
    </w:tbl>
    <w:p w:rsidR="00AA4131" w:rsidRDefault="00AA4131" w:rsidP="00AA4131">
      <w:pPr>
        <w:pStyle w:val="normal0"/>
        <w:spacing w:before="120" w:beforeAutospacing="0" w:after="0" w:afterAutospacing="0"/>
        <w:ind w:left="360"/>
        <w:jc w:val="both"/>
        <w:rPr>
          <w:color w:val="000000"/>
        </w:rPr>
      </w:pPr>
    </w:p>
    <w:p w:rsidR="00E36CBB" w:rsidRDefault="00E36CBB" w:rsidP="00AD3B59">
      <w:pPr>
        <w:pStyle w:val="normal0"/>
        <w:numPr>
          <w:ilvl w:val="0"/>
          <w:numId w:val="6"/>
        </w:numPr>
        <w:spacing w:before="120" w:beforeAutospacing="0" w:after="0" w:afterAutospacing="0"/>
        <w:jc w:val="both"/>
        <w:rPr>
          <w:color w:val="000000"/>
        </w:rPr>
      </w:pPr>
      <w:r w:rsidRPr="00E36CBB">
        <w:rPr>
          <w:color w:val="000000"/>
        </w:rPr>
        <w:t>U Prilog</w:t>
      </w:r>
      <w:r w:rsidR="00AD3B59">
        <w:rPr>
          <w:color w:val="000000"/>
        </w:rPr>
        <w:t>u</w:t>
      </w:r>
      <w:r w:rsidRPr="00E36CBB">
        <w:rPr>
          <w:color w:val="000000"/>
        </w:rPr>
        <w:t xml:space="preserve"> III. </w:t>
      </w:r>
      <w:r w:rsidR="00AD3B59">
        <w:rPr>
          <w:color w:val="000000"/>
        </w:rPr>
        <w:t xml:space="preserve">iza točke 41. </w:t>
      </w:r>
      <w:r w:rsidRPr="00E36CBB">
        <w:rPr>
          <w:color w:val="000000"/>
        </w:rPr>
        <w:t xml:space="preserve">dodaje se </w:t>
      </w:r>
      <w:r w:rsidR="00AD3B59">
        <w:rPr>
          <w:color w:val="000000"/>
        </w:rPr>
        <w:t>točka</w:t>
      </w:r>
      <w:r w:rsidR="00AD3B59" w:rsidRPr="00E36CBB">
        <w:rPr>
          <w:color w:val="000000"/>
        </w:rPr>
        <w:t xml:space="preserve"> </w:t>
      </w:r>
      <w:r w:rsidRPr="00E36CBB">
        <w:rPr>
          <w:color w:val="000000"/>
        </w:rPr>
        <w:t>42</w:t>
      </w:r>
      <w:r w:rsidR="0016006C">
        <w:rPr>
          <w:color w:val="000000"/>
        </w:rPr>
        <w:t>.</w:t>
      </w:r>
      <w:r w:rsidR="00AD3B59">
        <w:rPr>
          <w:color w:val="000000"/>
        </w:rPr>
        <w:t xml:space="preserve"> koja glasi</w:t>
      </w:r>
      <w:r w:rsidRPr="00E36CBB">
        <w:rPr>
          <w:color w:val="000000"/>
        </w:rPr>
        <w:t>:</w:t>
      </w:r>
    </w:p>
    <w:p w:rsidR="00AA4131" w:rsidRDefault="00AA4131" w:rsidP="00AA4131">
      <w:pPr>
        <w:pStyle w:val="normal0"/>
        <w:spacing w:before="120" w:beforeAutospacing="0" w:after="0" w:afterAutospacing="0"/>
        <w:ind w:left="360"/>
        <w:jc w:val="both"/>
        <w:rPr>
          <w:color w:val="000000"/>
        </w:rPr>
      </w:pPr>
    </w:p>
    <w:tbl>
      <w:tblPr>
        <w:tblW w:w="4984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6258"/>
        <w:gridCol w:w="2392"/>
      </w:tblGrid>
      <w:tr w:rsidR="00B84D33" w:rsidTr="00B84D3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D33" w:rsidRDefault="00B84D33" w:rsidP="00B84D33">
            <w:pPr>
              <w:pStyle w:val="tbl-txt"/>
            </w:pPr>
            <w:r w:rsidRPr="00E36CBB">
              <w:t>„42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D33" w:rsidRPr="00E36CBB" w:rsidRDefault="00B84D33" w:rsidP="00B84D33">
            <w:pPr>
              <w:pStyle w:val="tbl-txt"/>
              <w:spacing w:before="60" w:beforeAutospacing="0" w:after="60" w:afterAutospacing="0"/>
            </w:pPr>
            <w:r w:rsidRPr="00E36CBB">
              <w:t>Olovo u ležajevima i tuljcima ležajeva u motorima s unutarnjim izgaranjem pogonjenima dizelskim gorivom ili plinom koji se upotrebljavaju u necestovnoj opremi za profesionalnu uporabu: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5862"/>
            </w:tblGrid>
            <w:tr w:rsidR="00B84D33" w:rsidRPr="00E36CBB" w:rsidTr="00F366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84D33" w:rsidRPr="00E36CBB" w:rsidRDefault="00B84D33" w:rsidP="00B84D33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E36CBB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B84D33" w:rsidRPr="00E36CBB" w:rsidRDefault="00B84D33" w:rsidP="00B84D33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E36CBB">
                    <w:t>s ukupnim obujmom motora ≥ 15 litara;</w:t>
                  </w:r>
                </w:p>
                <w:p w:rsidR="00B84D33" w:rsidRPr="00E36CBB" w:rsidRDefault="00B84D33" w:rsidP="00B84D33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E36CBB">
                    <w:t>ili</w:t>
                  </w:r>
                </w:p>
              </w:tc>
            </w:tr>
          </w:tbl>
          <w:p w:rsidR="00B84D33" w:rsidRPr="00E36CBB" w:rsidRDefault="00B84D33" w:rsidP="00B84D33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5988"/>
            </w:tblGrid>
            <w:tr w:rsidR="00B84D33" w:rsidRPr="00E36CBB" w:rsidTr="00F366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84D33" w:rsidRPr="00E36CBB" w:rsidRDefault="00B84D33" w:rsidP="00B84D33">
                  <w:pPr>
                    <w:pStyle w:val="normal0"/>
                    <w:spacing w:before="120" w:beforeAutospacing="0" w:after="0" w:afterAutospacing="0"/>
                    <w:jc w:val="both"/>
                  </w:pPr>
                  <w:r w:rsidRPr="00E36CBB"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B84D33" w:rsidRPr="00E36CBB" w:rsidRDefault="00B84D33" w:rsidP="00B84D33">
                  <w:pPr>
                    <w:pStyle w:val="normal0"/>
                    <w:spacing w:before="120" w:beforeAutospacing="0" w:after="0" w:afterAutospacing="0"/>
                    <w:jc w:val="both"/>
                  </w:pPr>
                  <w:r>
                    <w:t xml:space="preserve">  </w:t>
                  </w:r>
                  <w:r w:rsidRPr="00E36CBB">
                    <w:t>s ukupnim obujmom motora &lt; 15 litara, a motor je konstruiran za rad u primjenama pri kojima od signala za paljenje do punog opterećenja mora proći manje od 10 sekundi; ili se redovito održavanje obično provodi u teškim i prljavim uvjetima na otvorenom, kao što je slučaj u primjenama za rudarenje, građevinarstvo i poljoprivredu.</w:t>
                  </w:r>
                </w:p>
              </w:tc>
            </w:tr>
          </w:tbl>
          <w:p w:rsidR="00B84D33" w:rsidRDefault="00B84D33" w:rsidP="00B84D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D33" w:rsidRPr="00E36CBB" w:rsidRDefault="00B84D33" w:rsidP="00B84D33">
            <w:pPr>
              <w:pStyle w:val="tbl-txt"/>
              <w:spacing w:before="60" w:beforeAutospacing="0" w:after="60" w:afterAutospacing="0"/>
            </w:pPr>
            <w:r w:rsidRPr="00E36CBB">
              <w:t>Primjenjuje se na kategoriju 11., osim primjena koje su obuhvaćene unosom 6(c) ovog Priloga.</w:t>
            </w:r>
          </w:p>
          <w:p w:rsidR="00B84D33" w:rsidRDefault="00B84D33" w:rsidP="00B84D33">
            <w:pPr>
              <w:pStyle w:val="tbl-txt"/>
            </w:pPr>
            <w:r w:rsidRPr="00E36CBB">
              <w:t>Istječe 21. srpnja 2024.”</w:t>
            </w:r>
          </w:p>
        </w:tc>
      </w:tr>
    </w:tbl>
    <w:p w:rsidR="00126668" w:rsidRPr="00E36CBB" w:rsidRDefault="00126668" w:rsidP="00126668">
      <w:pPr>
        <w:pStyle w:val="Default"/>
        <w:spacing w:before="240" w:after="240"/>
        <w:jc w:val="both"/>
        <w:rPr>
          <w:rFonts w:ascii="Times New Roman" w:hAnsi="Times New Roman" w:cs="Times New Roman"/>
          <w:color w:val="auto"/>
        </w:rPr>
      </w:pPr>
    </w:p>
    <w:p w:rsidR="009E4B76" w:rsidRPr="005D39EE" w:rsidRDefault="005F1C64" w:rsidP="0064512A">
      <w:pPr>
        <w:pStyle w:val="Heading1"/>
      </w:pPr>
      <w:r w:rsidRPr="005D39EE">
        <w:t xml:space="preserve">Članak </w:t>
      </w:r>
      <w:r w:rsidR="00683DCC">
        <w:t>7</w:t>
      </w:r>
      <w:r w:rsidR="00FD23F0" w:rsidRPr="005D39EE">
        <w:t>.</w:t>
      </w:r>
    </w:p>
    <w:p w:rsidR="005D0801" w:rsidRPr="005D39EE" w:rsidRDefault="00A04D68" w:rsidP="005D0801">
      <w:pPr>
        <w:pStyle w:val="NormalWeb"/>
        <w:jc w:val="both"/>
        <w:rPr>
          <w:lang w:eastAsia="zh-TW"/>
        </w:rPr>
      </w:pPr>
      <w:r w:rsidRPr="005D39EE">
        <w:rPr>
          <w:lang w:eastAsia="zh-TW"/>
        </w:rPr>
        <w:t>Ovaj Pravilnik ob</w:t>
      </w:r>
      <w:r w:rsidR="005D0801" w:rsidRPr="005D39EE">
        <w:rPr>
          <w:lang w:eastAsia="zh-TW"/>
        </w:rPr>
        <w:t xml:space="preserve">javit će se u </w:t>
      </w:r>
      <w:r w:rsidR="00BB2093" w:rsidRPr="005D39EE">
        <w:rPr>
          <w:lang w:eastAsia="zh-TW"/>
        </w:rPr>
        <w:t>„</w:t>
      </w:r>
      <w:r w:rsidR="005D0801" w:rsidRPr="005D39EE">
        <w:rPr>
          <w:lang w:eastAsia="zh-TW"/>
        </w:rPr>
        <w:t>Narodnim novinama</w:t>
      </w:r>
      <w:r w:rsidR="00BB2093" w:rsidRPr="005D39EE">
        <w:rPr>
          <w:sz w:val="22"/>
          <w:szCs w:val="22"/>
        </w:rPr>
        <w:t>”</w:t>
      </w:r>
      <w:r w:rsidR="005D0801" w:rsidRPr="005D39EE">
        <w:rPr>
          <w:lang w:eastAsia="zh-TW"/>
        </w:rPr>
        <w:t xml:space="preserve">, a stupa na snagu </w:t>
      </w:r>
      <w:r w:rsidR="00A23382">
        <w:rPr>
          <w:lang w:eastAsia="zh-TW"/>
        </w:rPr>
        <w:t xml:space="preserve">12. lipnja 2019., osim članka </w:t>
      </w:r>
      <w:r w:rsidR="00683DCC">
        <w:rPr>
          <w:lang w:eastAsia="zh-TW"/>
        </w:rPr>
        <w:t>6</w:t>
      </w:r>
      <w:r w:rsidR="00A23382">
        <w:rPr>
          <w:lang w:eastAsia="zh-TW"/>
        </w:rPr>
        <w:t xml:space="preserve">. </w:t>
      </w:r>
      <w:r w:rsidR="00041196">
        <w:rPr>
          <w:lang w:eastAsia="zh-TW"/>
        </w:rPr>
        <w:t xml:space="preserve">stavaka od </w:t>
      </w:r>
      <w:r w:rsidR="000F0872">
        <w:rPr>
          <w:lang w:eastAsia="zh-TW"/>
        </w:rPr>
        <w:t>(</w:t>
      </w:r>
      <w:r w:rsidR="00041196">
        <w:rPr>
          <w:lang w:eastAsia="zh-TW"/>
        </w:rPr>
        <w:t>1</w:t>
      </w:r>
      <w:r w:rsidR="000F0872">
        <w:rPr>
          <w:lang w:eastAsia="zh-TW"/>
        </w:rPr>
        <w:t>) do (</w:t>
      </w:r>
      <w:r w:rsidR="00041196">
        <w:rPr>
          <w:lang w:eastAsia="zh-TW"/>
        </w:rPr>
        <w:t>7</w:t>
      </w:r>
      <w:r w:rsidR="000F0872">
        <w:rPr>
          <w:lang w:eastAsia="zh-TW"/>
        </w:rPr>
        <w:t>)</w:t>
      </w:r>
      <w:r w:rsidR="00041196">
        <w:rPr>
          <w:lang w:eastAsia="zh-TW"/>
        </w:rPr>
        <w:t xml:space="preserve"> </w:t>
      </w:r>
      <w:r w:rsidR="00A23382">
        <w:rPr>
          <w:lang w:eastAsia="zh-TW"/>
        </w:rPr>
        <w:t>čije odredbe stupaju na snagu 1. srpnja 2019</w:t>
      </w:r>
      <w:r w:rsidR="000F0872">
        <w:rPr>
          <w:lang w:eastAsia="zh-TW"/>
        </w:rPr>
        <w:t>.</w:t>
      </w:r>
      <w:r w:rsidR="00041196">
        <w:rPr>
          <w:lang w:eastAsia="zh-TW"/>
        </w:rPr>
        <w:t xml:space="preserve"> i članka 6. stavka </w:t>
      </w:r>
      <w:r w:rsidR="000F0872">
        <w:rPr>
          <w:lang w:eastAsia="zh-TW"/>
        </w:rPr>
        <w:t>(</w:t>
      </w:r>
      <w:r w:rsidR="00041196">
        <w:rPr>
          <w:lang w:eastAsia="zh-TW"/>
        </w:rPr>
        <w:t>8</w:t>
      </w:r>
      <w:r w:rsidR="000F0872">
        <w:rPr>
          <w:lang w:eastAsia="zh-TW"/>
        </w:rPr>
        <w:t xml:space="preserve">) </w:t>
      </w:r>
      <w:r w:rsidR="00041196">
        <w:rPr>
          <w:lang w:eastAsia="zh-TW"/>
        </w:rPr>
        <w:t>čij</w:t>
      </w:r>
      <w:r w:rsidR="0016006C">
        <w:rPr>
          <w:lang w:eastAsia="zh-TW"/>
        </w:rPr>
        <w:t>e</w:t>
      </w:r>
      <w:r w:rsidR="00041196">
        <w:rPr>
          <w:lang w:eastAsia="zh-TW"/>
        </w:rPr>
        <w:t xml:space="preserve"> </w:t>
      </w:r>
      <w:r w:rsidR="0016006C">
        <w:rPr>
          <w:lang w:eastAsia="zh-TW"/>
        </w:rPr>
        <w:t xml:space="preserve">odredbe </w:t>
      </w:r>
      <w:r w:rsidR="00041196">
        <w:rPr>
          <w:lang w:eastAsia="zh-TW"/>
        </w:rPr>
        <w:t>stupa</w:t>
      </w:r>
      <w:r w:rsidR="0016006C">
        <w:rPr>
          <w:lang w:eastAsia="zh-TW"/>
        </w:rPr>
        <w:t>ju</w:t>
      </w:r>
      <w:r w:rsidR="00041196">
        <w:rPr>
          <w:lang w:eastAsia="zh-TW"/>
        </w:rPr>
        <w:t xml:space="preserve"> na snagu 22.</w:t>
      </w:r>
      <w:r w:rsidR="000F0872">
        <w:rPr>
          <w:lang w:eastAsia="zh-TW"/>
        </w:rPr>
        <w:t xml:space="preserve"> </w:t>
      </w:r>
      <w:r w:rsidR="00041196">
        <w:rPr>
          <w:lang w:eastAsia="zh-TW"/>
        </w:rPr>
        <w:t>srpnja 2019</w:t>
      </w:r>
      <w:r w:rsidR="00A23382">
        <w:rPr>
          <w:lang w:eastAsia="zh-TW"/>
        </w:rPr>
        <w:t xml:space="preserve">. </w:t>
      </w:r>
    </w:p>
    <w:p w:rsidR="00313A02" w:rsidRDefault="00313A02" w:rsidP="005D0801">
      <w:pPr>
        <w:pStyle w:val="NormalWeb"/>
        <w:spacing w:before="0" w:beforeAutospacing="0" w:after="0" w:afterAutospacing="0"/>
        <w:jc w:val="both"/>
      </w:pPr>
    </w:p>
    <w:p w:rsidR="00313A02" w:rsidRDefault="00313A02" w:rsidP="005D0801">
      <w:pPr>
        <w:pStyle w:val="NormalWeb"/>
        <w:spacing w:before="0" w:beforeAutospacing="0" w:after="0" w:afterAutospacing="0"/>
        <w:jc w:val="both"/>
      </w:pPr>
    </w:p>
    <w:p w:rsidR="005D0801" w:rsidRPr="005D39EE" w:rsidRDefault="00FD23F0" w:rsidP="005D0801">
      <w:pPr>
        <w:pStyle w:val="NormalWeb"/>
        <w:spacing w:before="0" w:beforeAutospacing="0" w:after="0" w:afterAutospacing="0"/>
        <w:jc w:val="both"/>
      </w:pPr>
      <w:r w:rsidRPr="005D39EE">
        <w:t xml:space="preserve">Klasa: </w:t>
      </w:r>
    </w:p>
    <w:p w:rsidR="00FD23F0" w:rsidRPr="005D39EE" w:rsidRDefault="00FD23F0" w:rsidP="005D0801">
      <w:pPr>
        <w:pStyle w:val="NormalWeb"/>
        <w:spacing w:before="0" w:beforeAutospacing="0" w:after="0" w:afterAutospacing="0"/>
        <w:jc w:val="both"/>
        <w:rPr>
          <w:b/>
        </w:rPr>
      </w:pPr>
      <w:r w:rsidRPr="005D39EE">
        <w:t xml:space="preserve">Urbroj: </w:t>
      </w:r>
    </w:p>
    <w:p w:rsidR="00FD23F0" w:rsidRPr="005D39EE" w:rsidRDefault="00FD23F0" w:rsidP="00AF67DA">
      <w:pPr>
        <w:pStyle w:val="NormalWeb"/>
        <w:spacing w:before="0" w:beforeAutospacing="0" w:after="0" w:afterAutospacing="0"/>
        <w:jc w:val="both"/>
      </w:pPr>
      <w:r w:rsidRPr="005D39EE">
        <w:t>Zagreb,</w:t>
      </w:r>
      <w:r w:rsidR="00EC18D9" w:rsidRPr="005D39EE">
        <w:t xml:space="preserve"> </w:t>
      </w:r>
    </w:p>
    <w:p w:rsidR="00557A68" w:rsidRPr="005D39EE" w:rsidRDefault="00557A68" w:rsidP="00AF67DA">
      <w:pPr>
        <w:pStyle w:val="NormalWeb"/>
        <w:spacing w:before="0" w:beforeAutospacing="0" w:after="0" w:afterAutospacing="0"/>
        <w:jc w:val="both"/>
      </w:pPr>
    </w:p>
    <w:p w:rsidR="00AF67DA" w:rsidRPr="005D39EE" w:rsidRDefault="00AF67DA" w:rsidP="00AF67DA">
      <w:pPr>
        <w:pStyle w:val="NormalWeb"/>
        <w:spacing w:before="0" w:beforeAutospacing="0" w:after="0" w:afterAutospacing="0"/>
        <w:jc w:val="both"/>
      </w:pPr>
    </w:p>
    <w:p w:rsidR="00FD23F0" w:rsidRPr="005D39EE" w:rsidRDefault="00D04A36" w:rsidP="006043FA">
      <w:pPr>
        <w:pStyle w:val="NormalWeb"/>
        <w:spacing w:before="0" w:beforeAutospacing="0" w:after="0" w:afterAutospacing="0"/>
        <w:ind w:left="3402"/>
        <w:jc w:val="center"/>
      </w:pPr>
      <w:r w:rsidRPr="005D39EE">
        <w:t>M</w:t>
      </w:r>
      <w:r w:rsidR="005D0801" w:rsidRPr="005D39EE">
        <w:t>inista</w:t>
      </w:r>
      <w:r w:rsidRPr="005D39EE">
        <w:t>r</w:t>
      </w:r>
    </w:p>
    <w:p w:rsidR="00302050" w:rsidRPr="00602D85" w:rsidRDefault="00D04A36" w:rsidP="006043FA">
      <w:pPr>
        <w:pStyle w:val="PlainText"/>
        <w:ind w:left="3402"/>
        <w:jc w:val="center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02D8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Darko Horvat</w:t>
      </w:r>
    </w:p>
    <w:sectPr w:rsidR="00302050" w:rsidRPr="00602D85" w:rsidSect="0016006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854" w:rsidRDefault="00E02854">
      <w:r>
        <w:separator/>
      </w:r>
    </w:p>
  </w:endnote>
  <w:endnote w:type="continuationSeparator" w:id="0">
    <w:p w:rsidR="00E02854" w:rsidRDefault="00E0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92" w:rsidRDefault="00271D92" w:rsidP="00FE7E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D92" w:rsidRDefault="00271D92" w:rsidP="00B859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92" w:rsidRDefault="00271D92" w:rsidP="00FE7E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6EA2">
      <w:rPr>
        <w:rStyle w:val="PageNumber"/>
        <w:noProof/>
      </w:rPr>
      <w:t>1</w:t>
    </w:r>
    <w:r>
      <w:rPr>
        <w:rStyle w:val="PageNumber"/>
      </w:rPr>
      <w:fldChar w:fldCharType="end"/>
    </w:r>
  </w:p>
  <w:p w:rsidR="00271D92" w:rsidRDefault="00271D92" w:rsidP="00B859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854" w:rsidRDefault="00E02854">
      <w:r>
        <w:separator/>
      </w:r>
    </w:p>
  </w:footnote>
  <w:footnote w:type="continuationSeparator" w:id="0">
    <w:p w:rsidR="00E02854" w:rsidRDefault="00E0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D68" w:rsidRPr="00A04D68" w:rsidRDefault="00A04D68">
    <w:pPr>
      <w:pStyle w:val="Header"/>
      <w:rPr>
        <w:i/>
      </w:rPr>
    </w:pPr>
    <w:r w:rsidRPr="00A04D68">
      <w:rPr>
        <w:i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23B"/>
    <w:multiLevelType w:val="hybridMultilevel"/>
    <w:tmpl w:val="E6166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43182"/>
    <w:multiLevelType w:val="hybridMultilevel"/>
    <w:tmpl w:val="46FEF328"/>
    <w:lvl w:ilvl="0" w:tplc="CCD8196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6A0416"/>
    <w:multiLevelType w:val="hybridMultilevel"/>
    <w:tmpl w:val="88F8F43E"/>
    <w:lvl w:ilvl="0" w:tplc="7AB01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142B9"/>
    <w:multiLevelType w:val="hybridMultilevel"/>
    <w:tmpl w:val="051C4DCA"/>
    <w:lvl w:ilvl="0" w:tplc="80E8C83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1686A73"/>
    <w:multiLevelType w:val="hybridMultilevel"/>
    <w:tmpl w:val="0DACED94"/>
    <w:lvl w:ilvl="0" w:tplc="31C488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271BF"/>
    <w:multiLevelType w:val="hybridMultilevel"/>
    <w:tmpl w:val="04823F6E"/>
    <w:lvl w:ilvl="0" w:tplc="96523E2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6A0"/>
    <w:multiLevelType w:val="hybridMultilevel"/>
    <w:tmpl w:val="8EF613A6"/>
    <w:lvl w:ilvl="0" w:tplc="DC38CFE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AC"/>
    <w:rsid w:val="00002B0B"/>
    <w:rsid w:val="00004D65"/>
    <w:rsid w:val="00012DF3"/>
    <w:rsid w:val="00021D89"/>
    <w:rsid w:val="0002526E"/>
    <w:rsid w:val="000274D8"/>
    <w:rsid w:val="000275E5"/>
    <w:rsid w:val="000316BF"/>
    <w:rsid w:val="00033410"/>
    <w:rsid w:val="0003799C"/>
    <w:rsid w:val="000407CD"/>
    <w:rsid w:val="00041116"/>
    <w:rsid w:val="00041196"/>
    <w:rsid w:val="000516A4"/>
    <w:rsid w:val="0006123C"/>
    <w:rsid w:val="000624BA"/>
    <w:rsid w:val="00063E21"/>
    <w:rsid w:val="0006582B"/>
    <w:rsid w:val="00070957"/>
    <w:rsid w:val="00074975"/>
    <w:rsid w:val="0008306C"/>
    <w:rsid w:val="00090595"/>
    <w:rsid w:val="00091450"/>
    <w:rsid w:val="00091F6E"/>
    <w:rsid w:val="00093DBD"/>
    <w:rsid w:val="000958CA"/>
    <w:rsid w:val="000972E7"/>
    <w:rsid w:val="000A462C"/>
    <w:rsid w:val="000A4678"/>
    <w:rsid w:val="000A4931"/>
    <w:rsid w:val="000B7901"/>
    <w:rsid w:val="000B7D95"/>
    <w:rsid w:val="000C1CD1"/>
    <w:rsid w:val="000C56BE"/>
    <w:rsid w:val="000D0FCC"/>
    <w:rsid w:val="000D49CE"/>
    <w:rsid w:val="000E1F30"/>
    <w:rsid w:val="000F0872"/>
    <w:rsid w:val="000F15F5"/>
    <w:rsid w:val="000F28E8"/>
    <w:rsid w:val="000F5456"/>
    <w:rsid w:val="000F5B1F"/>
    <w:rsid w:val="0010307A"/>
    <w:rsid w:val="00120A3B"/>
    <w:rsid w:val="00126668"/>
    <w:rsid w:val="00131B85"/>
    <w:rsid w:val="00157A76"/>
    <w:rsid w:val="0016006C"/>
    <w:rsid w:val="0016153A"/>
    <w:rsid w:val="00164B7C"/>
    <w:rsid w:val="001665FF"/>
    <w:rsid w:val="00175D94"/>
    <w:rsid w:val="001774FF"/>
    <w:rsid w:val="00186AAE"/>
    <w:rsid w:val="00190785"/>
    <w:rsid w:val="00193F98"/>
    <w:rsid w:val="00196763"/>
    <w:rsid w:val="001A35CC"/>
    <w:rsid w:val="001C0D85"/>
    <w:rsid w:val="001D4775"/>
    <w:rsid w:val="001E1413"/>
    <w:rsid w:val="001E2E21"/>
    <w:rsid w:val="001F0DED"/>
    <w:rsid w:val="002052A2"/>
    <w:rsid w:val="00206E38"/>
    <w:rsid w:val="00215BD5"/>
    <w:rsid w:val="00216D16"/>
    <w:rsid w:val="00220B16"/>
    <w:rsid w:val="00223668"/>
    <w:rsid w:val="002256A4"/>
    <w:rsid w:val="002322DA"/>
    <w:rsid w:val="00233C21"/>
    <w:rsid w:val="00242B82"/>
    <w:rsid w:val="00243A06"/>
    <w:rsid w:val="002502F6"/>
    <w:rsid w:val="00270999"/>
    <w:rsid w:val="00271D92"/>
    <w:rsid w:val="002746D9"/>
    <w:rsid w:val="0027479A"/>
    <w:rsid w:val="00280180"/>
    <w:rsid w:val="00281F9E"/>
    <w:rsid w:val="002863D3"/>
    <w:rsid w:val="00291670"/>
    <w:rsid w:val="002923AA"/>
    <w:rsid w:val="0029310F"/>
    <w:rsid w:val="00293E03"/>
    <w:rsid w:val="00297CE0"/>
    <w:rsid w:val="002A4729"/>
    <w:rsid w:val="002A4E4B"/>
    <w:rsid w:val="002B101E"/>
    <w:rsid w:val="002B639B"/>
    <w:rsid w:val="002C5AF0"/>
    <w:rsid w:val="002C67DB"/>
    <w:rsid w:val="002D2CF4"/>
    <w:rsid w:val="002D569F"/>
    <w:rsid w:val="002D5D88"/>
    <w:rsid w:val="002E243C"/>
    <w:rsid w:val="002E2620"/>
    <w:rsid w:val="002E4E11"/>
    <w:rsid w:val="002E60F3"/>
    <w:rsid w:val="002E6A0E"/>
    <w:rsid w:val="002F645D"/>
    <w:rsid w:val="003005E7"/>
    <w:rsid w:val="00302050"/>
    <w:rsid w:val="00302F46"/>
    <w:rsid w:val="00313A02"/>
    <w:rsid w:val="00334558"/>
    <w:rsid w:val="0033629C"/>
    <w:rsid w:val="003406B5"/>
    <w:rsid w:val="00356943"/>
    <w:rsid w:val="00357AA5"/>
    <w:rsid w:val="00366DDA"/>
    <w:rsid w:val="0037094C"/>
    <w:rsid w:val="003716CF"/>
    <w:rsid w:val="003773A4"/>
    <w:rsid w:val="003839EB"/>
    <w:rsid w:val="00387386"/>
    <w:rsid w:val="00387453"/>
    <w:rsid w:val="00393672"/>
    <w:rsid w:val="00394E4B"/>
    <w:rsid w:val="003B0933"/>
    <w:rsid w:val="003B43AF"/>
    <w:rsid w:val="003C0C35"/>
    <w:rsid w:val="003C178E"/>
    <w:rsid w:val="003D253F"/>
    <w:rsid w:val="003D7BFF"/>
    <w:rsid w:val="003E394E"/>
    <w:rsid w:val="003E4C12"/>
    <w:rsid w:val="003F1837"/>
    <w:rsid w:val="003F3A40"/>
    <w:rsid w:val="00402773"/>
    <w:rsid w:val="00415A37"/>
    <w:rsid w:val="004308D0"/>
    <w:rsid w:val="004327C1"/>
    <w:rsid w:val="00433D28"/>
    <w:rsid w:val="00436D7B"/>
    <w:rsid w:val="00444121"/>
    <w:rsid w:val="00445886"/>
    <w:rsid w:val="00447B9A"/>
    <w:rsid w:val="004503A1"/>
    <w:rsid w:val="0045261F"/>
    <w:rsid w:val="004526DE"/>
    <w:rsid w:val="004623E1"/>
    <w:rsid w:val="00464D7D"/>
    <w:rsid w:val="00484EC5"/>
    <w:rsid w:val="00486DE8"/>
    <w:rsid w:val="0049371A"/>
    <w:rsid w:val="004A711F"/>
    <w:rsid w:val="004B5D81"/>
    <w:rsid w:val="004B7890"/>
    <w:rsid w:val="004C03FD"/>
    <w:rsid w:val="004C157D"/>
    <w:rsid w:val="004D5E71"/>
    <w:rsid w:val="004E3054"/>
    <w:rsid w:val="004E3902"/>
    <w:rsid w:val="004E67F2"/>
    <w:rsid w:val="004F0C1D"/>
    <w:rsid w:val="004F11F7"/>
    <w:rsid w:val="004F4B7E"/>
    <w:rsid w:val="004F5097"/>
    <w:rsid w:val="00507E45"/>
    <w:rsid w:val="005107B6"/>
    <w:rsid w:val="00510EBC"/>
    <w:rsid w:val="0051602B"/>
    <w:rsid w:val="00526337"/>
    <w:rsid w:val="005312EF"/>
    <w:rsid w:val="0053670A"/>
    <w:rsid w:val="00540F30"/>
    <w:rsid w:val="00545640"/>
    <w:rsid w:val="00545BF5"/>
    <w:rsid w:val="00552C64"/>
    <w:rsid w:val="00557A68"/>
    <w:rsid w:val="00561672"/>
    <w:rsid w:val="005641AA"/>
    <w:rsid w:val="00570B7A"/>
    <w:rsid w:val="00573111"/>
    <w:rsid w:val="0057388E"/>
    <w:rsid w:val="00573C1A"/>
    <w:rsid w:val="00574CE7"/>
    <w:rsid w:val="00577D12"/>
    <w:rsid w:val="005809AD"/>
    <w:rsid w:val="00581B01"/>
    <w:rsid w:val="00591641"/>
    <w:rsid w:val="00593558"/>
    <w:rsid w:val="005A1747"/>
    <w:rsid w:val="005A52DA"/>
    <w:rsid w:val="005A6CD3"/>
    <w:rsid w:val="005A7F91"/>
    <w:rsid w:val="005C1D69"/>
    <w:rsid w:val="005C76DC"/>
    <w:rsid w:val="005D0801"/>
    <w:rsid w:val="005D19E8"/>
    <w:rsid w:val="005D1F5A"/>
    <w:rsid w:val="005D2CD2"/>
    <w:rsid w:val="005D39EE"/>
    <w:rsid w:val="005D3CB1"/>
    <w:rsid w:val="005D679A"/>
    <w:rsid w:val="005D7340"/>
    <w:rsid w:val="005E0B17"/>
    <w:rsid w:val="005F044B"/>
    <w:rsid w:val="005F0DF8"/>
    <w:rsid w:val="005F1C64"/>
    <w:rsid w:val="005F4E4E"/>
    <w:rsid w:val="005F736A"/>
    <w:rsid w:val="006019B0"/>
    <w:rsid w:val="00601EC3"/>
    <w:rsid w:val="00602D85"/>
    <w:rsid w:val="006043FA"/>
    <w:rsid w:val="00607CF3"/>
    <w:rsid w:val="00611FC3"/>
    <w:rsid w:val="00631A69"/>
    <w:rsid w:val="00632410"/>
    <w:rsid w:val="00635C4C"/>
    <w:rsid w:val="006374CE"/>
    <w:rsid w:val="00637F33"/>
    <w:rsid w:val="00640E9F"/>
    <w:rsid w:val="00644837"/>
    <w:rsid w:val="0064512A"/>
    <w:rsid w:val="0065131D"/>
    <w:rsid w:val="00654B40"/>
    <w:rsid w:val="00656378"/>
    <w:rsid w:val="00661600"/>
    <w:rsid w:val="00662914"/>
    <w:rsid w:val="00670433"/>
    <w:rsid w:val="006730C6"/>
    <w:rsid w:val="00677105"/>
    <w:rsid w:val="00682E8E"/>
    <w:rsid w:val="00683DCC"/>
    <w:rsid w:val="0068653F"/>
    <w:rsid w:val="006870D5"/>
    <w:rsid w:val="00687811"/>
    <w:rsid w:val="006909BA"/>
    <w:rsid w:val="00691A88"/>
    <w:rsid w:val="00691D6E"/>
    <w:rsid w:val="00694258"/>
    <w:rsid w:val="006A2775"/>
    <w:rsid w:val="006C18F0"/>
    <w:rsid w:val="006C30A6"/>
    <w:rsid w:val="006D0870"/>
    <w:rsid w:val="006D10A3"/>
    <w:rsid w:val="006D3EE5"/>
    <w:rsid w:val="006D6BEE"/>
    <w:rsid w:val="006E47C6"/>
    <w:rsid w:val="006F17F5"/>
    <w:rsid w:val="006F63AD"/>
    <w:rsid w:val="00700788"/>
    <w:rsid w:val="00705D05"/>
    <w:rsid w:val="00706544"/>
    <w:rsid w:val="00707AAB"/>
    <w:rsid w:val="0071431A"/>
    <w:rsid w:val="007154A7"/>
    <w:rsid w:val="00715524"/>
    <w:rsid w:val="007179AC"/>
    <w:rsid w:val="0072186D"/>
    <w:rsid w:val="00722352"/>
    <w:rsid w:val="00745B87"/>
    <w:rsid w:val="00750430"/>
    <w:rsid w:val="00756550"/>
    <w:rsid w:val="00756D03"/>
    <w:rsid w:val="00762B1E"/>
    <w:rsid w:val="0077013E"/>
    <w:rsid w:val="00771DB4"/>
    <w:rsid w:val="007734EF"/>
    <w:rsid w:val="007904B6"/>
    <w:rsid w:val="0079059F"/>
    <w:rsid w:val="0079111F"/>
    <w:rsid w:val="00793DC9"/>
    <w:rsid w:val="007A26F0"/>
    <w:rsid w:val="007A62FA"/>
    <w:rsid w:val="007B13AC"/>
    <w:rsid w:val="007B13BD"/>
    <w:rsid w:val="007B318D"/>
    <w:rsid w:val="007B516C"/>
    <w:rsid w:val="007C0179"/>
    <w:rsid w:val="007C200F"/>
    <w:rsid w:val="007C44C3"/>
    <w:rsid w:val="007C6CAD"/>
    <w:rsid w:val="007D1862"/>
    <w:rsid w:val="007D2138"/>
    <w:rsid w:val="007D6EA2"/>
    <w:rsid w:val="007D79B2"/>
    <w:rsid w:val="007E0908"/>
    <w:rsid w:val="007E6C77"/>
    <w:rsid w:val="007E7C61"/>
    <w:rsid w:val="007F4BF6"/>
    <w:rsid w:val="008079AB"/>
    <w:rsid w:val="00810C2B"/>
    <w:rsid w:val="008157BC"/>
    <w:rsid w:val="00815CC8"/>
    <w:rsid w:val="0081709D"/>
    <w:rsid w:val="00824BEC"/>
    <w:rsid w:val="00827A03"/>
    <w:rsid w:val="00832A1C"/>
    <w:rsid w:val="008337D5"/>
    <w:rsid w:val="008426B7"/>
    <w:rsid w:val="008465BC"/>
    <w:rsid w:val="00854942"/>
    <w:rsid w:val="008667A8"/>
    <w:rsid w:val="00866FB5"/>
    <w:rsid w:val="00875769"/>
    <w:rsid w:val="00881C22"/>
    <w:rsid w:val="00884EB7"/>
    <w:rsid w:val="00890FE6"/>
    <w:rsid w:val="008A1DFD"/>
    <w:rsid w:val="008B5135"/>
    <w:rsid w:val="008B5EDE"/>
    <w:rsid w:val="008C2E5D"/>
    <w:rsid w:val="008C38F7"/>
    <w:rsid w:val="008C598A"/>
    <w:rsid w:val="008C7D84"/>
    <w:rsid w:val="008D10A4"/>
    <w:rsid w:val="008D1E4F"/>
    <w:rsid w:val="008D240D"/>
    <w:rsid w:val="008E35BC"/>
    <w:rsid w:val="008E619A"/>
    <w:rsid w:val="008E6F47"/>
    <w:rsid w:val="008F5A54"/>
    <w:rsid w:val="00902367"/>
    <w:rsid w:val="00904402"/>
    <w:rsid w:val="00904FAE"/>
    <w:rsid w:val="0091517E"/>
    <w:rsid w:val="00917C0C"/>
    <w:rsid w:val="00920E79"/>
    <w:rsid w:val="00920F3A"/>
    <w:rsid w:val="009300B9"/>
    <w:rsid w:val="009326A5"/>
    <w:rsid w:val="009354E8"/>
    <w:rsid w:val="0094008E"/>
    <w:rsid w:val="00944B8B"/>
    <w:rsid w:val="00946C64"/>
    <w:rsid w:val="0095321F"/>
    <w:rsid w:val="0095599B"/>
    <w:rsid w:val="009601C6"/>
    <w:rsid w:val="0098220B"/>
    <w:rsid w:val="009841AB"/>
    <w:rsid w:val="00991183"/>
    <w:rsid w:val="00991B12"/>
    <w:rsid w:val="009937C5"/>
    <w:rsid w:val="009937FB"/>
    <w:rsid w:val="009A0A00"/>
    <w:rsid w:val="009B01BD"/>
    <w:rsid w:val="009B40C6"/>
    <w:rsid w:val="009C2B8C"/>
    <w:rsid w:val="009E0BD1"/>
    <w:rsid w:val="009E2A73"/>
    <w:rsid w:val="009E49F1"/>
    <w:rsid w:val="009E4B76"/>
    <w:rsid w:val="009F035E"/>
    <w:rsid w:val="009F14E1"/>
    <w:rsid w:val="009F2887"/>
    <w:rsid w:val="009F7000"/>
    <w:rsid w:val="00A0405C"/>
    <w:rsid w:val="00A04D68"/>
    <w:rsid w:val="00A11002"/>
    <w:rsid w:val="00A161B7"/>
    <w:rsid w:val="00A176F2"/>
    <w:rsid w:val="00A20DAE"/>
    <w:rsid w:val="00A21E63"/>
    <w:rsid w:val="00A23382"/>
    <w:rsid w:val="00A24649"/>
    <w:rsid w:val="00A25965"/>
    <w:rsid w:val="00A265CD"/>
    <w:rsid w:val="00A31DA2"/>
    <w:rsid w:val="00A33D5E"/>
    <w:rsid w:val="00A34177"/>
    <w:rsid w:val="00A4504B"/>
    <w:rsid w:val="00A50F87"/>
    <w:rsid w:val="00A51E82"/>
    <w:rsid w:val="00A52CED"/>
    <w:rsid w:val="00A542AD"/>
    <w:rsid w:val="00A54FF2"/>
    <w:rsid w:val="00A57F45"/>
    <w:rsid w:val="00A61F25"/>
    <w:rsid w:val="00A63E2F"/>
    <w:rsid w:val="00A65F89"/>
    <w:rsid w:val="00A71792"/>
    <w:rsid w:val="00A8494F"/>
    <w:rsid w:val="00A85E87"/>
    <w:rsid w:val="00A937A1"/>
    <w:rsid w:val="00AA0AB9"/>
    <w:rsid w:val="00AA37A9"/>
    <w:rsid w:val="00AA4131"/>
    <w:rsid w:val="00AA64E5"/>
    <w:rsid w:val="00AB1A0E"/>
    <w:rsid w:val="00AB5349"/>
    <w:rsid w:val="00AB6ADB"/>
    <w:rsid w:val="00AC7847"/>
    <w:rsid w:val="00AD3B59"/>
    <w:rsid w:val="00AE1B24"/>
    <w:rsid w:val="00AE27E5"/>
    <w:rsid w:val="00AE3B99"/>
    <w:rsid w:val="00AF1190"/>
    <w:rsid w:val="00AF67DA"/>
    <w:rsid w:val="00B0006D"/>
    <w:rsid w:val="00B06996"/>
    <w:rsid w:val="00B1314A"/>
    <w:rsid w:val="00B26C9D"/>
    <w:rsid w:val="00B306CE"/>
    <w:rsid w:val="00B3281C"/>
    <w:rsid w:val="00B41989"/>
    <w:rsid w:val="00B41F32"/>
    <w:rsid w:val="00B4576D"/>
    <w:rsid w:val="00B54000"/>
    <w:rsid w:val="00B54198"/>
    <w:rsid w:val="00B65E3D"/>
    <w:rsid w:val="00B7308C"/>
    <w:rsid w:val="00B730FB"/>
    <w:rsid w:val="00B73C5F"/>
    <w:rsid w:val="00B833F4"/>
    <w:rsid w:val="00B84D33"/>
    <w:rsid w:val="00B8597F"/>
    <w:rsid w:val="00B8609A"/>
    <w:rsid w:val="00B87610"/>
    <w:rsid w:val="00B90442"/>
    <w:rsid w:val="00B938F0"/>
    <w:rsid w:val="00BA3065"/>
    <w:rsid w:val="00BA4B2C"/>
    <w:rsid w:val="00BB2093"/>
    <w:rsid w:val="00BC44E7"/>
    <w:rsid w:val="00BD03DD"/>
    <w:rsid w:val="00BE4B62"/>
    <w:rsid w:val="00BF1A4A"/>
    <w:rsid w:val="00BF59EE"/>
    <w:rsid w:val="00BF5FA0"/>
    <w:rsid w:val="00C04082"/>
    <w:rsid w:val="00C063D5"/>
    <w:rsid w:val="00C07497"/>
    <w:rsid w:val="00C127E5"/>
    <w:rsid w:val="00C2487C"/>
    <w:rsid w:val="00C30601"/>
    <w:rsid w:val="00C37AEB"/>
    <w:rsid w:val="00C4210D"/>
    <w:rsid w:val="00C62A5E"/>
    <w:rsid w:val="00C64C1C"/>
    <w:rsid w:val="00C676EE"/>
    <w:rsid w:val="00C70A6B"/>
    <w:rsid w:val="00C73DCF"/>
    <w:rsid w:val="00C832C5"/>
    <w:rsid w:val="00C85868"/>
    <w:rsid w:val="00C9549A"/>
    <w:rsid w:val="00C965F8"/>
    <w:rsid w:val="00C978DD"/>
    <w:rsid w:val="00C97C80"/>
    <w:rsid w:val="00CA27F2"/>
    <w:rsid w:val="00CB133C"/>
    <w:rsid w:val="00CB1FA2"/>
    <w:rsid w:val="00CB2E78"/>
    <w:rsid w:val="00CB356C"/>
    <w:rsid w:val="00CB5495"/>
    <w:rsid w:val="00CB5840"/>
    <w:rsid w:val="00CB6838"/>
    <w:rsid w:val="00CC0CF6"/>
    <w:rsid w:val="00CC2526"/>
    <w:rsid w:val="00CC394E"/>
    <w:rsid w:val="00CC5257"/>
    <w:rsid w:val="00CD1537"/>
    <w:rsid w:val="00CD1ED1"/>
    <w:rsid w:val="00CD6FD7"/>
    <w:rsid w:val="00CE1CA7"/>
    <w:rsid w:val="00CE37DD"/>
    <w:rsid w:val="00CF1D46"/>
    <w:rsid w:val="00CF1E29"/>
    <w:rsid w:val="00CF4661"/>
    <w:rsid w:val="00CF5F72"/>
    <w:rsid w:val="00D00E57"/>
    <w:rsid w:val="00D015F0"/>
    <w:rsid w:val="00D018EA"/>
    <w:rsid w:val="00D04A36"/>
    <w:rsid w:val="00D1082D"/>
    <w:rsid w:val="00D24C7E"/>
    <w:rsid w:val="00D32450"/>
    <w:rsid w:val="00D412FB"/>
    <w:rsid w:val="00D41B8A"/>
    <w:rsid w:val="00D4215F"/>
    <w:rsid w:val="00D4296D"/>
    <w:rsid w:val="00D449B9"/>
    <w:rsid w:val="00D44D09"/>
    <w:rsid w:val="00D516E4"/>
    <w:rsid w:val="00D522E8"/>
    <w:rsid w:val="00D61C0E"/>
    <w:rsid w:val="00D66EF5"/>
    <w:rsid w:val="00D71E78"/>
    <w:rsid w:val="00D73682"/>
    <w:rsid w:val="00DA09A4"/>
    <w:rsid w:val="00DA166D"/>
    <w:rsid w:val="00DA4BCD"/>
    <w:rsid w:val="00DA5142"/>
    <w:rsid w:val="00DB152F"/>
    <w:rsid w:val="00DB2DCC"/>
    <w:rsid w:val="00DB3D03"/>
    <w:rsid w:val="00DB45A1"/>
    <w:rsid w:val="00DB67A7"/>
    <w:rsid w:val="00DC03AD"/>
    <w:rsid w:val="00DC0E59"/>
    <w:rsid w:val="00DC38D0"/>
    <w:rsid w:val="00DC676A"/>
    <w:rsid w:val="00DD3084"/>
    <w:rsid w:val="00DD52B0"/>
    <w:rsid w:val="00DE4747"/>
    <w:rsid w:val="00DE6D19"/>
    <w:rsid w:val="00DF616F"/>
    <w:rsid w:val="00E00596"/>
    <w:rsid w:val="00E015C0"/>
    <w:rsid w:val="00E02854"/>
    <w:rsid w:val="00E04E1F"/>
    <w:rsid w:val="00E21EEE"/>
    <w:rsid w:val="00E226E1"/>
    <w:rsid w:val="00E347DF"/>
    <w:rsid w:val="00E36CBB"/>
    <w:rsid w:val="00E4492B"/>
    <w:rsid w:val="00E467B3"/>
    <w:rsid w:val="00E53398"/>
    <w:rsid w:val="00E60208"/>
    <w:rsid w:val="00E67D60"/>
    <w:rsid w:val="00E76A00"/>
    <w:rsid w:val="00E77525"/>
    <w:rsid w:val="00E83140"/>
    <w:rsid w:val="00E96885"/>
    <w:rsid w:val="00E96CC0"/>
    <w:rsid w:val="00EB35A0"/>
    <w:rsid w:val="00EB3797"/>
    <w:rsid w:val="00EB611D"/>
    <w:rsid w:val="00EC18D9"/>
    <w:rsid w:val="00EC62B7"/>
    <w:rsid w:val="00EF273E"/>
    <w:rsid w:val="00F02200"/>
    <w:rsid w:val="00F0357C"/>
    <w:rsid w:val="00F03FF9"/>
    <w:rsid w:val="00F078CC"/>
    <w:rsid w:val="00F20838"/>
    <w:rsid w:val="00F20A7B"/>
    <w:rsid w:val="00F21DB9"/>
    <w:rsid w:val="00F24E11"/>
    <w:rsid w:val="00F254AF"/>
    <w:rsid w:val="00F33CF5"/>
    <w:rsid w:val="00F36664"/>
    <w:rsid w:val="00F4311E"/>
    <w:rsid w:val="00F45A1F"/>
    <w:rsid w:val="00F7421D"/>
    <w:rsid w:val="00F76CC3"/>
    <w:rsid w:val="00F775EB"/>
    <w:rsid w:val="00F821FE"/>
    <w:rsid w:val="00F856E3"/>
    <w:rsid w:val="00F8778E"/>
    <w:rsid w:val="00F91F9E"/>
    <w:rsid w:val="00F9724A"/>
    <w:rsid w:val="00FA0634"/>
    <w:rsid w:val="00FA2E50"/>
    <w:rsid w:val="00FA46A9"/>
    <w:rsid w:val="00FA6B7A"/>
    <w:rsid w:val="00FC0AB4"/>
    <w:rsid w:val="00FC1C0C"/>
    <w:rsid w:val="00FC7FD2"/>
    <w:rsid w:val="00FD23F0"/>
    <w:rsid w:val="00FD7A93"/>
    <w:rsid w:val="00FE5757"/>
    <w:rsid w:val="00FE7EF4"/>
    <w:rsid w:val="00FF1154"/>
    <w:rsid w:val="00FF360E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AFAF60A-34F6-428C-8D20-2CB27FBB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link w:val="Heading1Char"/>
    <w:qFormat/>
    <w:rsid w:val="0064512A"/>
    <w:pPr>
      <w:spacing w:before="100" w:beforeAutospacing="1" w:after="100" w:afterAutospacing="1"/>
      <w:jc w:val="center"/>
      <w:outlineLvl w:val="0"/>
    </w:pPr>
    <w:rPr>
      <w:bCs/>
      <w:kern w:val="36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7B13AC"/>
    <w:pPr>
      <w:spacing w:before="100" w:beforeAutospacing="1" w:after="100" w:afterAutospacing="1"/>
    </w:pPr>
  </w:style>
  <w:style w:type="paragraph" w:customStyle="1" w:styleId="Clanak">
    <w:name w:val="Clanak"/>
    <w:next w:val="Normal"/>
    <w:rsid w:val="00AB1A0E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hr-HR" w:eastAsia="hr-HR"/>
    </w:rPr>
  </w:style>
  <w:style w:type="paragraph" w:styleId="Footer">
    <w:name w:val="footer"/>
    <w:basedOn w:val="Normal"/>
    <w:rsid w:val="00B8597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8597F"/>
  </w:style>
  <w:style w:type="paragraph" w:styleId="PlainText">
    <w:name w:val="Plain Text"/>
    <w:basedOn w:val="Normal"/>
    <w:rsid w:val="00793DC9"/>
    <w:rPr>
      <w:rFonts w:ascii="Courier New" w:hAnsi="Courier New" w:cs="Courier New"/>
      <w:sz w:val="20"/>
      <w:szCs w:val="20"/>
    </w:rPr>
  </w:style>
  <w:style w:type="paragraph" w:customStyle="1" w:styleId="t-9-8">
    <w:name w:val="t-9-8"/>
    <w:basedOn w:val="Normal"/>
    <w:rsid w:val="0057388E"/>
    <w:pPr>
      <w:spacing w:before="100" w:beforeAutospacing="1" w:after="100" w:afterAutospacing="1"/>
    </w:pPr>
    <w:rPr>
      <w:lang w:eastAsia="zh-TW"/>
    </w:rPr>
  </w:style>
  <w:style w:type="paragraph" w:customStyle="1" w:styleId="CM1">
    <w:name w:val="CM1"/>
    <w:basedOn w:val="Normal"/>
    <w:next w:val="Normal"/>
    <w:uiPriority w:val="99"/>
    <w:rsid w:val="00445886"/>
    <w:pPr>
      <w:autoSpaceDE w:val="0"/>
      <w:autoSpaceDN w:val="0"/>
      <w:adjustRightInd w:val="0"/>
    </w:pPr>
    <w:rPr>
      <w:rFonts w:ascii="EUAlbertina" w:hAnsi="EUAlbertina"/>
      <w:lang w:eastAsia="zh-TW"/>
    </w:rPr>
  </w:style>
  <w:style w:type="paragraph" w:customStyle="1" w:styleId="CM3">
    <w:name w:val="CM3"/>
    <w:basedOn w:val="Normal"/>
    <w:next w:val="Normal"/>
    <w:uiPriority w:val="99"/>
    <w:rsid w:val="00445886"/>
    <w:pPr>
      <w:autoSpaceDE w:val="0"/>
      <w:autoSpaceDN w:val="0"/>
      <w:adjustRightInd w:val="0"/>
    </w:pPr>
    <w:rPr>
      <w:rFonts w:ascii="EUAlbertina" w:hAnsi="EUAlbertina"/>
      <w:lang w:eastAsia="zh-TW"/>
    </w:rPr>
  </w:style>
  <w:style w:type="paragraph" w:customStyle="1" w:styleId="CM4">
    <w:name w:val="CM4"/>
    <w:basedOn w:val="Normal"/>
    <w:next w:val="Normal"/>
    <w:uiPriority w:val="99"/>
    <w:rsid w:val="00091450"/>
    <w:pPr>
      <w:autoSpaceDE w:val="0"/>
      <w:autoSpaceDN w:val="0"/>
      <w:adjustRightInd w:val="0"/>
    </w:pPr>
    <w:rPr>
      <w:rFonts w:ascii="EUAlbertina" w:hAnsi="EUAlbertina"/>
      <w:lang w:eastAsia="zh-TW"/>
    </w:rPr>
  </w:style>
  <w:style w:type="paragraph" w:customStyle="1" w:styleId="Default">
    <w:name w:val="Default"/>
    <w:rsid w:val="00631A6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hr-HR" w:eastAsia="zh-TW"/>
    </w:rPr>
  </w:style>
  <w:style w:type="character" w:styleId="Hyperlink">
    <w:name w:val="Hyperlink"/>
    <w:uiPriority w:val="99"/>
    <w:unhideWhenUsed/>
    <w:rsid w:val="00A265CD"/>
    <w:rPr>
      <w:color w:val="0000FF"/>
      <w:u w:val="single"/>
    </w:rPr>
  </w:style>
  <w:style w:type="character" w:styleId="Strong">
    <w:name w:val="Strong"/>
    <w:uiPriority w:val="22"/>
    <w:qFormat/>
    <w:rsid w:val="009354E8"/>
    <w:rPr>
      <w:b/>
      <w:bCs/>
    </w:rPr>
  </w:style>
  <w:style w:type="paragraph" w:customStyle="1" w:styleId="broj-d">
    <w:name w:val="broj-d"/>
    <w:basedOn w:val="Normal"/>
    <w:rsid w:val="00B41989"/>
    <w:pPr>
      <w:spacing w:before="100" w:beforeAutospacing="1" w:after="100" w:afterAutospacing="1"/>
      <w:jc w:val="right"/>
    </w:pPr>
    <w:rPr>
      <w:b/>
      <w:bCs/>
      <w:sz w:val="26"/>
      <w:szCs w:val="26"/>
      <w:lang w:eastAsia="zh-TW"/>
    </w:rPr>
  </w:style>
  <w:style w:type="paragraph" w:customStyle="1" w:styleId="clanak-">
    <w:name w:val="clanak-"/>
    <w:basedOn w:val="Normal"/>
    <w:rsid w:val="00B41989"/>
    <w:pPr>
      <w:spacing w:before="100" w:beforeAutospacing="1" w:after="100" w:afterAutospacing="1"/>
      <w:jc w:val="center"/>
    </w:pPr>
    <w:rPr>
      <w:lang w:eastAsia="zh-TW"/>
    </w:rPr>
  </w:style>
  <w:style w:type="paragraph" w:customStyle="1" w:styleId="t-10-9-kurz-s">
    <w:name w:val="t-10-9-kurz-s"/>
    <w:basedOn w:val="Normal"/>
    <w:rsid w:val="00B41989"/>
    <w:pPr>
      <w:spacing w:before="100" w:beforeAutospacing="1" w:after="100" w:afterAutospacing="1"/>
      <w:jc w:val="center"/>
    </w:pPr>
    <w:rPr>
      <w:i/>
      <w:iCs/>
      <w:sz w:val="26"/>
      <w:szCs w:val="26"/>
      <w:lang w:eastAsia="zh-TW"/>
    </w:rPr>
  </w:style>
  <w:style w:type="paragraph" w:customStyle="1" w:styleId="t-12-9-fett-s">
    <w:name w:val="t-12-9-fett-s"/>
    <w:basedOn w:val="Normal"/>
    <w:rsid w:val="00B41989"/>
    <w:pPr>
      <w:spacing w:before="100" w:beforeAutospacing="1" w:after="100" w:afterAutospacing="1"/>
      <w:jc w:val="center"/>
    </w:pPr>
    <w:rPr>
      <w:b/>
      <w:bCs/>
      <w:sz w:val="28"/>
      <w:szCs w:val="28"/>
      <w:lang w:eastAsia="zh-TW"/>
    </w:rPr>
  </w:style>
  <w:style w:type="paragraph" w:customStyle="1" w:styleId="t-12-9-sred">
    <w:name w:val="t-12-9-sred"/>
    <w:basedOn w:val="Normal"/>
    <w:rsid w:val="00B41989"/>
    <w:pPr>
      <w:spacing w:before="100" w:beforeAutospacing="1" w:after="100" w:afterAutospacing="1"/>
      <w:jc w:val="center"/>
    </w:pPr>
    <w:rPr>
      <w:sz w:val="28"/>
      <w:szCs w:val="28"/>
      <w:lang w:eastAsia="zh-TW"/>
    </w:rPr>
  </w:style>
  <w:style w:type="paragraph" w:customStyle="1" w:styleId="t-9-8-potpis">
    <w:name w:val="t-9-8-potpis"/>
    <w:basedOn w:val="Normal"/>
    <w:rsid w:val="00B41989"/>
    <w:pPr>
      <w:spacing w:before="100" w:beforeAutospacing="1" w:after="100" w:afterAutospacing="1"/>
      <w:ind w:left="7344"/>
      <w:jc w:val="center"/>
    </w:pPr>
    <w:rPr>
      <w:lang w:eastAsia="zh-TW"/>
    </w:rPr>
  </w:style>
  <w:style w:type="paragraph" w:customStyle="1" w:styleId="tb-na16">
    <w:name w:val="tb-na16"/>
    <w:basedOn w:val="Normal"/>
    <w:rsid w:val="00B41989"/>
    <w:pPr>
      <w:spacing w:before="100" w:beforeAutospacing="1" w:after="100" w:afterAutospacing="1"/>
      <w:jc w:val="center"/>
    </w:pPr>
    <w:rPr>
      <w:b/>
      <w:bCs/>
      <w:sz w:val="36"/>
      <w:szCs w:val="36"/>
      <w:lang w:eastAsia="zh-TW"/>
    </w:rPr>
  </w:style>
  <w:style w:type="paragraph" w:customStyle="1" w:styleId="tb-na18">
    <w:name w:val="tb-na18"/>
    <w:basedOn w:val="Normal"/>
    <w:rsid w:val="00B41989"/>
    <w:pPr>
      <w:spacing w:before="100" w:beforeAutospacing="1" w:after="100" w:afterAutospacing="1"/>
      <w:jc w:val="center"/>
    </w:pPr>
    <w:rPr>
      <w:b/>
      <w:bCs/>
      <w:sz w:val="40"/>
      <w:szCs w:val="40"/>
      <w:lang w:eastAsia="zh-TW"/>
    </w:rPr>
  </w:style>
  <w:style w:type="paragraph" w:customStyle="1" w:styleId="clanak0">
    <w:name w:val="clanak"/>
    <w:basedOn w:val="Normal"/>
    <w:rsid w:val="00B41989"/>
    <w:pPr>
      <w:spacing w:before="100" w:beforeAutospacing="1" w:after="100" w:afterAutospacing="1"/>
      <w:jc w:val="center"/>
    </w:pPr>
    <w:rPr>
      <w:lang w:eastAsia="zh-TW"/>
    </w:rPr>
  </w:style>
  <w:style w:type="character" w:customStyle="1" w:styleId="kurziv1">
    <w:name w:val="kurziv1"/>
    <w:rsid w:val="00B41989"/>
    <w:rPr>
      <w:i/>
      <w:iCs/>
    </w:rPr>
  </w:style>
  <w:style w:type="character" w:customStyle="1" w:styleId="hps">
    <w:name w:val="hps"/>
    <w:basedOn w:val="DefaultParagraphFont"/>
    <w:rsid w:val="00B41989"/>
  </w:style>
  <w:style w:type="paragraph" w:customStyle="1" w:styleId="klasa2">
    <w:name w:val="klasa2"/>
    <w:basedOn w:val="Normal"/>
    <w:rsid w:val="00B41989"/>
    <w:pPr>
      <w:spacing w:before="100" w:beforeAutospacing="1" w:after="100" w:afterAutospacing="1"/>
    </w:pPr>
    <w:rPr>
      <w:lang w:eastAsia="zh-TW"/>
    </w:rPr>
  </w:style>
  <w:style w:type="character" w:customStyle="1" w:styleId="bold1">
    <w:name w:val="bold1"/>
    <w:rsid w:val="00B41989"/>
    <w:rPr>
      <w:b/>
      <w:bCs/>
    </w:rPr>
  </w:style>
  <w:style w:type="paragraph" w:customStyle="1" w:styleId="prilog">
    <w:name w:val="prilog"/>
    <w:basedOn w:val="Normal"/>
    <w:rsid w:val="00B41989"/>
    <w:pPr>
      <w:spacing w:before="100" w:beforeAutospacing="1" w:after="100" w:afterAutospacing="1"/>
    </w:pPr>
    <w:rPr>
      <w:lang w:eastAsia="zh-TW"/>
    </w:rPr>
  </w:style>
  <w:style w:type="paragraph" w:customStyle="1" w:styleId="t-9-8-bez-uvl">
    <w:name w:val="t-9-8-bez-uvl"/>
    <w:basedOn w:val="Normal"/>
    <w:rsid w:val="00B41989"/>
    <w:pPr>
      <w:spacing w:before="100" w:beforeAutospacing="1" w:after="100" w:afterAutospacing="1"/>
    </w:pPr>
    <w:rPr>
      <w:lang w:eastAsia="zh-TW"/>
    </w:rPr>
  </w:style>
  <w:style w:type="paragraph" w:styleId="Header">
    <w:name w:val="header"/>
    <w:basedOn w:val="Normal"/>
    <w:link w:val="HeaderChar"/>
    <w:rsid w:val="004623E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623E1"/>
    <w:rPr>
      <w:sz w:val="24"/>
      <w:szCs w:val="24"/>
      <w:lang w:eastAsia="hr-HR"/>
    </w:rPr>
  </w:style>
  <w:style w:type="paragraph" w:customStyle="1" w:styleId="tbl-txt">
    <w:name w:val="tbl-txt"/>
    <w:basedOn w:val="Normal"/>
    <w:rsid w:val="00591641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591641"/>
    <w:pPr>
      <w:spacing w:before="100" w:beforeAutospacing="1" w:after="100" w:afterAutospacing="1"/>
    </w:pPr>
  </w:style>
  <w:style w:type="character" w:styleId="CommentReference">
    <w:name w:val="annotation reference"/>
    <w:rsid w:val="00577D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7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7D12"/>
  </w:style>
  <w:style w:type="paragraph" w:styleId="CommentSubject">
    <w:name w:val="annotation subject"/>
    <w:basedOn w:val="CommentText"/>
    <w:next w:val="CommentText"/>
    <w:link w:val="CommentSubjectChar"/>
    <w:rsid w:val="00577D12"/>
    <w:rPr>
      <w:b/>
      <w:bCs/>
    </w:rPr>
  </w:style>
  <w:style w:type="character" w:customStyle="1" w:styleId="CommentSubjectChar">
    <w:name w:val="Comment Subject Char"/>
    <w:link w:val="CommentSubject"/>
    <w:rsid w:val="00577D12"/>
    <w:rPr>
      <w:b/>
      <w:bCs/>
    </w:rPr>
  </w:style>
  <w:style w:type="paragraph" w:styleId="BalloonText">
    <w:name w:val="Balloon Text"/>
    <w:basedOn w:val="Normal"/>
    <w:link w:val="BalloonTextChar"/>
    <w:rsid w:val="00577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7D1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4512A"/>
    <w:rPr>
      <w:bCs/>
      <w:kern w:val="36"/>
      <w:sz w:val="24"/>
      <w:szCs w:val="48"/>
      <w:lang w:val="hr-HR" w:eastAsia="hr-HR"/>
    </w:rPr>
  </w:style>
  <w:style w:type="character" w:customStyle="1" w:styleId="italic">
    <w:name w:val="italic"/>
    <w:rsid w:val="005D7340"/>
  </w:style>
  <w:style w:type="character" w:customStyle="1" w:styleId="super">
    <w:name w:val="super"/>
    <w:rsid w:val="000D0FCC"/>
  </w:style>
  <w:style w:type="paragraph" w:styleId="Title">
    <w:name w:val="Title"/>
    <w:basedOn w:val="Normal"/>
    <w:next w:val="Normal"/>
    <w:link w:val="TitleChar"/>
    <w:qFormat/>
    <w:rsid w:val="007D79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D79B2"/>
    <w:rPr>
      <w:rFonts w:ascii="Calibri Light" w:eastAsia="Times New Roman" w:hAnsi="Calibri Light" w:cs="Times New Roman"/>
      <w:b/>
      <w:bCs/>
      <w:kern w:val="28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315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659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7A025-04C7-4681-8B68-56686C1D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2006</Words>
  <Characters>10627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MINISTARSTVO GOSPODARSTVA, RADA I PODUZETNIŠTVA</vt:lpstr>
      <vt:lpstr>MINISTARSTVO GOSPODARSTVA, RADA I PODUZETNIŠTVA</vt:lpstr>
    </vt:vector>
  </TitlesOfParts>
  <Company>Ministarstvo gospodarstva RH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GOSPODARSTVA, RADA I PODUZETNIŠTVA</dc:title>
  <dc:subject/>
  <dc:creator>gvudan</dc:creator>
  <cp:keywords/>
  <cp:lastModifiedBy>Jan Sulik</cp:lastModifiedBy>
  <cp:revision>2</cp:revision>
  <cp:lastPrinted>2018-11-26T10:01:00Z</cp:lastPrinted>
  <dcterms:created xsi:type="dcterms:W3CDTF">2019-02-27T10:41:00Z</dcterms:created>
  <dcterms:modified xsi:type="dcterms:W3CDTF">2019-02-27T10:41:00Z</dcterms:modified>
</cp:coreProperties>
</file>