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A7F" w:rsidRPr="008E5FAE" w:rsidRDefault="00A36A7F" w:rsidP="00A36A7F">
      <w:pPr>
        <w:spacing w:after="0"/>
        <w:jc w:val="right"/>
        <w:rPr>
          <w:rFonts w:ascii="Times New Roman" w:eastAsia="Times New Roman" w:hAnsi="Times New Roman"/>
          <w:sz w:val="27"/>
          <w:szCs w:val="27"/>
        </w:rPr>
      </w:pPr>
      <w:r w:rsidRPr="008E5FAE">
        <w:rPr>
          <w:rFonts w:ascii="Times New Roman" w:eastAsia="Times New Roman" w:hAnsi="Times New Roman"/>
          <w:sz w:val="27"/>
          <w:szCs w:val="27"/>
        </w:rPr>
        <w:t>PRIJEDLOG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Na temelju članka 37. stavka 7. Zakona o šumama (»Narodne novine« br. 68/18 i 115/18), ministar poljoprivrede donosi</w:t>
      </w:r>
    </w:p>
    <w:p w:rsidR="00A36A7F" w:rsidRPr="008E5FAE" w:rsidRDefault="00A36A7F" w:rsidP="00A36A7F">
      <w:pPr>
        <w:pStyle w:val="tb-na16"/>
        <w:spacing w:before="0" w:beforeAutospacing="0" w:after="0" w:afterAutospacing="0" w:line="360" w:lineRule="auto"/>
        <w:jc w:val="center"/>
      </w:pPr>
      <w:r w:rsidRPr="008E5FAE">
        <w:rPr>
          <w:b/>
          <w:bCs/>
          <w:sz w:val="27"/>
          <w:szCs w:val="27"/>
        </w:rPr>
        <w:t xml:space="preserve">  </w:t>
      </w:r>
    </w:p>
    <w:p w:rsidR="00A36A7F" w:rsidRPr="008E5FAE" w:rsidRDefault="00A36A7F" w:rsidP="00A179B1">
      <w:pPr>
        <w:pStyle w:val="Naslov"/>
      </w:pPr>
      <w:r w:rsidRPr="008E5FAE">
        <w:t xml:space="preserve">PRAVILNIK </w:t>
      </w:r>
    </w:p>
    <w:p w:rsidR="00A36A7F" w:rsidRPr="008E5FAE" w:rsidRDefault="00A36A7F" w:rsidP="00A179B1">
      <w:pPr>
        <w:pStyle w:val="Naslov"/>
        <w:rPr>
          <w:sz w:val="27"/>
          <w:szCs w:val="27"/>
        </w:rPr>
      </w:pPr>
      <w:r w:rsidRPr="008E5FAE">
        <w:rPr>
          <w:sz w:val="27"/>
          <w:szCs w:val="27"/>
        </w:rPr>
        <w:t>O DOZNACI STABALA, OBILJEŽBI ŠUMSKIH PROIZVODA, TERETNOM LISTU (POPRATNICI) I ŠUMSKOM REDU</w:t>
      </w:r>
    </w:p>
    <w:p w:rsidR="00A36A7F" w:rsidRPr="008E5FAE" w:rsidRDefault="00A36A7F" w:rsidP="00A36A7F">
      <w:pPr>
        <w:pStyle w:val="tb-na16"/>
        <w:spacing w:before="0" w:beforeAutospacing="0" w:after="0" w:afterAutospacing="0" w:line="360" w:lineRule="auto"/>
        <w:jc w:val="center"/>
      </w:pP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 xml:space="preserve">Članak 1. 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trike/>
        </w:rPr>
      </w:pPr>
      <w:r w:rsidRPr="008E5FAE">
        <w:rPr>
          <w:sz w:val="27"/>
          <w:szCs w:val="27"/>
        </w:rPr>
        <w:t xml:space="preserve">Ovim Pravilnikom propisuju se uvjeti i način doznake stabala, sadržaj teretnog lista (popratnice), obilježbe šumskih proizvoda, njihove otpreme, prijevoza i pohrane, kao i vrijeme sječe i šumski red. </w:t>
      </w:r>
    </w:p>
    <w:p w:rsidR="00A36A7F" w:rsidRPr="008E5FAE" w:rsidRDefault="00A36A7F" w:rsidP="00A36A7F">
      <w:pPr>
        <w:pStyle w:val="t-11-9-sred"/>
        <w:spacing w:before="0" w:beforeAutospacing="0" w:after="0" w:afterAutospacing="0" w:line="360" w:lineRule="auto"/>
        <w:rPr>
          <w:strike/>
        </w:rPr>
      </w:pPr>
    </w:p>
    <w:p w:rsidR="00A36A7F" w:rsidRPr="008E5FAE" w:rsidRDefault="00A36A7F" w:rsidP="00A179B1">
      <w:pPr>
        <w:pStyle w:val="Naslov1"/>
      </w:pPr>
      <w:r w:rsidRPr="008E5FAE">
        <w:t>ZAJEDNIČKE ODREDBE</w:t>
      </w:r>
    </w:p>
    <w:p w:rsidR="00A36A7F" w:rsidRPr="008E5FAE" w:rsidRDefault="00A36A7F" w:rsidP="00A36A7F">
      <w:pPr>
        <w:pStyle w:val="t-11-9-sred"/>
        <w:spacing w:before="0" w:beforeAutospacing="0" w:after="0" w:afterAutospacing="0" w:line="360" w:lineRule="auto"/>
        <w:ind w:left="360"/>
        <w:jc w:val="center"/>
        <w:rPr>
          <w:i/>
        </w:rPr>
      </w:pPr>
      <w:r w:rsidRPr="008E5FAE">
        <w:rPr>
          <w:i/>
          <w:sz w:val="27"/>
          <w:szCs w:val="27"/>
        </w:rPr>
        <w:t>Doznaka stabala za sječu 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2.</w:t>
      </w:r>
    </w:p>
    <w:p w:rsidR="00A36A7F" w:rsidRPr="008E5FAE" w:rsidRDefault="00A36A7F" w:rsidP="00A36A7F">
      <w:pPr>
        <w:pStyle w:val="clanak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E5FAE">
        <w:rPr>
          <w:sz w:val="28"/>
          <w:szCs w:val="28"/>
        </w:rPr>
        <w:t xml:space="preserve">(1) Doznaka stabala je odabiranje, obilježavanje, mjerenje stabala za sječu te obračun drvnog </w:t>
      </w:r>
      <w:proofErr w:type="spellStart"/>
      <w:r w:rsidRPr="008E5FAE">
        <w:rPr>
          <w:sz w:val="28"/>
          <w:szCs w:val="28"/>
        </w:rPr>
        <w:t>sječivog</w:t>
      </w:r>
      <w:proofErr w:type="spellEnd"/>
      <w:r w:rsidRPr="008E5FAE">
        <w:rPr>
          <w:sz w:val="28"/>
          <w:szCs w:val="28"/>
        </w:rPr>
        <w:t xml:space="preserve"> obujma.</w:t>
      </w:r>
    </w:p>
    <w:p w:rsidR="00A36A7F" w:rsidRPr="008E5FAE" w:rsidRDefault="00A36A7F" w:rsidP="00A36A7F">
      <w:pPr>
        <w:pStyle w:val="clanak"/>
        <w:spacing w:before="0" w:beforeAutospacing="0" w:after="0" w:afterAutospacing="0" w:line="276" w:lineRule="auto"/>
        <w:jc w:val="both"/>
        <w:rPr>
          <w:strike/>
          <w:sz w:val="28"/>
          <w:szCs w:val="28"/>
        </w:rPr>
      </w:pPr>
      <w:r w:rsidRPr="008E5FAE">
        <w:rPr>
          <w:sz w:val="28"/>
          <w:szCs w:val="28"/>
        </w:rPr>
        <w:t>(2) Doznakom se obuhvaćaju sva stabla predviđena za sječu prsnog promjera većeg od 10 cm.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(3) Doznačena stabla mjere se i obilježavaju oznakama u prsnoj visini (približno 1,30 m od tla) te </w:t>
      </w:r>
      <w:proofErr w:type="spellStart"/>
      <w:r w:rsidRPr="008E5FAE">
        <w:rPr>
          <w:sz w:val="27"/>
          <w:szCs w:val="27"/>
        </w:rPr>
        <w:t>zatesom</w:t>
      </w:r>
      <w:proofErr w:type="spellEnd"/>
      <w:r w:rsidRPr="008E5FAE">
        <w:rPr>
          <w:sz w:val="27"/>
          <w:szCs w:val="27"/>
        </w:rPr>
        <w:t xml:space="preserve"> na žilištu s otiskom žiga doznačnog čekića.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(4) Na nagnutim terenima stabla se mjere i obilježavaju s gornje strane.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(5) Oznake na stablu moraju biti vidljive sa svih strana stabla.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(6) </w:t>
      </w:r>
      <w:proofErr w:type="spellStart"/>
      <w:r w:rsidRPr="008E5FAE">
        <w:rPr>
          <w:sz w:val="27"/>
          <w:szCs w:val="27"/>
        </w:rPr>
        <w:t>Zates</w:t>
      </w:r>
      <w:proofErr w:type="spellEnd"/>
      <w:r w:rsidRPr="008E5FAE">
        <w:rPr>
          <w:sz w:val="27"/>
          <w:szCs w:val="27"/>
        </w:rPr>
        <w:t xml:space="preserve"> na žilištu s otiskom žiga doznačnog čekića mora biti vidljiv poslije sječe.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rPr>
          <w:strike/>
          <w:sz w:val="28"/>
          <w:szCs w:val="28"/>
        </w:rPr>
      </w:pP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3.</w:t>
      </w:r>
    </w:p>
    <w:p w:rsidR="00A36A7F" w:rsidRPr="008E5FAE" w:rsidRDefault="00A36A7F" w:rsidP="00A36A7F">
      <w:pPr>
        <w:pStyle w:val="t-9-8"/>
        <w:tabs>
          <w:tab w:val="left" w:pos="426"/>
        </w:tabs>
        <w:spacing w:before="0" w:beforeAutospacing="0" w:after="0" w:afterAutospacing="0" w:line="276" w:lineRule="auto"/>
        <w:jc w:val="both"/>
        <w:rPr>
          <w:strike/>
          <w:sz w:val="27"/>
          <w:szCs w:val="27"/>
        </w:rPr>
      </w:pPr>
      <w:r w:rsidRPr="008E5FAE">
        <w:rPr>
          <w:sz w:val="27"/>
          <w:szCs w:val="27"/>
        </w:rPr>
        <w:t xml:space="preserve">(1) Doznaka stabala se obavlja prema smjernicama i načinu gospodarenja propisanim šumskogospodarskim planovima, a u šumama za koje nije izrađen šumskogospodarski plan u skladu s načelom održivog gospodarenja šumama.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trike/>
        </w:rPr>
      </w:pPr>
      <w:r w:rsidRPr="008E5FAE">
        <w:rPr>
          <w:sz w:val="27"/>
          <w:szCs w:val="27"/>
        </w:rPr>
        <w:t xml:space="preserve">(2) Doznaka stabala je stručni šumarski posao kojemu je konačni cilj održivo gospodarenje šumama.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lastRenderedPageBreak/>
        <w:t>(3) Iznimno od odredbe stavka 1. ovoga članka, u sastojini  u kojoj su uočena oštećena, suha i stabla u stanju propadanja, u svrhu zaštite i očuvanja šuma, doznačit će se i: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1. odumrla stabla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t>2.</w:t>
      </w:r>
      <w:r w:rsidRPr="008E5FAE">
        <w:rPr>
          <w:sz w:val="27"/>
          <w:szCs w:val="27"/>
        </w:rPr>
        <w:t xml:space="preserve"> živa stabla: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a) koja imaju osutost krošnje veću od 80%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b) ako je odumiranjem zahvaćen vrh stabla kod crnogoričnih stabala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c) na kojima se pojavljuju karakteristični simptomi bolesti i štetnika na ili ispod kore (primjerice karakteristične tamne pjege na kori debla-</w:t>
      </w:r>
      <w:proofErr w:type="spellStart"/>
      <w:r w:rsidRPr="008E5FAE">
        <w:rPr>
          <w:sz w:val="27"/>
          <w:szCs w:val="27"/>
        </w:rPr>
        <w:t>tekline</w:t>
      </w:r>
      <w:proofErr w:type="spellEnd"/>
      <w:r w:rsidRPr="008E5FAE">
        <w:rPr>
          <w:sz w:val="27"/>
          <w:szCs w:val="27"/>
        </w:rPr>
        <w:t xml:space="preserve">, </w:t>
      </w:r>
      <w:proofErr w:type="spellStart"/>
      <w:r w:rsidRPr="008E5FAE">
        <w:rPr>
          <w:sz w:val="27"/>
          <w:szCs w:val="27"/>
        </w:rPr>
        <w:t>miceliji</w:t>
      </w:r>
      <w:proofErr w:type="spellEnd"/>
      <w:r w:rsidRPr="008E5FAE">
        <w:rPr>
          <w:sz w:val="27"/>
          <w:szCs w:val="27"/>
        </w:rPr>
        <w:t xml:space="preserve"> raznih gljiva, piljevina kukaca </w:t>
      </w:r>
      <w:proofErr w:type="spellStart"/>
      <w:r w:rsidRPr="008E5FAE">
        <w:rPr>
          <w:sz w:val="27"/>
          <w:szCs w:val="27"/>
        </w:rPr>
        <w:t>drvaša</w:t>
      </w:r>
      <w:proofErr w:type="spellEnd"/>
      <w:r w:rsidRPr="008E5FAE">
        <w:rPr>
          <w:sz w:val="27"/>
          <w:szCs w:val="27"/>
        </w:rPr>
        <w:t xml:space="preserve"> i slično).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 (4) Stabla kojima je osutost krošnje izazvana </w:t>
      </w:r>
      <w:proofErr w:type="spellStart"/>
      <w:r w:rsidRPr="008E5FAE">
        <w:rPr>
          <w:sz w:val="27"/>
          <w:szCs w:val="27"/>
        </w:rPr>
        <w:t>golobrstom</w:t>
      </w:r>
      <w:proofErr w:type="spellEnd"/>
      <w:r w:rsidRPr="008E5FAE">
        <w:rPr>
          <w:sz w:val="27"/>
          <w:szCs w:val="27"/>
        </w:rPr>
        <w:t xml:space="preserve">, djelomičnim </w:t>
      </w:r>
      <w:proofErr w:type="spellStart"/>
      <w:r w:rsidRPr="008E5FAE">
        <w:rPr>
          <w:sz w:val="27"/>
          <w:szCs w:val="27"/>
        </w:rPr>
        <w:t>golobrstom</w:t>
      </w:r>
      <w:proofErr w:type="spellEnd"/>
      <w:r w:rsidRPr="008E5FAE">
        <w:rPr>
          <w:sz w:val="27"/>
          <w:szCs w:val="27"/>
        </w:rPr>
        <w:t>, kasnim mrazom, olujnim vjetrom ili sličnim uzrokom neće biti doznačena za sječu osim ako za doznaku tih stabala ne postoji drugi razlog.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(5) Poslije sječa u sastojinama ne smiju ostati suha, polusuha i oštećena </w:t>
      </w:r>
      <w:proofErr w:type="spellStart"/>
      <w:r w:rsidRPr="008E5FAE">
        <w:rPr>
          <w:sz w:val="27"/>
          <w:szCs w:val="27"/>
        </w:rPr>
        <w:t>dubeća</w:t>
      </w:r>
      <w:proofErr w:type="spellEnd"/>
      <w:r w:rsidRPr="008E5FAE">
        <w:rPr>
          <w:sz w:val="27"/>
          <w:szCs w:val="27"/>
        </w:rPr>
        <w:t xml:space="preserve"> stabla, osim ako je to predviđeno šumskogospodarskim planom radi zaštite biološke raznolikosti odnosno očuvanja ekosustava te radi potreba certificiranja šuma i ostalih razloga koji su propisani posebnim propisima.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(6) Stabla ostavljena radi zaštite biološke raznolikosti iz stavka 5. ovoga članka se mjere i obilježavaju crveno obojanim prstenom u visini panja te unose u obrazac </w:t>
      </w:r>
      <w:proofErr w:type="spellStart"/>
      <w:r w:rsidRPr="008E5FAE">
        <w:rPr>
          <w:sz w:val="27"/>
          <w:szCs w:val="27"/>
        </w:rPr>
        <w:t>bioraznolikosti</w:t>
      </w:r>
      <w:proofErr w:type="spellEnd"/>
      <w:r w:rsidRPr="008E5FAE">
        <w:rPr>
          <w:sz w:val="27"/>
          <w:szCs w:val="27"/>
        </w:rPr>
        <w:t xml:space="preserve"> neovisno o vremenu provođenja doznake stabala. </w:t>
      </w:r>
    </w:p>
    <w:p w:rsidR="00A36A7F" w:rsidRPr="008E5FAE" w:rsidRDefault="00A36A7F" w:rsidP="00A36A7F">
      <w:pPr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 w:rsidRPr="008E5FAE">
        <w:rPr>
          <w:rFonts w:ascii="Times New Roman" w:eastAsia="Times New Roman" w:hAnsi="Times New Roman"/>
          <w:sz w:val="27"/>
          <w:szCs w:val="27"/>
        </w:rPr>
        <w:t xml:space="preserve">(7) Obrazac za evidentiranje stabala radi zaštite </w:t>
      </w:r>
      <w:proofErr w:type="spellStart"/>
      <w:r w:rsidRPr="008E5FAE">
        <w:rPr>
          <w:rFonts w:ascii="Times New Roman" w:eastAsia="Times New Roman" w:hAnsi="Times New Roman"/>
          <w:sz w:val="27"/>
          <w:szCs w:val="27"/>
        </w:rPr>
        <w:t>bioraznolikosti</w:t>
      </w:r>
      <w:proofErr w:type="spellEnd"/>
      <w:r w:rsidRPr="008E5FAE">
        <w:rPr>
          <w:rFonts w:ascii="Times New Roman" w:eastAsia="Times New Roman" w:hAnsi="Times New Roman"/>
          <w:sz w:val="27"/>
          <w:szCs w:val="27"/>
        </w:rPr>
        <w:t xml:space="preserve"> tiskan je u Prilogu 1 ovog Pravilnika. </w:t>
      </w:r>
    </w:p>
    <w:p w:rsidR="00A36A7F" w:rsidRPr="008E5FAE" w:rsidRDefault="00A36A7F" w:rsidP="00A36A7F">
      <w:pPr>
        <w:pStyle w:val="clanak"/>
        <w:spacing w:before="0" w:beforeAutospacing="0" w:after="0" w:afterAutospacing="0" w:line="276" w:lineRule="auto"/>
      </w:pP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4.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trike/>
          <w:sz w:val="27"/>
          <w:szCs w:val="27"/>
        </w:rPr>
      </w:pPr>
      <w:r w:rsidRPr="008E5FAE">
        <w:rPr>
          <w:sz w:val="27"/>
          <w:szCs w:val="27"/>
        </w:rPr>
        <w:t xml:space="preserve"> (1) Iznimno od odredbe stavka 2. članka  2. ovoga Pravilnika, kada se obavlja sječa: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- svih stabala u sastojinama (čista sječa, izvanredni prihod) i slučajni prihod na površinama većim od 1ha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- svih stabala u degradiranim sastojinama i  sastojinama oštećenim od elementarne nepogode određenim za konverziju i sanaciju 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- stabla u </w:t>
      </w:r>
      <w:proofErr w:type="spellStart"/>
      <w:r w:rsidRPr="008E5FAE">
        <w:rPr>
          <w:sz w:val="27"/>
          <w:szCs w:val="27"/>
        </w:rPr>
        <w:t>dovršnom</w:t>
      </w:r>
      <w:proofErr w:type="spellEnd"/>
      <w:r w:rsidRPr="008E5FAE">
        <w:rPr>
          <w:sz w:val="27"/>
          <w:szCs w:val="27"/>
        </w:rPr>
        <w:t xml:space="preserve"> sijeku oplodne sječe</w:t>
      </w:r>
      <w:r w:rsidRPr="008E5FAE" w:rsidDel="004E7A03">
        <w:rPr>
          <w:sz w:val="27"/>
          <w:szCs w:val="27"/>
        </w:rPr>
        <w:t xml:space="preserve"> </w:t>
      </w:r>
    </w:p>
    <w:p w:rsidR="00A36A7F" w:rsidRPr="008E5FAE" w:rsidRDefault="00A36A7F" w:rsidP="00A36A7F">
      <w:pPr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 w:rsidRPr="008E5FAE">
        <w:rPr>
          <w:rFonts w:ascii="Times New Roman" w:eastAsia="Times New Roman" w:hAnsi="Times New Roman"/>
          <w:sz w:val="27"/>
          <w:szCs w:val="27"/>
        </w:rPr>
        <w:t xml:space="preserve">mjere se sva stabla i obilježavaju vidljivom oznakom u prsnoj visini, a žig doznačnog čekić se stavlja na </w:t>
      </w:r>
      <w:proofErr w:type="spellStart"/>
      <w:r w:rsidRPr="008E5FAE">
        <w:rPr>
          <w:rFonts w:ascii="Times New Roman" w:eastAsia="Times New Roman" w:hAnsi="Times New Roman"/>
          <w:sz w:val="27"/>
          <w:szCs w:val="27"/>
        </w:rPr>
        <w:t>zates</w:t>
      </w:r>
      <w:proofErr w:type="spellEnd"/>
      <w:r w:rsidRPr="008E5FAE">
        <w:rPr>
          <w:rFonts w:ascii="Times New Roman" w:eastAsia="Times New Roman" w:hAnsi="Times New Roman"/>
          <w:sz w:val="27"/>
          <w:szCs w:val="27"/>
        </w:rPr>
        <w:t xml:space="preserve"> žilišta rubnih (graničnih) stabala.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(2) U sastojinama prvog dobnog razreda vrši se samo obilježavanje stabala za sječu u prsnoj visini. 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(3) Na opožarenim površinama zaštitnih šuma drvni obujam se utvrđuje na sistematskom uzorku od najmanje 5% površine. 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</w:p>
    <w:p w:rsidR="00A36A7F" w:rsidRPr="008E5FAE" w:rsidRDefault="00A36A7F" w:rsidP="00A36A7F">
      <w:pPr>
        <w:pStyle w:val="t-11-9-sred"/>
        <w:spacing w:before="0" w:beforeAutospacing="0" w:after="0" w:afterAutospacing="0" w:line="360" w:lineRule="auto"/>
        <w:ind w:left="360"/>
        <w:rPr>
          <w:i/>
          <w:sz w:val="27"/>
          <w:szCs w:val="27"/>
        </w:rPr>
      </w:pPr>
      <w:r w:rsidRPr="008E5FAE">
        <w:rPr>
          <w:sz w:val="27"/>
          <w:szCs w:val="27"/>
        </w:rPr>
        <w:t xml:space="preserve">                                                   </w:t>
      </w:r>
      <w:proofErr w:type="spellStart"/>
      <w:r w:rsidRPr="008E5FAE">
        <w:rPr>
          <w:i/>
          <w:sz w:val="27"/>
          <w:szCs w:val="27"/>
        </w:rPr>
        <w:t>Add</w:t>
      </w:r>
      <w:proofErr w:type="spellEnd"/>
      <w:r w:rsidRPr="008E5FAE">
        <w:rPr>
          <w:i/>
          <w:sz w:val="27"/>
          <w:szCs w:val="27"/>
        </w:rPr>
        <w:t xml:space="preserve"> stabla i </w:t>
      </w:r>
      <w:proofErr w:type="spellStart"/>
      <w:r w:rsidRPr="008E5FAE">
        <w:rPr>
          <w:i/>
          <w:sz w:val="27"/>
          <w:szCs w:val="27"/>
        </w:rPr>
        <w:t>sušci</w:t>
      </w:r>
      <w:proofErr w:type="spellEnd"/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lastRenderedPageBreak/>
        <w:t>Članak 5.</w:t>
      </w:r>
    </w:p>
    <w:p w:rsidR="00A36A7F" w:rsidRPr="008E5FAE" w:rsidRDefault="00A36A7F" w:rsidP="00A36A7F">
      <w:pPr>
        <w:pStyle w:val="t-9-8"/>
        <w:tabs>
          <w:tab w:val="left" w:pos="5670"/>
        </w:tabs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(1) Stabla koja nisu doznačena, a oštećena su i izvaljena prilikom sječe (</w:t>
      </w:r>
      <w:proofErr w:type="spellStart"/>
      <w:r w:rsidRPr="008E5FAE">
        <w:rPr>
          <w:sz w:val="27"/>
          <w:szCs w:val="27"/>
        </w:rPr>
        <w:t>Add</w:t>
      </w:r>
      <w:proofErr w:type="spellEnd"/>
      <w:r w:rsidRPr="008E5FAE">
        <w:rPr>
          <w:sz w:val="27"/>
          <w:szCs w:val="27"/>
        </w:rPr>
        <w:t xml:space="preserve"> stabla) potrebno je obilježiti otiskom žiga režijskog čekića na presjeku panja i unijeti u novu doznačnu knjižicu, a panjeve je potrebno naknadno obilježiti otiskom žiga doznačnog čekića na </w:t>
      </w:r>
      <w:proofErr w:type="spellStart"/>
      <w:r w:rsidRPr="008E5FAE">
        <w:rPr>
          <w:sz w:val="27"/>
          <w:szCs w:val="27"/>
        </w:rPr>
        <w:t>zatesu</w:t>
      </w:r>
      <w:proofErr w:type="spellEnd"/>
      <w:r w:rsidRPr="008E5FAE">
        <w:rPr>
          <w:sz w:val="27"/>
          <w:szCs w:val="27"/>
        </w:rPr>
        <w:t xml:space="preserve"> žilišta.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(2) Pojedinačne </w:t>
      </w:r>
      <w:proofErr w:type="spellStart"/>
      <w:r w:rsidRPr="008E5FAE">
        <w:rPr>
          <w:sz w:val="27"/>
          <w:szCs w:val="27"/>
        </w:rPr>
        <w:t>sušce</w:t>
      </w:r>
      <w:proofErr w:type="spellEnd"/>
      <w:r w:rsidRPr="008E5FAE">
        <w:rPr>
          <w:sz w:val="27"/>
          <w:szCs w:val="27"/>
        </w:rPr>
        <w:t xml:space="preserve"> nastale u razdoblju od doznake do sječe potrebno je doznačiti i unijeti u novi obrazac.</w:t>
      </w:r>
    </w:p>
    <w:p w:rsidR="00A36A7F" w:rsidRPr="008E5FAE" w:rsidRDefault="00A36A7F" w:rsidP="00A36A7F">
      <w:pPr>
        <w:pStyle w:val="t-11-9-sred"/>
        <w:spacing w:before="0" w:beforeAutospacing="0" w:after="0" w:afterAutospacing="0" w:line="360" w:lineRule="auto"/>
        <w:ind w:left="360"/>
        <w:jc w:val="center"/>
        <w:rPr>
          <w:i/>
          <w:sz w:val="27"/>
          <w:szCs w:val="27"/>
        </w:rPr>
      </w:pPr>
      <w:r w:rsidRPr="008E5FAE">
        <w:rPr>
          <w:i/>
          <w:sz w:val="27"/>
          <w:szCs w:val="27"/>
        </w:rPr>
        <w:t>Vrijeme doznake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6.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(1) Doznaka stabala u sastojinama bjelogorice obavlja se za vrijeme vegetacijskog razdoblja, osim u slučaju </w:t>
      </w:r>
      <w:proofErr w:type="spellStart"/>
      <w:r w:rsidRPr="008E5FAE">
        <w:rPr>
          <w:sz w:val="27"/>
          <w:szCs w:val="27"/>
        </w:rPr>
        <w:t>kalamiteta</w:t>
      </w:r>
      <w:proofErr w:type="spellEnd"/>
      <w:r w:rsidRPr="008E5FAE">
        <w:rPr>
          <w:sz w:val="27"/>
          <w:szCs w:val="27"/>
        </w:rPr>
        <w:t xml:space="preserve">, čistih i </w:t>
      </w:r>
      <w:proofErr w:type="spellStart"/>
      <w:r w:rsidRPr="008E5FAE">
        <w:rPr>
          <w:sz w:val="27"/>
          <w:szCs w:val="27"/>
        </w:rPr>
        <w:t>dovršnih</w:t>
      </w:r>
      <w:proofErr w:type="spellEnd"/>
      <w:r w:rsidRPr="008E5FAE">
        <w:rPr>
          <w:sz w:val="27"/>
          <w:szCs w:val="27"/>
        </w:rPr>
        <w:t xml:space="preserve"> sječa kada se doznaka obavlja cijele godine.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(2) U crnogoričnim sastojinama i mladim sastojinama starosti II dobnog razreda te raznodobnim i </w:t>
      </w:r>
      <w:proofErr w:type="spellStart"/>
      <w:r w:rsidRPr="008E5FAE">
        <w:rPr>
          <w:sz w:val="27"/>
          <w:szCs w:val="27"/>
        </w:rPr>
        <w:t>prebornim</w:t>
      </w:r>
      <w:proofErr w:type="spellEnd"/>
      <w:r w:rsidRPr="008E5FAE">
        <w:rPr>
          <w:sz w:val="27"/>
          <w:szCs w:val="27"/>
        </w:rPr>
        <w:t xml:space="preserve"> sastojinama doznaka stabala se obavlja tijekom cijele godine.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(3) Doznaka vrijedi tri godine.</w:t>
      </w: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center"/>
        <w:rPr>
          <w:i/>
        </w:rPr>
      </w:pPr>
      <w:r w:rsidRPr="008E5FAE">
        <w:rPr>
          <w:i/>
          <w:sz w:val="27"/>
          <w:szCs w:val="27"/>
        </w:rPr>
        <w:t>Žigovi za obilježavanje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7.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(1) Žig doznačnog čekića okruglog je oblika (kružnica promjera 35 mm) i koristi se za obilježbu stabala za sječu.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(2) Žig režijskog čekića ima oblik istostraničnog trokuta sa zaobljenim vrhovima i stranicama od 35 mm i koristi se za obilježbu drvnih sortimenata prije stavljanja u promet i iznimno za obilježavanje stabala iz članka 5. stavak 1. te članka 26. stavaka 2. i 4. ovoga Pravilnika.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(3) Žig </w:t>
      </w:r>
      <w:proofErr w:type="spellStart"/>
      <w:r w:rsidRPr="008E5FAE">
        <w:rPr>
          <w:sz w:val="27"/>
          <w:szCs w:val="27"/>
        </w:rPr>
        <w:t>šumokvarnog</w:t>
      </w:r>
      <w:proofErr w:type="spellEnd"/>
      <w:r w:rsidRPr="008E5FAE">
        <w:rPr>
          <w:sz w:val="27"/>
          <w:szCs w:val="27"/>
        </w:rPr>
        <w:t xml:space="preserve"> čekića je kvadratnog oblika (dimenzije stranica su 30 mm) i koristi se za obilježbu šumske štete.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(4) Hrvatska komora inženjera šumarstva i drvne tehnologije (u daljnjem tekstu: Komora) izdaje odobrenje za izradu čekića licenciranim izvođačima na temelju rješenja o izdavanju odgovarajuće licencije (licencija za fazu izvođenja i nadzora radova doznake stabala, za fazu nadzora radova pridobivanja drva iz šume te vođenja privatnog </w:t>
      </w:r>
      <w:proofErr w:type="spellStart"/>
      <w:r w:rsidRPr="008E5FAE">
        <w:rPr>
          <w:sz w:val="27"/>
          <w:szCs w:val="27"/>
        </w:rPr>
        <w:t>šumoposjeda</w:t>
      </w:r>
      <w:proofErr w:type="spellEnd"/>
      <w:r w:rsidRPr="008E5FAE">
        <w:rPr>
          <w:sz w:val="27"/>
          <w:szCs w:val="27"/>
        </w:rPr>
        <w:t>).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(5) O izradi, preuzimanju i zaduživanju čekića iz stavaka 1., 2. i 3. ovoga članka Komora vodi evidenciju.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(6) Komora je dužna ministarstvu nadležnom za šumarstvo (u daljnjem tekstu: Ministarstvo) dostaviti obavijest o preuzimanju čekića te informaciju objaviti na web-stranici Komore, u roku 7 dana od datuma preuzimanja.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center"/>
        <w:rPr>
          <w:i/>
          <w:sz w:val="27"/>
          <w:szCs w:val="27"/>
        </w:rPr>
      </w:pPr>
      <w:r w:rsidRPr="008E5FAE">
        <w:rPr>
          <w:i/>
          <w:sz w:val="27"/>
          <w:szCs w:val="27"/>
        </w:rPr>
        <w:t>Izvoditelj doznake stabala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8.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(1) Doznaku stabala obavlja osoba sa završenim šumarskim fakultetom šumarskoga smjera (</w:t>
      </w:r>
      <w:proofErr w:type="spellStart"/>
      <w:r w:rsidRPr="008E5FAE">
        <w:rPr>
          <w:sz w:val="27"/>
          <w:szCs w:val="27"/>
        </w:rPr>
        <w:t>prvostupnik</w:t>
      </w:r>
      <w:proofErr w:type="spellEnd"/>
      <w:r w:rsidRPr="008E5FAE">
        <w:rPr>
          <w:sz w:val="27"/>
          <w:szCs w:val="27"/>
        </w:rPr>
        <w:t xml:space="preserve"> šumarstva, diplomirani inženjer šumarstva, magistar inženjer šumarstva).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trike/>
          <w:sz w:val="27"/>
          <w:szCs w:val="27"/>
        </w:rPr>
      </w:pPr>
      <w:r w:rsidRPr="008E5FAE">
        <w:rPr>
          <w:sz w:val="27"/>
          <w:szCs w:val="27"/>
        </w:rPr>
        <w:t xml:space="preserve">(2) Nadzor izvršene doznake stabala provodi i potvrđuje ovlašteni inženjer šumarstva.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(3) Ista osoba može obaviti sve faze rada doznake stabala ako je ovlašteni inženjer šumarstva odgovarajućeg stručnog smjera.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(4) Iznimno od stavka 1. ovoga članka doznaku stabala u slučajevima kad se ne obavlja odabir stabala već samo obilježavanje, izmjera i evidentiranje, mogu obavljati šumarski tehničari.</w:t>
      </w: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both"/>
      </w:pP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center"/>
        <w:rPr>
          <w:i/>
          <w:sz w:val="27"/>
          <w:szCs w:val="27"/>
        </w:rPr>
      </w:pPr>
      <w:r w:rsidRPr="008E5FAE">
        <w:rPr>
          <w:i/>
          <w:sz w:val="27"/>
          <w:szCs w:val="27"/>
        </w:rPr>
        <w:t xml:space="preserve">Obrasci za upisivanje doznačenih stabala 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9.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(1) Kod svih doznačenih stabala mjere se prsni promjeri stabala i unose po vrsti drveća i odsjecima u tiskani ili elektronički obrazac doznačne knjižice D-1, a u šumama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za koje nije izrađen program gospodarenja šumama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u tiskani ili elektronički obrazac doznake stabala bez programa (u daljnjem tekstu: obrazac DBP) po katastarskim česticama.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(2) U rekapitulaciji obračuna doznake vrste drveća se grupiraju kako su grupirane u šumskogospodarskom planu. 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10.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(1) Doznačna knjižica je dokument koji se izdaje na obrascu ili u elektroničkim obliku. 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(2) Obračun drvnog obujma izračunava se u doznačnoj knjižici i obrascu DBP  primjenom tarifa pomoću kojih je izvršen obračun drvnog obujma u šumskogospodarskom planu.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(3) Za sastojine koje nisu obuhvaćene šumskogospodarskim planom koriste se tarife sastojine slične strukture.  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 (4) Doznačna knjižica s manualom za upis doznačenih stabala i obračunom drvnog obujma tiskana je na obrascu D-1 u Prilogu 2. ovoga Pravilnika. 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 </w:t>
      </w: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center"/>
        <w:rPr>
          <w:i/>
          <w:strike/>
          <w:sz w:val="27"/>
          <w:szCs w:val="27"/>
        </w:rPr>
      </w:pPr>
      <w:r w:rsidRPr="008E5FAE">
        <w:rPr>
          <w:i/>
          <w:sz w:val="27"/>
          <w:szCs w:val="27"/>
        </w:rPr>
        <w:t>Očevidnik doznačnih knjižica i obrazaca DBP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11.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(1) Očevidnik doznačnih knjižica i obrazaca DBP vodi se po godinama.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lastRenderedPageBreak/>
        <w:t xml:space="preserve">(2) Javni </w:t>
      </w:r>
      <w:proofErr w:type="spellStart"/>
      <w:r w:rsidRPr="008E5FAE">
        <w:rPr>
          <w:sz w:val="27"/>
          <w:szCs w:val="27"/>
        </w:rPr>
        <w:t>šumoposjednik</w:t>
      </w:r>
      <w:proofErr w:type="spellEnd"/>
      <w:r w:rsidRPr="008E5FAE">
        <w:rPr>
          <w:sz w:val="27"/>
          <w:szCs w:val="27"/>
        </w:rPr>
        <w:t xml:space="preserve">, Ustanova, Pravna osoba iz članka 14. stavka 2. točaka a), b) i c) Zakona o šumama (»Narodne novine« br. 68/18 i 115/18- u daljnjem tekstu: Zakon), Javna ustanova iz članka 16. stavka 6. Zakona i licencirani izvođač dužni su voditi očevidnike doznačnih knjižica i obrazaca DBP.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(3) Obveza čuvanja evidentiranih podataka o doznaci stabala prestaje danom donošenja rješenja o odobrenju revizije ili obnove šumskogospodarskog plana, a za doznaku stabala u šumama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za koje nije izrađen program gospodarenja šumama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danom donošenja rješenja o odobrenju odgovarajućeg šumskogospodarskog plana.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 (4) Očevidnik doznačnih knjižica i obrazaca DBP tiskan je u Prilogu 3 ovoga Pravilnika. </w:t>
      </w:r>
    </w:p>
    <w:p w:rsidR="00A36A7F" w:rsidRPr="008E5FAE" w:rsidRDefault="00A36A7F" w:rsidP="00A179B1">
      <w:pPr>
        <w:pStyle w:val="Naslov1"/>
      </w:pPr>
      <w:r w:rsidRPr="008E5FAE">
        <w:t>II. DOZNAKA STABALA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  <w:rPr>
          <w:i/>
          <w:strike/>
          <w:sz w:val="27"/>
          <w:szCs w:val="27"/>
        </w:rPr>
      </w:pPr>
      <w:r w:rsidRPr="008E5FAE">
        <w:rPr>
          <w:i/>
          <w:sz w:val="27"/>
          <w:szCs w:val="27"/>
        </w:rPr>
        <w:t xml:space="preserve">Zahtjev za doznaku stabala 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12.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 (1) Mali i srednji </w:t>
      </w:r>
      <w:proofErr w:type="spellStart"/>
      <w:r w:rsidRPr="008E5FAE">
        <w:rPr>
          <w:sz w:val="27"/>
          <w:szCs w:val="27"/>
        </w:rPr>
        <w:t>šumoposjednici</w:t>
      </w:r>
      <w:proofErr w:type="spellEnd"/>
      <w:r w:rsidRPr="008E5FAE">
        <w:rPr>
          <w:sz w:val="27"/>
          <w:szCs w:val="27"/>
        </w:rPr>
        <w:t xml:space="preserve"> iz članka 14. stavka 3. točaka a) i b) Zakona podnose Ministarstvu Zahtjev za doznaku stabala (u daljnjem tekstu: Zahtjev).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(2) Zahtjev se podnosi na obrascu ZD koji je tiskan u Prilogu 4. ovoga Pravilnika.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(3) Podnositelj Zahtjeva mora uz isti priložiti dokaze propisane člankom 15. ovoga Pravilnika.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(4) Po izvršenoj doznaci stabala iz stavka 1. ovoga članka Ministarstvo dostavlja malom i srednjem privatnom </w:t>
      </w:r>
      <w:proofErr w:type="spellStart"/>
      <w:r w:rsidRPr="008E5FAE">
        <w:rPr>
          <w:sz w:val="27"/>
          <w:szCs w:val="27"/>
        </w:rPr>
        <w:t>šumoposjedniku</w:t>
      </w:r>
      <w:proofErr w:type="spellEnd"/>
      <w:r w:rsidRPr="008E5FAE">
        <w:rPr>
          <w:sz w:val="27"/>
          <w:szCs w:val="27"/>
        </w:rPr>
        <w:t xml:space="preserve"> doznačnu knjižicu i elaborat sa smjernicama gospodarenja.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</w:p>
    <w:p w:rsidR="00A36A7F" w:rsidRPr="008E5FAE" w:rsidRDefault="00A36A7F" w:rsidP="00A36A7F">
      <w:pPr>
        <w:pStyle w:val="t-11-9-sred"/>
        <w:spacing w:before="0" w:beforeAutospacing="0" w:after="0" w:afterAutospacing="0" w:line="276" w:lineRule="auto"/>
        <w:jc w:val="center"/>
        <w:rPr>
          <w:i/>
        </w:rPr>
      </w:pPr>
      <w:r w:rsidRPr="008E5FAE">
        <w:rPr>
          <w:sz w:val="27"/>
          <w:szCs w:val="27"/>
        </w:rPr>
        <w:t xml:space="preserve"> </w:t>
      </w:r>
      <w:r w:rsidRPr="008E5FAE">
        <w:rPr>
          <w:i/>
          <w:sz w:val="27"/>
          <w:szCs w:val="27"/>
        </w:rPr>
        <w:t>Doznaka stabala bez programa</w:t>
      </w:r>
    </w:p>
    <w:p w:rsidR="00A36A7F" w:rsidRPr="008E5FAE" w:rsidRDefault="00A36A7F" w:rsidP="00A36A7F">
      <w:pPr>
        <w:pStyle w:val="clanak-"/>
      </w:pPr>
      <w:r w:rsidRPr="008E5FAE">
        <w:t xml:space="preserve">Članak 13.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(1) Doznaka stabala kada nije izrađen program gospodarenja u šumama malih i srednjih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i doznaka stabala na katastarskoj čestici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koja nije uvrštena u odgovarajući program gospodarenja šumama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(u daljnjem tekstu: doznaka bez programa) obuhvaća onaj drvni obujam koji se doznači u šumi privatnog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na njegov Zahtjev.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(2) Doznaka bez programa obavlja se u svrhu izvođenja radova gospodarenja šumama i u sanitarne svrhe u smislu obnove šuma i poboljšanja stanja istih.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(3) Doznaka bez programa ne provodi se na katastarskim česticama koje po načinu uporabe nisu šuma.</w:t>
      </w:r>
    </w:p>
    <w:p w:rsidR="00A36A7F" w:rsidRPr="008E5FAE" w:rsidRDefault="00A36A7F" w:rsidP="00A36A7F">
      <w:pPr>
        <w:pStyle w:val="t-9-8"/>
        <w:tabs>
          <w:tab w:val="left" w:pos="3261"/>
        </w:tabs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lastRenderedPageBreak/>
        <w:t>(4) Doznaka bez programa ne mora se odobriti ako postoji opasnost od erozije ili klizanja terena ili ako postoje ograničenja propisana drugim propisima.</w:t>
      </w:r>
    </w:p>
    <w:p w:rsidR="00A36A7F" w:rsidRPr="008E5FAE" w:rsidRDefault="00A36A7F" w:rsidP="00A36A7F">
      <w:pPr>
        <w:pStyle w:val="clanak"/>
        <w:jc w:val="center"/>
        <w:rPr>
          <w:sz w:val="27"/>
          <w:szCs w:val="27"/>
        </w:rPr>
      </w:pPr>
      <w:r w:rsidRPr="008E5FAE">
        <w:rPr>
          <w:sz w:val="27"/>
          <w:szCs w:val="27"/>
        </w:rPr>
        <w:t>Članak 14.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t xml:space="preserve">(1) </w:t>
      </w:r>
      <w:r w:rsidRPr="008E5FAE">
        <w:rPr>
          <w:sz w:val="27"/>
          <w:szCs w:val="27"/>
        </w:rPr>
        <w:t>Doznaka bez programa i ostali radovi gospodarenja šumom i šumskim zemljištem obavljaju se prema propisanim uvjetima i mjerilima obrasca DBP.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(2) Sadržaj obrasca DBP tiskan je u Prilogu 5 ovoga Pravilnika. </w:t>
      </w:r>
    </w:p>
    <w:p w:rsidR="00A36A7F" w:rsidRPr="008E5FAE" w:rsidRDefault="00A36A7F" w:rsidP="00A36A7F">
      <w:pPr>
        <w:pStyle w:val="t-9-8"/>
        <w:jc w:val="center"/>
        <w:rPr>
          <w:i/>
          <w:sz w:val="27"/>
          <w:szCs w:val="27"/>
        </w:rPr>
      </w:pPr>
      <w:r w:rsidRPr="008E5FAE">
        <w:rPr>
          <w:i/>
          <w:sz w:val="27"/>
          <w:szCs w:val="27"/>
        </w:rPr>
        <w:t xml:space="preserve">Uvjeti za podnošenje Zahtjeva </w:t>
      </w:r>
    </w:p>
    <w:p w:rsidR="00A36A7F" w:rsidRPr="008E5FAE" w:rsidRDefault="00A36A7F" w:rsidP="00A36A7F">
      <w:pPr>
        <w:pStyle w:val="clanak"/>
        <w:jc w:val="center"/>
        <w:rPr>
          <w:sz w:val="27"/>
          <w:szCs w:val="27"/>
        </w:rPr>
      </w:pPr>
      <w:r w:rsidRPr="008E5FAE">
        <w:rPr>
          <w:sz w:val="27"/>
          <w:szCs w:val="27"/>
        </w:rPr>
        <w:t>Članak 15.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(1) Zahtjev podnosi privatni </w:t>
      </w:r>
      <w:proofErr w:type="spellStart"/>
      <w:r w:rsidRPr="008E5FAE">
        <w:rPr>
          <w:sz w:val="27"/>
          <w:szCs w:val="27"/>
        </w:rPr>
        <w:t>šumoposjednik</w:t>
      </w:r>
      <w:proofErr w:type="spellEnd"/>
      <w:r w:rsidRPr="008E5FAE">
        <w:rPr>
          <w:sz w:val="27"/>
          <w:szCs w:val="27"/>
        </w:rPr>
        <w:t xml:space="preserve"> predmetne katastarske čestice, uz predočenje osobne iskaznice i Iskaznice privatnog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>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t xml:space="preserve">(2) </w:t>
      </w:r>
      <w:r w:rsidRPr="008E5FAE">
        <w:rPr>
          <w:sz w:val="27"/>
          <w:szCs w:val="27"/>
        </w:rPr>
        <w:t xml:space="preserve">Ako privatni </w:t>
      </w:r>
      <w:proofErr w:type="spellStart"/>
      <w:r w:rsidRPr="008E5FAE">
        <w:rPr>
          <w:sz w:val="27"/>
          <w:szCs w:val="27"/>
        </w:rPr>
        <w:t>šumoposjednik</w:t>
      </w:r>
      <w:proofErr w:type="spellEnd"/>
      <w:r w:rsidRPr="008E5FAE">
        <w:rPr>
          <w:sz w:val="27"/>
          <w:szCs w:val="27"/>
        </w:rPr>
        <w:t xml:space="preserve"> nije upisan u Upisnik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>, uz Zahtjev mora priložiti dokaz o vlasništvu (vlasnički list) i posjedovni list za katastarsku česticu na koju se odnosi zahtjev.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t xml:space="preserve">(3) </w:t>
      </w:r>
      <w:r w:rsidRPr="008E5FAE">
        <w:rPr>
          <w:sz w:val="27"/>
          <w:szCs w:val="27"/>
        </w:rPr>
        <w:t xml:space="preserve">Za katastarsku česticu kod koje vlasnik i posjednik nisu ista osoba, posjednik uz Zahtjev mora priložiti ovjerenu presliku ugovora o zakupu sklopljenog s vlasnikom ili izjavu vlasnika o suglasnosti za izvođenje sječe šume na predmetnoj katastarskoj čestici ovjerenu kod javnog bilježnika te vlasnički i posjedovni list.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t xml:space="preserve">(4) </w:t>
      </w:r>
      <w:r w:rsidRPr="008E5FAE">
        <w:rPr>
          <w:sz w:val="27"/>
          <w:szCs w:val="27"/>
        </w:rPr>
        <w:t>U slučaju suvlasništva na predmetnoj čestici, podnositelj Zahtjeva mora priložiti izjavu o suglasnosti suvlasnika za izvođenje sječe na predmetnoj čestici ovjerenu kod javnog bilježnika osim u slučaju ako su kod podnošenja zahtjeva prisutni svi suvlasnici.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(5) Ako se vlasnički list ne može ishoditi mora se priložiti posjedovni list s potvrdom o statusu zemljišne knjige i ispis iz zbirke isprava.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(6) Podnositelj Zahtjeva je odgovoran i dužan osobi koja obavlja stručni posao doznake stabala pokazati točno i potpuno nekretninu (katastarsku česticu) na kojoj se obavlja doznaka stabala sukladno Zahtjevu.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(7) Ministarstvo zadržava pravo tražiti od privatnog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i ostalu potrebnu dokumentaciju tijekom provođenja postupka doznake stabala.</w:t>
      </w:r>
    </w:p>
    <w:p w:rsidR="00A36A7F" w:rsidRPr="008E5FAE" w:rsidRDefault="00A36A7F" w:rsidP="00A36A7F">
      <w:pPr>
        <w:pStyle w:val="t-9-8"/>
        <w:jc w:val="center"/>
        <w:rPr>
          <w:i/>
          <w:sz w:val="27"/>
          <w:szCs w:val="27"/>
        </w:rPr>
      </w:pPr>
      <w:r w:rsidRPr="008E5FAE">
        <w:rPr>
          <w:i/>
          <w:sz w:val="27"/>
          <w:szCs w:val="27"/>
        </w:rPr>
        <w:t xml:space="preserve">Rješenje o izvršenoj doznaci stabala </w:t>
      </w:r>
    </w:p>
    <w:p w:rsidR="00A36A7F" w:rsidRPr="008E5FAE" w:rsidRDefault="00A36A7F" w:rsidP="00A36A7F">
      <w:pPr>
        <w:pStyle w:val="clanak"/>
        <w:jc w:val="center"/>
        <w:rPr>
          <w:sz w:val="27"/>
          <w:szCs w:val="27"/>
        </w:rPr>
      </w:pPr>
      <w:r w:rsidRPr="008E5FAE">
        <w:rPr>
          <w:sz w:val="27"/>
          <w:szCs w:val="27"/>
        </w:rPr>
        <w:t>Članak 16.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(1) Po izvršenoj doznaci bez programa u šumama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Ministarstvo izdaje rješenje o izvršenoj doznaci bez programa.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(2) Sastavni dio rješenja o izvršenoj doznaci bez programa je obrazac DBP.</w:t>
      </w:r>
    </w:p>
    <w:p w:rsidR="00A36A7F" w:rsidRPr="008E5FAE" w:rsidRDefault="00A36A7F" w:rsidP="00A36A7F">
      <w:pPr>
        <w:pStyle w:val="clanak"/>
        <w:jc w:val="center"/>
        <w:rPr>
          <w:i/>
          <w:sz w:val="27"/>
          <w:szCs w:val="27"/>
        </w:rPr>
      </w:pPr>
      <w:r w:rsidRPr="008E5FAE">
        <w:rPr>
          <w:i/>
          <w:sz w:val="27"/>
          <w:szCs w:val="27"/>
        </w:rPr>
        <w:lastRenderedPageBreak/>
        <w:t>Doznaka bez programa za šume u vlasništvu Republike Hrvatske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  <w:rPr>
          <w:sz w:val="27"/>
          <w:szCs w:val="27"/>
        </w:rPr>
      </w:pPr>
      <w:r w:rsidRPr="008E5FAE">
        <w:rPr>
          <w:sz w:val="27"/>
          <w:szCs w:val="27"/>
        </w:rPr>
        <w:t>Članak 17 .</w:t>
      </w:r>
    </w:p>
    <w:p w:rsidR="00A36A7F" w:rsidRPr="008E5FAE" w:rsidRDefault="00A36A7F" w:rsidP="00A36A7F">
      <w:pPr>
        <w:pStyle w:val="t-9-8"/>
        <w:spacing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Doznaku stabala na katastarskoj čestici u vlasništvu Republike Hrvatske koja nije uvrštena u odgovarajući šumskogospodarski plan provodi javni </w:t>
      </w:r>
      <w:proofErr w:type="spellStart"/>
      <w:r w:rsidRPr="008E5FAE">
        <w:rPr>
          <w:sz w:val="27"/>
          <w:szCs w:val="27"/>
        </w:rPr>
        <w:t>šumoposjednik</w:t>
      </w:r>
      <w:proofErr w:type="spellEnd"/>
      <w:r w:rsidRPr="008E5FAE">
        <w:rPr>
          <w:sz w:val="27"/>
          <w:szCs w:val="27"/>
        </w:rPr>
        <w:t>.</w:t>
      </w:r>
    </w:p>
    <w:p w:rsidR="00A36A7F" w:rsidRPr="008E5FAE" w:rsidRDefault="00A36A7F" w:rsidP="00A36A7F">
      <w:pPr>
        <w:pStyle w:val="t-11-9-sred"/>
        <w:spacing w:before="0" w:beforeAutospacing="0" w:after="0" w:afterAutospacing="0" w:line="360" w:lineRule="auto"/>
      </w:pPr>
      <w:r w:rsidRPr="008E5FAE">
        <w:rPr>
          <w:sz w:val="27"/>
          <w:szCs w:val="27"/>
        </w:rPr>
        <w:t> </w:t>
      </w:r>
    </w:p>
    <w:p w:rsidR="00A36A7F" w:rsidRPr="008E5FAE" w:rsidRDefault="00A36A7F" w:rsidP="00A179B1">
      <w:pPr>
        <w:pStyle w:val="Naslov1"/>
      </w:pPr>
      <w:r w:rsidRPr="008E5FAE">
        <w:t>III . OBILJEŽAVANJE DRVNIH SORTIMENATA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18.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(1) Obilježavanje drvnih sortimenata obavlja se obavezno prije njihovog stavljanja u transport tako da se na čelo sortimenata režijskim čekićem otisne žig.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(2) Na otisku mora biti čitljiv sadržaj žiga.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</w:pPr>
      <w:r w:rsidRPr="008E5FAE">
        <w:rPr>
          <w:sz w:val="27"/>
          <w:szCs w:val="27"/>
        </w:rPr>
        <w:t> 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  <w:rPr>
          <w:sz w:val="27"/>
          <w:szCs w:val="27"/>
        </w:rPr>
      </w:pPr>
      <w:r w:rsidRPr="008E5FAE">
        <w:rPr>
          <w:sz w:val="27"/>
          <w:szCs w:val="27"/>
        </w:rPr>
        <w:t>Članak 19.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(1) Drvni sortimenti oblog tehničkog drva (trupci, tanka </w:t>
      </w:r>
      <w:proofErr w:type="spellStart"/>
      <w:r w:rsidRPr="008E5FAE">
        <w:rPr>
          <w:sz w:val="27"/>
          <w:szCs w:val="27"/>
        </w:rPr>
        <w:t>oblovina</w:t>
      </w:r>
      <w:proofErr w:type="spellEnd"/>
      <w:r w:rsidRPr="008E5FAE">
        <w:rPr>
          <w:sz w:val="27"/>
          <w:szCs w:val="27"/>
        </w:rPr>
        <w:t xml:space="preserve"> i obla građa) srednjeg promjera ispod 25 cm obilježavaju se na jednom čelu, a srednjeg promjera 25 cm i većeg na oba čela.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(2) </w:t>
      </w:r>
      <w:proofErr w:type="spellStart"/>
      <w:r w:rsidRPr="008E5FAE">
        <w:rPr>
          <w:sz w:val="27"/>
          <w:szCs w:val="27"/>
        </w:rPr>
        <w:t>Višemetarsko</w:t>
      </w:r>
      <w:proofErr w:type="spellEnd"/>
      <w:r w:rsidRPr="008E5FAE">
        <w:rPr>
          <w:sz w:val="27"/>
          <w:szCs w:val="27"/>
        </w:rPr>
        <w:t xml:space="preserve"> prostorno drvo promjera 7 cm i većeg obilježava se u </w:t>
      </w:r>
      <w:proofErr w:type="spellStart"/>
      <w:r w:rsidRPr="008E5FAE">
        <w:rPr>
          <w:sz w:val="27"/>
          <w:szCs w:val="27"/>
        </w:rPr>
        <w:t>složaju</w:t>
      </w:r>
      <w:proofErr w:type="spellEnd"/>
      <w:r w:rsidRPr="008E5FAE">
        <w:rPr>
          <w:sz w:val="27"/>
          <w:szCs w:val="27"/>
        </w:rPr>
        <w:t xml:space="preserve"> na 50 % komada s jedne strane </w:t>
      </w:r>
      <w:proofErr w:type="spellStart"/>
      <w:r w:rsidRPr="008E5FAE">
        <w:rPr>
          <w:sz w:val="27"/>
          <w:szCs w:val="27"/>
        </w:rPr>
        <w:t>složaja</w:t>
      </w:r>
      <w:proofErr w:type="spellEnd"/>
      <w:r w:rsidRPr="008E5FAE">
        <w:rPr>
          <w:sz w:val="27"/>
          <w:szCs w:val="27"/>
        </w:rPr>
        <w:t>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(3) Jednometarsko prostorno drvo promjera 7 cm i većeg obilježava se u </w:t>
      </w:r>
      <w:proofErr w:type="spellStart"/>
      <w:r w:rsidRPr="008E5FAE">
        <w:rPr>
          <w:sz w:val="27"/>
          <w:szCs w:val="27"/>
        </w:rPr>
        <w:t>složaju</w:t>
      </w:r>
      <w:proofErr w:type="spellEnd"/>
      <w:r w:rsidRPr="008E5FAE">
        <w:rPr>
          <w:sz w:val="27"/>
          <w:szCs w:val="27"/>
        </w:rPr>
        <w:t xml:space="preserve"> na 50 % cjepanica odnosno oblica s jedne strane </w:t>
      </w:r>
      <w:proofErr w:type="spellStart"/>
      <w:r w:rsidRPr="008E5FAE">
        <w:rPr>
          <w:sz w:val="27"/>
          <w:szCs w:val="27"/>
        </w:rPr>
        <w:t>složaja</w:t>
      </w:r>
      <w:proofErr w:type="spellEnd"/>
      <w:r w:rsidRPr="008E5FAE">
        <w:rPr>
          <w:sz w:val="27"/>
          <w:szCs w:val="27"/>
        </w:rPr>
        <w:t xml:space="preserve"> ili 30 % sa svake strane </w:t>
      </w:r>
      <w:proofErr w:type="spellStart"/>
      <w:r w:rsidRPr="008E5FAE">
        <w:rPr>
          <w:sz w:val="27"/>
          <w:szCs w:val="27"/>
        </w:rPr>
        <w:t>složaja</w:t>
      </w:r>
      <w:proofErr w:type="spellEnd"/>
      <w:r w:rsidRPr="008E5FAE">
        <w:rPr>
          <w:sz w:val="27"/>
          <w:szCs w:val="27"/>
        </w:rPr>
        <w:t>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(4) Prostorno drvo dimenzija kraćih od 1 m koje zbog dimenzije nije moguće složiti u </w:t>
      </w:r>
      <w:proofErr w:type="spellStart"/>
      <w:r w:rsidRPr="008E5FAE">
        <w:rPr>
          <w:sz w:val="27"/>
          <w:szCs w:val="27"/>
        </w:rPr>
        <w:t>složajeve</w:t>
      </w:r>
      <w:proofErr w:type="spellEnd"/>
      <w:r w:rsidRPr="008E5FAE">
        <w:rPr>
          <w:sz w:val="27"/>
          <w:szCs w:val="27"/>
        </w:rPr>
        <w:t xml:space="preserve"> obilježava se na jednom čelu i to na 20 % cjepanica odnosno oblica.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  <w:rPr>
          <w:sz w:val="27"/>
          <w:szCs w:val="27"/>
        </w:rPr>
      </w:pPr>
      <w:r w:rsidRPr="008E5FAE">
        <w:rPr>
          <w:sz w:val="27"/>
          <w:szCs w:val="27"/>
        </w:rPr>
        <w:t>Članak 20.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Grane i dijelovi grana, drvna sječka te ostali šumski proizvodi koji se ne mogu obilježiti režijskim čekićem pri stavljanju u transport ne moraju biti obilježeni.</w:t>
      </w: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21.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(1) Posječeni i izrađeni drvni sortimenti oblog tehničkog drva, prije transporta moraju se premjeriti i za njih utvrditi: vrsta drva, duljina i srednji promjer sortimenta, drvni obujam, podrijetlo sortimenta i osoba koja je izvršila obilježavanje.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(2) Drvni sortimenti iz stavka 1. ovoga članka obilježavaju se identifikacijskom pločicom.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lastRenderedPageBreak/>
        <w:t xml:space="preserve">(3) Iznimno od stavka 2. ovoga članka, u šumama malih i srednjih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te na površinama izvan šuma, drvni sortimenti iz stavka 1. ovoga članka obilježavaju se identifikacijskom pločicom ili rednim brojem.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(4) Identifikacijske pločice za drvne sortimente podrijetlom iz šuma malih i srednjih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te površina izvan šuma licenciranim izvođačima izdaje Komora.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(5) Licencirani izvođači koji koriste identifikacijske pločice dužni su voditi evidencije o korištenju identifikacijskih pločica s obveznom godišnjom inventurom.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(6) Posječenim i izrađenim drvnim sortimentima </w:t>
      </w:r>
      <w:proofErr w:type="spellStart"/>
      <w:r w:rsidRPr="008E5FAE">
        <w:rPr>
          <w:sz w:val="27"/>
          <w:szCs w:val="27"/>
        </w:rPr>
        <w:t>višemetarskog</w:t>
      </w:r>
      <w:proofErr w:type="spellEnd"/>
      <w:r w:rsidRPr="008E5FAE">
        <w:rPr>
          <w:sz w:val="27"/>
          <w:szCs w:val="27"/>
        </w:rPr>
        <w:t xml:space="preserve"> prostornog drva prije transporta mora se utvrditi: vrsta drva, drvni obujam, podrijetlo sortimenta i osoba koja je izvršila obilježavanje. Drvni obujam </w:t>
      </w:r>
      <w:proofErr w:type="spellStart"/>
      <w:r w:rsidRPr="008E5FAE">
        <w:rPr>
          <w:sz w:val="27"/>
          <w:szCs w:val="27"/>
        </w:rPr>
        <w:t>višemetarskog</w:t>
      </w:r>
      <w:proofErr w:type="spellEnd"/>
      <w:r w:rsidRPr="008E5FAE">
        <w:rPr>
          <w:sz w:val="27"/>
          <w:szCs w:val="27"/>
        </w:rPr>
        <w:t xml:space="preserve"> prostornog drva određuje se ili mjerenjem dimenzija </w:t>
      </w:r>
      <w:proofErr w:type="spellStart"/>
      <w:r w:rsidRPr="008E5FAE">
        <w:rPr>
          <w:sz w:val="27"/>
          <w:szCs w:val="27"/>
        </w:rPr>
        <w:t>složaja</w:t>
      </w:r>
      <w:proofErr w:type="spellEnd"/>
      <w:r w:rsidRPr="008E5FAE">
        <w:rPr>
          <w:sz w:val="27"/>
          <w:szCs w:val="27"/>
        </w:rPr>
        <w:t xml:space="preserve"> (uz primjenu pretvorbenog faktora) ili na temelju obujma prosječnog komada i broja komada ili </w:t>
      </w:r>
      <w:proofErr w:type="spellStart"/>
      <w:r w:rsidRPr="008E5FAE">
        <w:rPr>
          <w:sz w:val="27"/>
          <w:szCs w:val="27"/>
        </w:rPr>
        <w:t>pojednačnim</w:t>
      </w:r>
      <w:proofErr w:type="spellEnd"/>
      <w:r w:rsidRPr="008E5FAE">
        <w:rPr>
          <w:sz w:val="27"/>
          <w:szCs w:val="27"/>
        </w:rPr>
        <w:t xml:space="preserve"> mjerenjem svih komada.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(7) Posječenim i izrađenim drvnim sortimentima jednometarskog prostornog drva i prostornog drva dimenzija kraćih od 1 m prije transporta mora se utvrditi: vrsta drva, drvni obujam, podrijetlo sortimenta i osoba koja je izvršila obilježavanje. Drvni obujam prostornog drva određuje se mjerenjem dimenzija </w:t>
      </w:r>
      <w:proofErr w:type="spellStart"/>
      <w:r w:rsidRPr="008E5FAE">
        <w:rPr>
          <w:sz w:val="27"/>
          <w:szCs w:val="27"/>
        </w:rPr>
        <w:t>složaja</w:t>
      </w:r>
      <w:proofErr w:type="spellEnd"/>
      <w:r w:rsidRPr="008E5FAE">
        <w:rPr>
          <w:sz w:val="27"/>
          <w:szCs w:val="27"/>
        </w:rPr>
        <w:t xml:space="preserve"> uz primjenu pretvorbenog faktora.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(8) Drvnoj sječki se prije transporta mora utvrditi vrsta drva, podrijetlo sortimenta i osoba koja je utvrdila količinu. Količina drvne sječke utvrđuje se mjerenjem dimenzija iskorištenog tovarnoga prostora i iskazuje se u </w:t>
      </w:r>
      <w:proofErr w:type="spellStart"/>
      <w:r w:rsidRPr="008E5FAE">
        <w:rPr>
          <w:sz w:val="27"/>
          <w:szCs w:val="27"/>
        </w:rPr>
        <w:t>nasipnim</w:t>
      </w:r>
      <w:proofErr w:type="spellEnd"/>
      <w:r w:rsidRPr="008E5FAE">
        <w:rPr>
          <w:sz w:val="27"/>
          <w:szCs w:val="27"/>
        </w:rPr>
        <w:t xml:space="preserve"> metrima (</w:t>
      </w:r>
      <w:proofErr w:type="spellStart"/>
      <w:r w:rsidRPr="008E5FAE">
        <w:rPr>
          <w:sz w:val="27"/>
          <w:szCs w:val="27"/>
        </w:rPr>
        <w:t>npm</w:t>
      </w:r>
      <w:proofErr w:type="spellEnd"/>
      <w:r w:rsidRPr="008E5FAE">
        <w:rPr>
          <w:sz w:val="27"/>
          <w:szCs w:val="27"/>
        </w:rPr>
        <w:t xml:space="preserve">). </w:t>
      </w: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rPr>
          <w:i/>
          <w:sz w:val="27"/>
          <w:szCs w:val="27"/>
        </w:rPr>
      </w:pP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center"/>
        <w:rPr>
          <w:i/>
          <w:sz w:val="27"/>
          <w:szCs w:val="27"/>
        </w:rPr>
      </w:pPr>
      <w:r w:rsidRPr="008E5FAE">
        <w:rPr>
          <w:i/>
          <w:sz w:val="27"/>
          <w:szCs w:val="27"/>
        </w:rPr>
        <w:t>Očevidnik žigova čekića i faksimila žiga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22.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(1) Očevidnik žigova čekića i istovjetnih faksimila žigova obvezan je voditi licencirani izvođač radova radi utvrđenja zaduženja te obvezne godišnje inventure.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(2) Očevidnik žigova čekića i istovjetnih faksimila</w:t>
      </w:r>
      <w:r w:rsidRPr="008E5FAE">
        <w:t xml:space="preserve"> </w:t>
      </w:r>
      <w:r w:rsidRPr="008E5FAE">
        <w:rPr>
          <w:sz w:val="27"/>
          <w:szCs w:val="27"/>
        </w:rPr>
        <w:t xml:space="preserve">žigova iz stavka 1. ovoga članka tiskan je u Prilogu 6. ovoga Pravilnika. </w:t>
      </w:r>
    </w:p>
    <w:p w:rsidR="00A36A7F" w:rsidRPr="008E5FAE" w:rsidRDefault="00A36A7F" w:rsidP="00A36A7F">
      <w:pPr>
        <w:pStyle w:val="t-11-9-sred"/>
        <w:spacing w:before="0" w:beforeAutospacing="0" w:after="0" w:afterAutospacing="0" w:line="360" w:lineRule="auto"/>
        <w:jc w:val="center"/>
        <w:rPr>
          <w:sz w:val="27"/>
          <w:szCs w:val="27"/>
        </w:rPr>
      </w:pPr>
    </w:p>
    <w:p w:rsidR="00A36A7F" w:rsidRPr="008E5FAE" w:rsidRDefault="00A36A7F" w:rsidP="00A179B1">
      <w:pPr>
        <w:pStyle w:val="Naslov1"/>
      </w:pPr>
      <w:r w:rsidRPr="008E5FAE">
        <w:t xml:space="preserve"> IV. TERETNI LIST (POPRATNICA) 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23.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(1) Teretni list (popratnica) za drvne šumske proizvode i drvo posječeno izvan šume i šumskog zemljišta i teretni list (popratnica) za </w:t>
      </w:r>
      <w:proofErr w:type="spellStart"/>
      <w:r w:rsidRPr="008E5FAE">
        <w:rPr>
          <w:sz w:val="27"/>
          <w:szCs w:val="27"/>
        </w:rPr>
        <w:t>nedrvne</w:t>
      </w:r>
      <w:proofErr w:type="spellEnd"/>
      <w:r w:rsidRPr="008E5FAE">
        <w:rPr>
          <w:sz w:val="27"/>
          <w:szCs w:val="27"/>
        </w:rPr>
        <w:t xml:space="preserve"> šumske proizvode je pisana jedinstveno numerirana isprava koja se izdaje prije transporta drvnih i </w:t>
      </w:r>
      <w:proofErr w:type="spellStart"/>
      <w:r w:rsidRPr="008E5FAE">
        <w:rPr>
          <w:sz w:val="27"/>
          <w:szCs w:val="27"/>
        </w:rPr>
        <w:t>nedrvnih</w:t>
      </w:r>
      <w:proofErr w:type="spellEnd"/>
      <w:r w:rsidRPr="008E5FAE">
        <w:rPr>
          <w:sz w:val="27"/>
          <w:szCs w:val="27"/>
        </w:rPr>
        <w:t xml:space="preserve"> šumskih proizvoda i </w:t>
      </w:r>
      <w:bookmarkStart w:id="0" w:name="_Hlk6346334"/>
      <w:r w:rsidRPr="008E5FAE">
        <w:rPr>
          <w:sz w:val="27"/>
          <w:szCs w:val="27"/>
        </w:rPr>
        <w:t>drva posječenog izvan šume i šumskog zemljišta</w:t>
      </w:r>
      <w:bookmarkEnd w:id="0"/>
      <w:r w:rsidRPr="008E5FAE">
        <w:rPr>
          <w:sz w:val="27"/>
          <w:szCs w:val="27"/>
        </w:rPr>
        <w:t>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lastRenderedPageBreak/>
        <w:t>(2)  Izdavanje obrazaca teretnog lista (popratnice) iz stavka 1. ovog članka obavlja Komora.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(3) Važenje teretnog lista (popratnice) je 24 sata.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(4) Za ovjeru teretnog lista (popratnice) koristi se jedan od žigova  ili faksimila režijskog čekića licenciranog izvođača koji je obavio obilježavanje drvnih sortimenata.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(5) Na faksimil režijskog čekića analogno se primjenjuju svi propisi koji vrijede za režijski čekić.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(6) Očevidnike preuzetih obrazaca teretnih listova (popratnica) s obveznom godišnjom inventurom, vode licencirani izvođači radova.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(7) Očevidnik teretnih listova (popratnica) nalazi se u Prilogu 7. ovoga Pravilnika. </w:t>
      </w:r>
    </w:p>
    <w:p w:rsidR="00A36A7F" w:rsidRPr="008E5FAE" w:rsidRDefault="00A36A7F" w:rsidP="00A36A7F">
      <w:pPr>
        <w:pStyle w:val="t-9-8"/>
        <w:tabs>
          <w:tab w:val="left" w:pos="6950"/>
        </w:tabs>
        <w:spacing w:before="0" w:beforeAutospacing="0" w:after="0" w:afterAutospacing="0" w:line="360" w:lineRule="auto"/>
        <w:jc w:val="both"/>
      </w:pPr>
      <w:r w:rsidRPr="008E5FAE">
        <w:tab/>
      </w: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center"/>
        <w:rPr>
          <w:sz w:val="27"/>
          <w:szCs w:val="27"/>
        </w:rPr>
      </w:pPr>
      <w:r w:rsidRPr="008E5FAE">
        <w:rPr>
          <w:sz w:val="27"/>
          <w:szCs w:val="27"/>
        </w:rPr>
        <w:t>Članak 24.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(1) Teretni list (popratnica) se izdaje na obrascima ili kao računalni ispis za: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- oblo drvo na obrascu TL-1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- prostorno drvo i drvnu sječku na obrascu TL-2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- </w:t>
      </w:r>
      <w:proofErr w:type="spellStart"/>
      <w:r w:rsidRPr="008E5FAE">
        <w:rPr>
          <w:sz w:val="27"/>
          <w:szCs w:val="27"/>
        </w:rPr>
        <w:t>nedrvne</w:t>
      </w:r>
      <w:proofErr w:type="spellEnd"/>
      <w:r w:rsidRPr="008E5FAE">
        <w:rPr>
          <w:sz w:val="27"/>
          <w:szCs w:val="27"/>
        </w:rPr>
        <w:t xml:space="preserve"> šumske proizvode na obrascu TL-NŠP.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 (2) Obrazac teretnog list (popratnica) ispunjava se u četiri primjeraka od kojih jedan primjerak ostaje u bloku teretnog lista (popratnice), jedan primjerak pripada </w:t>
      </w:r>
      <w:proofErr w:type="spellStart"/>
      <w:r w:rsidRPr="008E5FAE">
        <w:rPr>
          <w:sz w:val="27"/>
          <w:szCs w:val="27"/>
        </w:rPr>
        <w:t>šumoposjedniku</w:t>
      </w:r>
      <w:proofErr w:type="spellEnd"/>
      <w:r w:rsidRPr="008E5FAE">
        <w:rPr>
          <w:sz w:val="27"/>
          <w:szCs w:val="27"/>
        </w:rPr>
        <w:t>/vlasniku i/ili posjedniku površine koja nije šuma, jedan primjerak prijevozniku, a jedan primjerak kupcu.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(3) Obrasci iz stavka 1. ovoga članka tiskani su u Prilogu 8., 9. i 10. ovoga Pravilnika.  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rPr>
          <w:sz w:val="27"/>
          <w:szCs w:val="27"/>
        </w:rPr>
      </w:pP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  <w:rPr>
          <w:i/>
          <w:strike/>
          <w:sz w:val="27"/>
          <w:szCs w:val="27"/>
        </w:rPr>
      </w:pPr>
      <w:r w:rsidRPr="008E5FAE">
        <w:rPr>
          <w:i/>
          <w:sz w:val="27"/>
          <w:szCs w:val="27"/>
        </w:rPr>
        <w:t>Izdavanje teretnog lista (popratnice) za drvo posječeno izvan šume i šumskog zemljišta</w:t>
      </w:r>
      <w:r w:rsidRPr="008E5FAE">
        <w:rPr>
          <w:i/>
          <w:strike/>
          <w:sz w:val="27"/>
          <w:szCs w:val="27"/>
        </w:rPr>
        <w:t xml:space="preserve"> 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 xml:space="preserve">Članak 25.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(1) Zahtjev za izdavanje teretnog lista (popratnice) (dalje u tekstu: Zahtjev TL) za drvne sortimente s površina u vlasništvu Republike Hrvatske kojima način uporabe u katastru nije šuma i šumsko zemljište odnosno koje kao takve nisu sastavni dio šumskogospodarskih planova se podnosi javnom </w:t>
      </w:r>
      <w:proofErr w:type="spellStart"/>
      <w:r w:rsidRPr="008E5FAE">
        <w:rPr>
          <w:sz w:val="27"/>
          <w:szCs w:val="27"/>
        </w:rPr>
        <w:t>šumoposjedniku</w:t>
      </w:r>
      <w:proofErr w:type="spellEnd"/>
      <w:r w:rsidRPr="008E5FAE">
        <w:rPr>
          <w:sz w:val="27"/>
          <w:szCs w:val="27"/>
        </w:rPr>
        <w:t xml:space="preserve"> </w:t>
      </w:r>
    </w:p>
    <w:p w:rsidR="00A36A7F" w:rsidRPr="008E5FAE" w:rsidRDefault="00A36A7F" w:rsidP="00A36A7F">
      <w:pPr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 w:rsidRPr="008E5FAE">
        <w:rPr>
          <w:rFonts w:ascii="Times New Roman" w:eastAsia="Times New Roman" w:hAnsi="Times New Roman"/>
          <w:sz w:val="27"/>
          <w:szCs w:val="27"/>
        </w:rPr>
        <w:t xml:space="preserve">(2) Javni </w:t>
      </w:r>
      <w:proofErr w:type="spellStart"/>
      <w:r w:rsidRPr="008E5FAE">
        <w:rPr>
          <w:rFonts w:ascii="Times New Roman" w:eastAsia="Times New Roman" w:hAnsi="Times New Roman"/>
          <w:sz w:val="27"/>
          <w:szCs w:val="27"/>
        </w:rPr>
        <w:t>šumoposjednik</w:t>
      </w:r>
      <w:proofErr w:type="spellEnd"/>
      <w:r w:rsidRPr="008E5FAE">
        <w:rPr>
          <w:rFonts w:ascii="Times New Roman" w:eastAsia="Times New Roman" w:hAnsi="Times New Roman"/>
          <w:sz w:val="27"/>
          <w:szCs w:val="27"/>
        </w:rPr>
        <w:t xml:space="preserve"> je dužan prije otpreme na presjeku panjeva rubnih stabala otisnuti žig režijskog čekića kojim će drvni sortimenti biti otpremljeni. Na teretni list (popratnicu) se potpisuje otpremnik i ovlaštena osoba posjednika predmetne površine, a jedan primjerak teretnog lista (popratnice) kao dokaz o podrijetlu drvnih sortimenata zadržava posjednik. </w:t>
      </w:r>
    </w:p>
    <w:p w:rsidR="00A36A7F" w:rsidRPr="008E5FAE" w:rsidRDefault="00A36A7F" w:rsidP="00A36A7F">
      <w:pPr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 w:rsidRPr="008E5FAE">
        <w:rPr>
          <w:rFonts w:ascii="Times New Roman" w:eastAsia="Times New Roman" w:hAnsi="Times New Roman"/>
          <w:sz w:val="27"/>
          <w:szCs w:val="27"/>
        </w:rPr>
        <w:t xml:space="preserve">(3) Zahtjev TL za drvne sortimente s površine u privatnom vlasništvu/posjedu kojima način uporabe u katastru nije šuma i šumsko zemljište odnosno koje kao takve nisu </w:t>
      </w:r>
      <w:r w:rsidRPr="008E5FAE">
        <w:rPr>
          <w:rFonts w:ascii="Times New Roman" w:eastAsia="Times New Roman" w:hAnsi="Times New Roman"/>
          <w:sz w:val="27"/>
          <w:szCs w:val="27"/>
        </w:rPr>
        <w:lastRenderedPageBreak/>
        <w:t xml:space="preserve">sastavni dio programa gospodarenja šumama privatnih </w:t>
      </w:r>
      <w:proofErr w:type="spellStart"/>
      <w:r w:rsidRPr="008E5FAE">
        <w:rPr>
          <w:rFonts w:ascii="Times New Roman" w:eastAsia="Times New Roman" w:hAnsi="Times New Roman"/>
          <w:sz w:val="27"/>
          <w:szCs w:val="27"/>
        </w:rPr>
        <w:t>šumoposjednika</w:t>
      </w:r>
      <w:proofErr w:type="spellEnd"/>
      <w:r w:rsidRPr="008E5FAE">
        <w:rPr>
          <w:rFonts w:ascii="Times New Roman" w:eastAsia="Times New Roman" w:hAnsi="Times New Roman"/>
          <w:sz w:val="27"/>
          <w:szCs w:val="27"/>
        </w:rPr>
        <w:t xml:space="preserve"> vlasnik/posjednik podnosi Ministarstvu.</w:t>
      </w:r>
    </w:p>
    <w:p w:rsidR="00A36A7F" w:rsidRPr="008E5FAE" w:rsidRDefault="00A36A7F" w:rsidP="00A36A7F">
      <w:pPr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 w:rsidRPr="008E5FAE">
        <w:rPr>
          <w:rFonts w:ascii="Times New Roman" w:eastAsia="Times New Roman" w:hAnsi="Times New Roman"/>
          <w:sz w:val="27"/>
          <w:szCs w:val="27"/>
        </w:rPr>
        <w:t xml:space="preserve">(4) Licencirani izvoditelj je dužan prije otpreme na presjeku panjeva rubnih stabala otisnuti žig režijskog čekića kojim će drvni sortimenti biti otpremljeni. Na teretni list (popratnicu) se potpisuje otpremnik i vlasnik/posjednik površine. </w:t>
      </w:r>
    </w:p>
    <w:p w:rsidR="00A36A7F" w:rsidRPr="008E5FAE" w:rsidRDefault="00A36A7F" w:rsidP="00A36A7F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8E5FAE">
        <w:rPr>
          <w:rFonts w:ascii="Times New Roman" w:eastAsia="Times New Roman" w:hAnsi="Times New Roman"/>
          <w:sz w:val="27"/>
          <w:szCs w:val="27"/>
        </w:rPr>
        <w:t xml:space="preserve">(5) Za </w:t>
      </w:r>
      <w:proofErr w:type="spellStart"/>
      <w:r w:rsidRPr="008E5FAE">
        <w:rPr>
          <w:rFonts w:ascii="Times New Roman" w:eastAsia="Times New Roman" w:hAnsi="Times New Roman"/>
          <w:sz w:val="27"/>
          <w:szCs w:val="27"/>
        </w:rPr>
        <w:t>nedrvne</w:t>
      </w:r>
      <w:proofErr w:type="spellEnd"/>
      <w:r w:rsidRPr="008E5FAE">
        <w:rPr>
          <w:rFonts w:ascii="Times New Roman" w:eastAsia="Times New Roman" w:hAnsi="Times New Roman"/>
          <w:sz w:val="27"/>
          <w:szCs w:val="27"/>
        </w:rPr>
        <w:t xml:space="preserve"> šumske proizvode s površine iz stavaka 1. ovog članka</w:t>
      </w:r>
      <w:r w:rsidRPr="008E5FAE">
        <w:rPr>
          <w:rFonts w:ascii="Times New Roman" w:hAnsi="Times New Roman"/>
          <w:sz w:val="27"/>
          <w:szCs w:val="27"/>
        </w:rPr>
        <w:t xml:space="preserve"> Zahtjev TL podnosi se javnom </w:t>
      </w:r>
      <w:proofErr w:type="spellStart"/>
      <w:r w:rsidRPr="008E5FAE">
        <w:rPr>
          <w:rFonts w:ascii="Times New Roman" w:hAnsi="Times New Roman"/>
          <w:sz w:val="27"/>
          <w:szCs w:val="27"/>
        </w:rPr>
        <w:t>šumoposjedniku</w:t>
      </w:r>
      <w:proofErr w:type="spellEnd"/>
      <w:r w:rsidRPr="008E5FAE">
        <w:rPr>
          <w:rFonts w:ascii="Times New Roman" w:hAnsi="Times New Roman"/>
          <w:sz w:val="27"/>
          <w:szCs w:val="27"/>
        </w:rPr>
        <w:t>.</w:t>
      </w:r>
    </w:p>
    <w:p w:rsidR="00A36A7F" w:rsidRPr="008E5FAE" w:rsidRDefault="00A36A7F" w:rsidP="00A36A7F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8E5FAE">
        <w:rPr>
          <w:rFonts w:ascii="Times New Roman" w:eastAsia="Times New Roman" w:hAnsi="Times New Roman"/>
          <w:sz w:val="27"/>
          <w:szCs w:val="27"/>
        </w:rPr>
        <w:t xml:space="preserve">(6) Za </w:t>
      </w:r>
      <w:proofErr w:type="spellStart"/>
      <w:r w:rsidRPr="008E5FAE">
        <w:rPr>
          <w:rFonts w:ascii="Times New Roman" w:eastAsia="Times New Roman" w:hAnsi="Times New Roman"/>
          <w:sz w:val="27"/>
          <w:szCs w:val="27"/>
        </w:rPr>
        <w:t>nedrvne</w:t>
      </w:r>
      <w:proofErr w:type="spellEnd"/>
      <w:r w:rsidRPr="008E5FAE">
        <w:rPr>
          <w:rFonts w:ascii="Times New Roman" w:eastAsia="Times New Roman" w:hAnsi="Times New Roman"/>
          <w:sz w:val="27"/>
          <w:szCs w:val="27"/>
        </w:rPr>
        <w:t xml:space="preserve"> šumske proizvode s površine iz stavaka 3. ovog članka</w:t>
      </w:r>
      <w:r w:rsidRPr="008E5FAE">
        <w:rPr>
          <w:rFonts w:ascii="Times New Roman" w:hAnsi="Times New Roman"/>
          <w:sz w:val="27"/>
          <w:szCs w:val="27"/>
        </w:rPr>
        <w:t xml:space="preserve"> Zahtjev TL vlasnik/posjednik podnosi Ministarstvu.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(7) Vlasnik/posjednik snosi troškove obilježavanja drvnih i </w:t>
      </w:r>
      <w:proofErr w:type="spellStart"/>
      <w:r w:rsidRPr="008E5FAE">
        <w:rPr>
          <w:sz w:val="27"/>
          <w:szCs w:val="27"/>
        </w:rPr>
        <w:t>nedrvnih</w:t>
      </w:r>
      <w:proofErr w:type="spellEnd"/>
      <w:r w:rsidRPr="008E5FAE">
        <w:rPr>
          <w:sz w:val="27"/>
          <w:szCs w:val="27"/>
        </w:rPr>
        <w:t xml:space="preserve">  šumskih proizvoda na površinama koje nisu šuma ili šumsko zemljište te izdavanja teretnog lista (popratnice).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(8) Obrazac Zahtjeva TL je tiskan u Prilogu 11. ovoga Pravilnika. </w:t>
      </w:r>
    </w:p>
    <w:p w:rsidR="00A36A7F" w:rsidRPr="008E5FAE" w:rsidRDefault="00A36A7F" w:rsidP="00A36A7F">
      <w:pPr>
        <w:pStyle w:val="clanak"/>
        <w:spacing w:before="0" w:beforeAutospacing="0" w:after="0" w:afterAutospacing="0" w:line="276" w:lineRule="auto"/>
        <w:rPr>
          <w:i/>
          <w:sz w:val="27"/>
          <w:szCs w:val="27"/>
        </w:rPr>
      </w:pPr>
    </w:p>
    <w:p w:rsidR="00A36A7F" w:rsidRPr="008E5FAE" w:rsidRDefault="00A36A7F" w:rsidP="00A36A7F">
      <w:pPr>
        <w:pStyle w:val="clanak"/>
        <w:spacing w:before="0" w:beforeAutospacing="0" w:after="0" w:afterAutospacing="0" w:line="276" w:lineRule="auto"/>
        <w:jc w:val="center"/>
        <w:rPr>
          <w:i/>
          <w:sz w:val="27"/>
          <w:szCs w:val="27"/>
        </w:rPr>
      </w:pPr>
      <w:r w:rsidRPr="008E5FAE">
        <w:rPr>
          <w:i/>
          <w:sz w:val="27"/>
          <w:szCs w:val="27"/>
        </w:rPr>
        <w:t xml:space="preserve">Izdavanje teretnog lista (popratnice) </w:t>
      </w:r>
      <w:bookmarkStart w:id="1" w:name="_Hlk6261620"/>
      <w:r w:rsidRPr="008E5FAE">
        <w:rPr>
          <w:i/>
          <w:sz w:val="27"/>
          <w:szCs w:val="27"/>
        </w:rPr>
        <w:t xml:space="preserve">za površine koje nisu šuma ili šumsko zemljište </w:t>
      </w:r>
    </w:p>
    <w:bookmarkEnd w:id="1"/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both"/>
      </w:pP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center"/>
        <w:rPr>
          <w:sz w:val="27"/>
          <w:szCs w:val="27"/>
        </w:rPr>
      </w:pPr>
      <w:r w:rsidRPr="008E5FAE">
        <w:rPr>
          <w:sz w:val="27"/>
          <w:szCs w:val="27"/>
        </w:rPr>
        <w:t>Članak 26.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 (1) Podnositelj Zahtjeva TL iz članka 25. stavka 2. ovoga Pravilnika dužan je predočiti osobnu iskaznicu te uz Zahtjev TL priložiti dokaz o vlasništvu (vlasnički list) i posjedovni list za predmetnu katastarsku česticu.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(2) Za katastarsku česticu kod koje vlasnik i posjednik nisu ista osoba podnositelj zahtjeva treba priložiti presliku ovjerenog ugovora o zakupu sklopljenog s  vlasnikom ili izjavu vlasnika o suglasnosti za izdavanje teretnog lista (popratnice) ovjerenu kod javnog bilježnika te vlasnički list.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(3) U slučaju suvlasništva na predmetnoj čestici, mora se priložiti izjava o suglasnosti suvlasnika za izdavanje teretnog lista (popratnice).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(4) Ako se vlasnički list ne može ishoditi mora se priložiti posjedovni list s potvrdom o statusu zemljišne knjige i ispis iz zbirke isprva.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(5) Podnositelj Zahtjeva TL je odgovoran i dužan osobi koja obavlja stručni posao izdavanja teretnog lista pokazati točno i potpuno nekretninu (katastarsku česticu) za koju se izdaje teretni list (popratnica).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(6) Ministarstvo zadržava pravo tražiti od vlasnika/posjednika i ostalu potrebnu dokumentaciju tijekom postupka izdavanja teretnog lista (popratnice).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center"/>
        <w:rPr>
          <w:i/>
          <w:sz w:val="27"/>
          <w:szCs w:val="27"/>
        </w:rPr>
      </w:pPr>
      <w:r w:rsidRPr="008E5FAE">
        <w:rPr>
          <w:i/>
          <w:sz w:val="27"/>
          <w:szCs w:val="27"/>
        </w:rPr>
        <w:t>Izdavanje teretnog lista u šumi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  <w:rPr>
          <w:sz w:val="27"/>
          <w:szCs w:val="27"/>
        </w:rPr>
      </w:pPr>
      <w:bookmarkStart w:id="2" w:name="_Hlk6260913"/>
      <w:r w:rsidRPr="008E5FAE">
        <w:rPr>
          <w:sz w:val="27"/>
          <w:szCs w:val="27"/>
        </w:rPr>
        <w:t>Članak 27.</w:t>
      </w:r>
    </w:p>
    <w:bookmarkEnd w:id="2"/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lastRenderedPageBreak/>
        <w:t xml:space="preserve">(1) U šumama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teretni list (popratnica) za drvne i </w:t>
      </w:r>
      <w:proofErr w:type="spellStart"/>
      <w:r w:rsidRPr="008E5FAE">
        <w:rPr>
          <w:sz w:val="27"/>
          <w:szCs w:val="27"/>
        </w:rPr>
        <w:t>nedrvne</w:t>
      </w:r>
      <w:proofErr w:type="spellEnd"/>
      <w:r w:rsidRPr="008E5FAE">
        <w:rPr>
          <w:sz w:val="27"/>
          <w:szCs w:val="27"/>
        </w:rPr>
        <w:t xml:space="preserve"> šumske proizvode izdaje licencirani izvođač radova.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(2) U šumama malih i srednjih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teretni list (popratnicu)  izdaje licencirani izvođač radova na usmeno ili pisano traženje privatnog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sukladno izvršenoj doznaci.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(3) Privatni </w:t>
      </w:r>
      <w:proofErr w:type="spellStart"/>
      <w:r w:rsidRPr="008E5FAE">
        <w:rPr>
          <w:sz w:val="27"/>
          <w:szCs w:val="27"/>
        </w:rPr>
        <w:t>šumoposjednik</w:t>
      </w:r>
      <w:proofErr w:type="spellEnd"/>
      <w:r w:rsidRPr="008E5FAE">
        <w:rPr>
          <w:sz w:val="27"/>
          <w:szCs w:val="27"/>
        </w:rPr>
        <w:t xml:space="preserve"> je dužan licenciranom izvođaču prilikom izdavanja  teretnog lista (popratnice) za drvne šumske proizvode predočiti elaborat sa smjernicama gospodarenja ili rješenje o izvršenoj doznaci bez programa te teretne listove (popratnice) ukoliko se otprema drvnih sortimenata ne obavlja jednokratno.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 (4) Privatni </w:t>
      </w:r>
      <w:proofErr w:type="spellStart"/>
      <w:r w:rsidRPr="008E5FAE">
        <w:rPr>
          <w:sz w:val="27"/>
          <w:szCs w:val="27"/>
        </w:rPr>
        <w:t>šumoposjednik</w:t>
      </w:r>
      <w:proofErr w:type="spellEnd"/>
      <w:r w:rsidRPr="008E5FAE">
        <w:rPr>
          <w:sz w:val="27"/>
          <w:szCs w:val="27"/>
        </w:rPr>
        <w:t xml:space="preserve"> snosi troškove izdavanja teretnog lista (popratnice).</w:t>
      </w:r>
    </w:p>
    <w:p w:rsidR="00A36A7F" w:rsidRPr="008E5FAE" w:rsidRDefault="00A36A7F" w:rsidP="00A36A7F">
      <w:pPr>
        <w:pStyle w:val="clanak"/>
        <w:jc w:val="center"/>
        <w:rPr>
          <w:i/>
          <w:sz w:val="27"/>
          <w:szCs w:val="27"/>
        </w:rPr>
      </w:pPr>
      <w:r w:rsidRPr="008E5FAE">
        <w:rPr>
          <w:i/>
          <w:sz w:val="27"/>
          <w:szCs w:val="27"/>
        </w:rPr>
        <w:t>Evidencija o doznaci stabala</w:t>
      </w:r>
    </w:p>
    <w:p w:rsidR="00A36A7F" w:rsidRPr="008E5FAE" w:rsidRDefault="00A36A7F" w:rsidP="00A36A7F">
      <w:pPr>
        <w:pStyle w:val="clanak"/>
        <w:jc w:val="center"/>
        <w:rPr>
          <w:sz w:val="27"/>
          <w:szCs w:val="27"/>
        </w:rPr>
      </w:pPr>
      <w:r w:rsidRPr="008E5FAE">
        <w:rPr>
          <w:sz w:val="27"/>
          <w:szCs w:val="27"/>
        </w:rPr>
        <w:t>Članak 28.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(1) Ministarstvo u elektroničkom obliku vodi evidenciju o izvršenoj doznaci u šumama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>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(2) Evidencija sadrži podatke: naziv podnositelja zahtjeva, županiju, grad/općinu, katastarsku općinu, katastarsku česticu, vrstu rada s iskazanim obujmom doznačenih stabala i površinom.</w:t>
      </w: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center"/>
        <w:rPr>
          <w:i/>
          <w:sz w:val="27"/>
          <w:szCs w:val="27"/>
        </w:rPr>
      </w:pPr>
      <w:r w:rsidRPr="008E5FAE">
        <w:rPr>
          <w:i/>
          <w:sz w:val="27"/>
          <w:szCs w:val="27"/>
        </w:rPr>
        <w:t xml:space="preserve">Evidencije o doznačenim stablima i otpremljenim drvnim sortimentima u šumama privatnih </w:t>
      </w:r>
      <w:proofErr w:type="spellStart"/>
      <w:r w:rsidRPr="008E5FAE">
        <w:rPr>
          <w:i/>
          <w:sz w:val="27"/>
          <w:szCs w:val="27"/>
        </w:rPr>
        <w:t>šumoposjednika</w:t>
      </w:r>
      <w:proofErr w:type="spellEnd"/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center"/>
        <w:rPr>
          <w:sz w:val="27"/>
          <w:szCs w:val="27"/>
        </w:rPr>
      </w:pP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29.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(1) Licencirani izvođači koji obavljaju doznaku stabala i otpremanje drvnih sortimenata u šumama malih i srednjih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dužni su podatke o doznaci stabala i otpremi drvnih sortimenata neposredno nakon doznake/otpreme unositi u Aplikaciju za vođenje evidencija u šumama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(u daljnjem tekstu: Aplikacija).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 (2) Licencirani izvođači koji obavljaju doznaku stabala i otpremanje drvnih sortimenata u šumama velikih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dužni su podatke o doznačenim stablima i otpremljenim drvnim sortimentima unositi u Aplikaciju tromjesečno po gospodarskim jedinicama i vrstama drveća.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(3) U Aplikaciju se nakon doznake stabala unose slijedeći podaci: vrsta sastojine, vrsta prihoda, vrsta sječe, oznaka doznačnog čekića, provoditelj doznake, vrsta drveća te drvni obujam.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trike/>
        </w:rPr>
      </w:pPr>
      <w:r w:rsidRPr="008E5FAE">
        <w:rPr>
          <w:sz w:val="27"/>
          <w:szCs w:val="27"/>
        </w:rPr>
        <w:t xml:space="preserve">(4) Nakon otpremanja drvnih sortimenata svaki teretni list (popratnica) unosi se pojedinačno sa sljedećim podacima: broj teretnog lista (popratnice), vrsta drveća te </w:t>
      </w:r>
      <w:r w:rsidRPr="008E5FAE">
        <w:rPr>
          <w:sz w:val="27"/>
          <w:szCs w:val="27"/>
        </w:rPr>
        <w:lastRenderedPageBreak/>
        <w:t xml:space="preserve">drvni obujam oblog tehničkog drva, prostornog drva i drvne sječke, osim u šumama velikih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>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(5) Iznimno od stavaka  1. i 2. ovoga članka, za šumske proizvode koji se evidentiraju po </w:t>
      </w:r>
      <w:proofErr w:type="spellStart"/>
      <w:r w:rsidRPr="008E5FAE">
        <w:rPr>
          <w:sz w:val="27"/>
          <w:szCs w:val="27"/>
        </w:rPr>
        <w:t>odvagama</w:t>
      </w:r>
      <w:proofErr w:type="spellEnd"/>
      <w:r w:rsidRPr="008E5FAE">
        <w:rPr>
          <w:sz w:val="27"/>
          <w:szCs w:val="27"/>
        </w:rPr>
        <w:t xml:space="preserve"> podaci iz teretnog lista (popratnice) trebaju se dostaviti Ministarstvu  po primitku  tih podataka.</w:t>
      </w: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both"/>
      </w:pP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  <w:rPr>
          <w:i/>
          <w:sz w:val="27"/>
          <w:szCs w:val="27"/>
        </w:rPr>
      </w:pPr>
      <w:proofErr w:type="spellStart"/>
      <w:r w:rsidRPr="008E5FAE">
        <w:rPr>
          <w:i/>
          <w:sz w:val="27"/>
          <w:szCs w:val="27"/>
        </w:rPr>
        <w:t>Sljedivost</w:t>
      </w:r>
      <w:proofErr w:type="spellEnd"/>
      <w:r w:rsidRPr="008E5FAE">
        <w:rPr>
          <w:i/>
          <w:sz w:val="27"/>
          <w:szCs w:val="27"/>
        </w:rPr>
        <w:t xml:space="preserve"> drvnih sortimenata 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ind w:left="2832" w:firstLine="708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Članak 30.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(1) Radi utvrđivanja </w:t>
      </w:r>
      <w:proofErr w:type="spellStart"/>
      <w:r w:rsidRPr="008E5FAE">
        <w:rPr>
          <w:sz w:val="27"/>
          <w:szCs w:val="27"/>
        </w:rPr>
        <w:t>sljedivosti</w:t>
      </w:r>
      <w:proofErr w:type="spellEnd"/>
      <w:r w:rsidRPr="008E5FAE">
        <w:rPr>
          <w:sz w:val="27"/>
          <w:szCs w:val="27"/>
        </w:rPr>
        <w:t xml:space="preserve"> sukladno Uredbi Europske unije o drvu (EUTR) (Uredba (EU) br. 995/2010 Europskog parlamenta i Vijeća od 20. listopada 2010. o utvrđivanju obveza gospodarskih subjekata koji stavljaju u promet drvo i proizvode od drva (SL L 295, 12.11.2010.), za izrađene i propisno obilježene drvne sortimente (tehničko drvo i prostorno drvo) za koje je već izdan teretni list (popratnica), a koje nije prerađeno, odnosno nije mu promijenjen oblik  mora se naknadno izdati novi teretni list (popratnica) prilikom svakog daljnjeg stavljanja u transport, od mjesta prve pohrane do krajnjeg mjesta prerade.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(2) Prilikom ponovnog stavljanja u transport, vlasnik drvnih sortimenata dužan je posjedovati preslike svih teretnih listova (popratnica) i druge relevantne dokumentacije kojima se dokazuje podrijetlo kupljene robe.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(3) Novi teretni list (popratnicu) izdaje licencirani izvođač na zahtjev vlasnika drvnih sortimenata.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(4) Prilikom izdavanja novog teretnog lista (popratnice), vlasnik drvnih sortimenata dužan je licenciranom izvođaču predočiti sve teretne listove (popratnice) koje su pratile drvne sortimente od prvog stavljanja u promet do mjesta izdavanja novog teretnog lista (popratnice) kao i svu drugu relevantnu dokumentaciju kojom dokazuje podrijetlo drvnih sortimenata za koje traži izdavanje novog teretnog lista (popratnice).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(5) Licencirani izvođač potpisom teretnog lista (popratnice) iz stavka 3. ovoga članka potvrđuje da je osobnim uvidom u dokumentaciju iz stavka 4. ovoga članka i drvne sortimente te njihovim ponovnim premjeravanjem i obilježavanjem utvrdio sukladnost u odnosu na vrstu drveća, dužinu i srednji promjer sortimenta te drvni obujam čime jamči daljnju njihovu </w:t>
      </w:r>
      <w:proofErr w:type="spellStart"/>
      <w:r w:rsidRPr="008E5FAE">
        <w:rPr>
          <w:sz w:val="27"/>
          <w:szCs w:val="27"/>
        </w:rPr>
        <w:t>sljedivost</w:t>
      </w:r>
      <w:proofErr w:type="spellEnd"/>
      <w:r w:rsidRPr="008E5FAE">
        <w:rPr>
          <w:sz w:val="27"/>
          <w:szCs w:val="27"/>
        </w:rPr>
        <w:t>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(6) Licencirani izvođač iz stavka 5. ovoga članka obvezuje se uz presliku teretnog lista (popratnice) koju je izdao posjedovati preslike cjelokupne dokumentacije temeljem koje jamči </w:t>
      </w:r>
      <w:proofErr w:type="spellStart"/>
      <w:r w:rsidRPr="008E5FAE">
        <w:rPr>
          <w:sz w:val="27"/>
          <w:szCs w:val="27"/>
        </w:rPr>
        <w:t>sljedivost</w:t>
      </w:r>
      <w:proofErr w:type="spellEnd"/>
      <w:r w:rsidRPr="008E5FAE">
        <w:rPr>
          <w:sz w:val="27"/>
          <w:szCs w:val="27"/>
        </w:rPr>
        <w:t xml:space="preserve"> prometovanja drvnim sortimentima.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(7) Vlasnik drvnih sortimenata snosi troškove ponovnog premjeravanja i obilježavanja te izdavanja novog teretnog lista (popratnice).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</w:p>
    <w:p w:rsidR="00A36A7F" w:rsidRPr="008E5FAE" w:rsidRDefault="00A36A7F" w:rsidP="009367E8">
      <w:pPr>
        <w:pStyle w:val="Naslov1"/>
      </w:pPr>
      <w:r w:rsidRPr="008E5FAE">
        <w:lastRenderedPageBreak/>
        <w:t xml:space="preserve">V. ŠUMSKI RED 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31.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(1) Šumski red su svi postupci i radnje koji se obavljaju u sastojini, radi osiguranja redovnog gospodarenja šumom, a posebno radi njenoga uzgajanja, zaštite od požara, biljnih bolesti i štetnika, kao i ostvarivanja svih općekorisnih funkcija šuma te očuvanja </w:t>
      </w:r>
      <w:proofErr w:type="spellStart"/>
      <w:r w:rsidRPr="008E5FAE">
        <w:rPr>
          <w:sz w:val="27"/>
          <w:szCs w:val="27"/>
        </w:rPr>
        <w:t>bioraznolikosti</w:t>
      </w:r>
      <w:proofErr w:type="spellEnd"/>
      <w:r w:rsidRPr="008E5FAE">
        <w:rPr>
          <w:sz w:val="27"/>
          <w:szCs w:val="27"/>
        </w:rPr>
        <w:t>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(2) Šumski red dužne su uspostaviti i održavati pravne osobe koje gospodare odnosno upravljaju šumama u državnom vlasništvu, a za šume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privatni </w:t>
      </w:r>
      <w:proofErr w:type="spellStart"/>
      <w:r w:rsidRPr="008E5FAE">
        <w:rPr>
          <w:sz w:val="27"/>
          <w:szCs w:val="27"/>
        </w:rPr>
        <w:t>šumoposjednici</w:t>
      </w:r>
      <w:proofErr w:type="spellEnd"/>
      <w:r w:rsidRPr="008E5FAE">
        <w:rPr>
          <w:sz w:val="27"/>
          <w:szCs w:val="27"/>
        </w:rPr>
        <w:t>, u pravilu tijekom provođenja radova gospodarenja šumama a najkasnije u roku 3 mjeseca po završetku navedenih radova.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 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32.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(1) Prije početka sječe moraju se odrediti i obilježiti trase sekundarne šumske infrastrukture.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(2) Visina panjeva u sastojinama nakon sječe i izrade u nizinskim predjelima ne smije prelaziti jednu četvrtinu prsnog promjera odnosno jednu trećinu prsnog promjera na nagnutim terenima.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(3) Za izrađene drvne sortimente koji se ne stavljaju odmah u transport izvan šume, određuju se mjesta uskladištenja (pomoćna stovarišta).</w:t>
      </w: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both"/>
      </w:pP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  <w:rPr>
          <w:i/>
          <w:sz w:val="27"/>
          <w:szCs w:val="27"/>
        </w:rPr>
      </w:pPr>
      <w:r w:rsidRPr="008E5FAE">
        <w:rPr>
          <w:i/>
          <w:sz w:val="27"/>
          <w:szCs w:val="27"/>
        </w:rPr>
        <w:t>Vrijeme sječe, izrade, izvoza, iznošenja i privlačenja (pridobivanja drva) 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 xml:space="preserve">Članak 33.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Vrijeme sječe, izrade, izvoza, iznošenja i privlačenja (pridobivanje drva) određuje se šumskogospodarskim planovima, a utvrđuje se kako slijedi: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a) u jednodobnim sastojinama u kojima se obavljaju oplodne sječe (</w:t>
      </w:r>
      <w:proofErr w:type="spellStart"/>
      <w:r w:rsidRPr="008E5FAE">
        <w:rPr>
          <w:sz w:val="27"/>
          <w:szCs w:val="27"/>
        </w:rPr>
        <w:t>naplodni</w:t>
      </w:r>
      <w:proofErr w:type="spellEnd"/>
      <w:r w:rsidRPr="008E5FAE">
        <w:rPr>
          <w:sz w:val="27"/>
          <w:szCs w:val="27"/>
        </w:rPr>
        <w:t xml:space="preserve">, naknadni i </w:t>
      </w:r>
      <w:proofErr w:type="spellStart"/>
      <w:r w:rsidRPr="008E5FAE">
        <w:rPr>
          <w:sz w:val="27"/>
          <w:szCs w:val="27"/>
        </w:rPr>
        <w:t>dovršni</w:t>
      </w:r>
      <w:proofErr w:type="spellEnd"/>
      <w:r w:rsidRPr="008E5FAE">
        <w:rPr>
          <w:sz w:val="27"/>
          <w:szCs w:val="27"/>
        </w:rPr>
        <w:t xml:space="preserve"> </w:t>
      </w:r>
      <w:proofErr w:type="spellStart"/>
      <w:r w:rsidRPr="008E5FAE">
        <w:rPr>
          <w:sz w:val="27"/>
          <w:szCs w:val="27"/>
        </w:rPr>
        <w:t>sijek</w:t>
      </w:r>
      <w:proofErr w:type="spellEnd"/>
      <w:r w:rsidRPr="008E5FAE">
        <w:rPr>
          <w:sz w:val="27"/>
          <w:szCs w:val="27"/>
        </w:rPr>
        <w:t xml:space="preserve">) te u raznodobnim sastojinama u kojima se obavlja sječa skupina stabala po načelima oplodne sječe zabranjena je sječa, izrada i izvoz iz </w:t>
      </w:r>
      <w:proofErr w:type="spellStart"/>
      <w:r w:rsidRPr="008E5FAE">
        <w:rPr>
          <w:sz w:val="27"/>
          <w:szCs w:val="27"/>
        </w:rPr>
        <w:t>sječine</w:t>
      </w:r>
      <w:proofErr w:type="spellEnd"/>
      <w:r w:rsidRPr="008E5FAE">
        <w:rPr>
          <w:sz w:val="27"/>
          <w:szCs w:val="27"/>
        </w:rPr>
        <w:t xml:space="preserve"> za vrijeme trajanja vegetacije, u pravilu od 15. travnja do 30. rujna osim u sastojinama izloženim poplavama većih razmjera kada se isti radovi mogu obavljati najranije dva mjeseca nakon početka vegetacije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b) u raznodobnim sastojinama i jednodobnim sastojinama u kojima se obavlja sječa prethodnog prihoda i pripremni </w:t>
      </w:r>
      <w:proofErr w:type="spellStart"/>
      <w:r w:rsidRPr="008E5FAE">
        <w:rPr>
          <w:sz w:val="27"/>
          <w:szCs w:val="27"/>
        </w:rPr>
        <w:t>sijek</w:t>
      </w:r>
      <w:proofErr w:type="spellEnd"/>
      <w:r w:rsidRPr="008E5FAE">
        <w:rPr>
          <w:sz w:val="27"/>
          <w:szCs w:val="27"/>
        </w:rPr>
        <w:t>, zabranjeno je obaranje stabala u prva dva mjeseca od početka vegetacije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c) u </w:t>
      </w:r>
      <w:proofErr w:type="spellStart"/>
      <w:r w:rsidRPr="008E5FAE">
        <w:rPr>
          <w:sz w:val="27"/>
          <w:szCs w:val="27"/>
        </w:rPr>
        <w:t>prebornim</w:t>
      </w:r>
      <w:proofErr w:type="spellEnd"/>
      <w:r w:rsidRPr="008E5FAE">
        <w:rPr>
          <w:sz w:val="27"/>
          <w:szCs w:val="27"/>
        </w:rPr>
        <w:t xml:space="preserve"> sastojinama vrijeme sječe ovisi o vrsti drveća, nadmorskoj visini i klimatskim uvjetima svake gospodarske jedinice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d) u </w:t>
      </w:r>
      <w:proofErr w:type="spellStart"/>
      <w:r w:rsidRPr="008E5FAE">
        <w:rPr>
          <w:sz w:val="27"/>
          <w:szCs w:val="27"/>
        </w:rPr>
        <w:t>panjačama</w:t>
      </w:r>
      <w:proofErr w:type="spellEnd"/>
      <w:r w:rsidRPr="008E5FAE">
        <w:rPr>
          <w:sz w:val="27"/>
          <w:szCs w:val="27"/>
        </w:rPr>
        <w:t xml:space="preserve"> za koje se smjernicama gospodarenja i dalje određuje gospodarenje kao </w:t>
      </w:r>
      <w:proofErr w:type="spellStart"/>
      <w:r w:rsidRPr="008E5FAE">
        <w:rPr>
          <w:sz w:val="27"/>
          <w:szCs w:val="27"/>
        </w:rPr>
        <w:t>panjačama</w:t>
      </w:r>
      <w:proofErr w:type="spellEnd"/>
      <w:r w:rsidRPr="008E5FAE">
        <w:rPr>
          <w:sz w:val="27"/>
          <w:szCs w:val="27"/>
        </w:rPr>
        <w:t>, sječa se obavlja isključivo za vrijeme mirovanja vegetacije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lastRenderedPageBreak/>
        <w:t>e) resurekcijska sječa obavlja se samo za vrijeme mirovanja vegetacije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f) u kulturama i plantažama sječa se može obavljati tijekom cijele godine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g) u urbanim šumama sječa opasnih stabala se može obavljati tijekom cijele godine.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  <w:rPr>
          <w:sz w:val="27"/>
          <w:szCs w:val="27"/>
        </w:rPr>
      </w:pP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34.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(1) Pridobivanje drvnih sortimenata iz </w:t>
      </w:r>
      <w:proofErr w:type="spellStart"/>
      <w:r w:rsidRPr="008E5FAE">
        <w:rPr>
          <w:sz w:val="27"/>
          <w:szCs w:val="27"/>
        </w:rPr>
        <w:t>sječine</w:t>
      </w:r>
      <w:proofErr w:type="spellEnd"/>
      <w:r w:rsidRPr="008E5FAE">
        <w:rPr>
          <w:sz w:val="27"/>
          <w:szCs w:val="27"/>
        </w:rPr>
        <w:t xml:space="preserve"> obavlja se na način da se postigne maksimalna zaštita pomlatka te zaštita preostalih, stojećih stabala u </w:t>
      </w:r>
      <w:proofErr w:type="spellStart"/>
      <w:r w:rsidRPr="008E5FAE">
        <w:rPr>
          <w:sz w:val="27"/>
          <w:szCs w:val="27"/>
        </w:rPr>
        <w:t>sječini</w:t>
      </w:r>
      <w:proofErr w:type="spellEnd"/>
      <w:r w:rsidRPr="008E5FAE">
        <w:rPr>
          <w:sz w:val="27"/>
          <w:szCs w:val="27"/>
        </w:rPr>
        <w:t>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(2) Kad se prilikom pridobivanja drva, iz krošnje oborenog stabla, ne izrađuju manje vrijedni sortimenti, obavezno je okresati grane i rasporediti ih po površini u skladu s odredbom stavka 1. ovoga članka. 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35.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Šumske prosjeke, traktorski putovi, mostovi, propusti, šumske i protupožarne prometnice, odvodni kanali, izvori pitke vode i zaštitne ograde za sprečavanje šteta od divljači moraju se sanirati najkasnije u roku šest mjeseci od obavljene sječe i izrade odnosno primarnog transporta drvnih sortimenata.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 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36.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(1) Izrađeni drvni sortimenti crnogorice koji se nalaze u </w:t>
      </w:r>
      <w:proofErr w:type="spellStart"/>
      <w:r w:rsidRPr="008E5FAE">
        <w:rPr>
          <w:sz w:val="27"/>
          <w:szCs w:val="27"/>
        </w:rPr>
        <w:t>sječini</w:t>
      </w:r>
      <w:proofErr w:type="spellEnd"/>
      <w:r w:rsidRPr="008E5FAE">
        <w:rPr>
          <w:sz w:val="27"/>
          <w:szCs w:val="27"/>
        </w:rPr>
        <w:t xml:space="preserve"> ili na pomoćnom stovarištu u razdoblju od 25. veljače do 1. rujna, mogu se </w:t>
      </w:r>
      <w:proofErr w:type="spellStart"/>
      <w:r w:rsidRPr="008E5FAE">
        <w:rPr>
          <w:sz w:val="27"/>
          <w:szCs w:val="27"/>
        </w:rPr>
        <w:t>okorati</w:t>
      </w:r>
      <w:proofErr w:type="spellEnd"/>
      <w:r w:rsidRPr="008E5FAE">
        <w:rPr>
          <w:sz w:val="27"/>
          <w:szCs w:val="27"/>
        </w:rPr>
        <w:t xml:space="preserve"> ili tretirati dozvoljenim zaštitnim sredstvima radi sprječavanja razvoja potkornjaka.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>(2) Grane, neiskorišteni dijelovi posječenih stabala i oguljena kora nastala od izrađenih drvnih sortimenata moraju se složiti tako da ne smetaju razvoju pomlatka.</w:t>
      </w:r>
    </w:p>
    <w:p w:rsidR="00A36A7F" w:rsidRPr="008E5FAE" w:rsidRDefault="00A36A7F" w:rsidP="00A36A7F">
      <w:pPr>
        <w:pStyle w:val="t-11-9-sred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 </w:t>
      </w:r>
    </w:p>
    <w:p w:rsidR="00A36A7F" w:rsidRPr="008E5FAE" w:rsidRDefault="00A36A7F" w:rsidP="009367E8">
      <w:pPr>
        <w:pStyle w:val="Naslov1"/>
      </w:pPr>
      <w:r w:rsidRPr="008E5FAE">
        <w:t>VI. PRIJELAZNE I ZAVRŠNE ODREDBE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37.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(1) Obrasci popratnica propisani Pravilnikom o doznaci stabala, obilježavanju drvnih sortimenata, popratnici i šumskom redu (»Narodne novine«, broj 17/15 i 57/17), mogu se koristiti najduže 6 mjeseci od dana stupanja na snagu ovoga Pravilnika.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(2) Ako se podaci sadržani u obrascima koji su prilog ovoga Pravilnika unose u terensko računalo odnosno ispisuju u obliku računalnog ispisa takvi podaci moraju biti identičnog sadržaja. 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(3) Licencirani izvoditelji su dužni kontrolne čekiće izrađene sukladno odredbama ranije važećih pravilnika dostaviti Komori radi uništenja istih u roku tri mjeseca od stupanja na snagu ovoga Pravilnika.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lastRenderedPageBreak/>
        <w:t xml:space="preserve">(4) Postupak izrade i izdavanja žigova čekića, istovjetnih faksimila žigova, obrazaca teretnih listova (popratnica) i identifikacijskih pločica za male i srednje privatne </w:t>
      </w:r>
      <w:proofErr w:type="spellStart"/>
      <w:r w:rsidRPr="008E5FAE">
        <w:rPr>
          <w:sz w:val="27"/>
          <w:szCs w:val="27"/>
        </w:rPr>
        <w:t>šumoposjednike</w:t>
      </w:r>
      <w:proofErr w:type="spellEnd"/>
      <w:r w:rsidRPr="008E5FAE">
        <w:rPr>
          <w:sz w:val="27"/>
          <w:szCs w:val="27"/>
        </w:rPr>
        <w:t xml:space="preserve"> Komora uređuje internim aktom</w:t>
      </w:r>
      <w:r w:rsidRPr="008E5FAE">
        <w:t>.</w:t>
      </w:r>
      <w:r w:rsidRPr="008E5FAE">
        <w:rPr>
          <w:sz w:val="27"/>
          <w:szCs w:val="27"/>
        </w:rPr>
        <w:t xml:space="preserve">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(5) Odredbe članka 21. stavka 3. ovoga Pravilnika primjenjuje se do 1. siječnja 2021. godine.</w:t>
      </w:r>
    </w:p>
    <w:p w:rsidR="00A36A7F" w:rsidRPr="008E5FAE" w:rsidRDefault="00A36A7F" w:rsidP="00A36A7F">
      <w:pPr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 w:rsidRPr="008E5FAE">
        <w:rPr>
          <w:rFonts w:ascii="Times New Roman" w:eastAsia="Times New Roman" w:hAnsi="Times New Roman"/>
          <w:sz w:val="27"/>
          <w:szCs w:val="27"/>
        </w:rPr>
        <w:t xml:space="preserve">(6) U slučaju poduzimanja mjera za sprječavanje širenja i suzbijanje štetnog organizma sukladno posebnom propisu radi zaštite javnog interesa, za drvne sortimente s površina u privatnom vlasništvu/posjedu na kojima je izvršena doznaka stabala od strane licenciranog izvoditelja, a bez prethodno podnesenog Zahtjeva, privatni </w:t>
      </w:r>
      <w:proofErr w:type="spellStart"/>
      <w:r w:rsidRPr="008E5FAE">
        <w:rPr>
          <w:rFonts w:ascii="Times New Roman" w:eastAsia="Times New Roman" w:hAnsi="Times New Roman"/>
          <w:sz w:val="27"/>
          <w:szCs w:val="27"/>
        </w:rPr>
        <w:t>šumoposjednik</w:t>
      </w:r>
      <w:proofErr w:type="spellEnd"/>
      <w:r w:rsidRPr="008E5FAE">
        <w:rPr>
          <w:rFonts w:ascii="Times New Roman" w:eastAsia="Times New Roman" w:hAnsi="Times New Roman"/>
          <w:sz w:val="27"/>
          <w:szCs w:val="27"/>
        </w:rPr>
        <w:t xml:space="preserve">  je dužan Ministarstvu podnijeti Zahtjev TL. 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</w:pPr>
      <w:r w:rsidRPr="008E5FAE">
        <w:rPr>
          <w:sz w:val="27"/>
          <w:szCs w:val="27"/>
        </w:rPr>
        <w:t xml:space="preserve">(7) U slučaju poduzimanja mjera za sprječavanje širenja i suzbijanje štetnog organizma sukladno posebnom propisu radi zaštite javnog interesa, šumski red u šumama privatnih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dužna je uspostaviti pravna osoba koja je provodila naređene mjere.</w:t>
      </w:r>
    </w:p>
    <w:p w:rsidR="00A36A7F" w:rsidRPr="008E5FAE" w:rsidRDefault="00A36A7F" w:rsidP="00A36A7F">
      <w:pPr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Članak 38.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 xml:space="preserve">Stupanjem na snagu ovoga Pravilnika prestaje važiti Pravilnik o doznaci stabala, obilježavanju drvnih sortimenata, popratnici i šumskom redu („Narodne novine“, br. 17/15 i 57/17) i Pravilnik o uvjetima i mjerilima za odobrenje opsega nužne doznake stabala u šumama </w:t>
      </w:r>
      <w:proofErr w:type="spellStart"/>
      <w:r w:rsidRPr="008E5FAE">
        <w:rPr>
          <w:sz w:val="27"/>
          <w:szCs w:val="27"/>
        </w:rPr>
        <w:t>šumoposjednika</w:t>
      </w:r>
      <w:proofErr w:type="spellEnd"/>
      <w:r w:rsidRPr="008E5FAE">
        <w:rPr>
          <w:sz w:val="27"/>
          <w:szCs w:val="27"/>
        </w:rPr>
        <w:t xml:space="preserve"> („Narodne novine“, broj 135/14). 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</w:pPr>
      <w:r w:rsidRPr="008E5FAE">
        <w:rPr>
          <w:sz w:val="27"/>
          <w:szCs w:val="27"/>
        </w:rPr>
        <w:t> 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  <w:rPr>
          <w:sz w:val="27"/>
          <w:szCs w:val="27"/>
        </w:rPr>
      </w:pPr>
      <w:r w:rsidRPr="008E5FAE">
        <w:rPr>
          <w:sz w:val="27"/>
          <w:szCs w:val="27"/>
        </w:rPr>
        <w:t>Članak 39.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rPr>
          <w:sz w:val="27"/>
          <w:szCs w:val="27"/>
        </w:rPr>
      </w:pPr>
      <w:r w:rsidRPr="008E5FAE">
        <w:rPr>
          <w:sz w:val="27"/>
          <w:szCs w:val="27"/>
        </w:rPr>
        <w:t>Prilozi od 1 do 11 tiskani su uz ovaj Pravilnik i njegov su sastavni dio.</w:t>
      </w: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rPr>
          <w:sz w:val="27"/>
          <w:szCs w:val="27"/>
        </w:rPr>
      </w:pPr>
    </w:p>
    <w:p w:rsidR="00A36A7F" w:rsidRPr="008E5FAE" w:rsidRDefault="00A36A7F" w:rsidP="00A36A7F">
      <w:pPr>
        <w:pStyle w:val="clanak"/>
        <w:spacing w:before="0" w:beforeAutospacing="0" w:after="0" w:afterAutospacing="0" w:line="360" w:lineRule="auto"/>
        <w:jc w:val="center"/>
        <w:rPr>
          <w:sz w:val="27"/>
          <w:szCs w:val="27"/>
        </w:rPr>
      </w:pPr>
      <w:r w:rsidRPr="008E5FAE">
        <w:rPr>
          <w:sz w:val="27"/>
          <w:szCs w:val="27"/>
        </w:rPr>
        <w:t>Članak 40.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8E5FAE">
        <w:rPr>
          <w:sz w:val="27"/>
          <w:szCs w:val="27"/>
        </w:rPr>
        <w:t>Ovaj Pravilnik stupa na snagu osmoga dana od dana objave u „Narodnim novinama“.</w:t>
      </w:r>
    </w:p>
    <w:p w:rsidR="00A36A7F" w:rsidRPr="008E5FAE" w:rsidRDefault="00A36A7F" w:rsidP="00A36A7F">
      <w:pPr>
        <w:pStyle w:val="t-9-8"/>
        <w:spacing w:before="0" w:beforeAutospacing="0" w:after="0" w:afterAutospacing="0" w:line="276" w:lineRule="auto"/>
        <w:jc w:val="both"/>
        <w:rPr>
          <w:sz w:val="27"/>
          <w:szCs w:val="27"/>
        </w:rPr>
      </w:pPr>
    </w:p>
    <w:p w:rsidR="00A36A7F" w:rsidRPr="008E5FAE" w:rsidRDefault="00A36A7F" w:rsidP="00A36A7F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  <w:r w:rsidRPr="008E5FAE">
        <w:rPr>
          <w:rFonts w:ascii="Times New Roman" w:eastAsia="Times New Roman" w:hAnsi="Times New Roman"/>
          <w:sz w:val="27"/>
          <w:szCs w:val="27"/>
        </w:rPr>
        <w:t>KLASA:</w:t>
      </w:r>
    </w:p>
    <w:p w:rsidR="00A36A7F" w:rsidRPr="008E5FAE" w:rsidRDefault="00A36A7F" w:rsidP="00A36A7F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  <w:r w:rsidRPr="008E5FAE">
        <w:rPr>
          <w:rFonts w:ascii="Times New Roman" w:eastAsia="Times New Roman" w:hAnsi="Times New Roman"/>
          <w:sz w:val="27"/>
          <w:szCs w:val="27"/>
        </w:rPr>
        <w:t>URBROJ:</w:t>
      </w:r>
    </w:p>
    <w:p w:rsidR="00A36A7F" w:rsidRPr="008E5FAE" w:rsidRDefault="00A36A7F" w:rsidP="00A36A7F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  <w:r w:rsidRPr="008E5FAE">
        <w:rPr>
          <w:rFonts w:ascii="Times New Roman" w:eastAsia="Times New Roman" w:hAnsi="Times New Roman"/>
          <w:sz w:val="27"/>
          <w:szCs w:val="27"/>
        </w:rPr>
        <w:t>Zagreb,</w:t>
      </w: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jc w:val="both"/>
      </w:pP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ind w:firstLine="3969"/>
        <w:jc w:val="center"/>
        <w:rPr>
          <w:b/>
        </w:rPr>
      </w:pPr>
      <w:r w:rsidRPr="008E5FAE">
        <w:rPr>
          <w:b/>
        </w:rPr>
        <w:t>Potpredsjednik Vlade Republike Hrvatske</w:t>
      </w: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ind w:firstLine="3969"/>
        <w:jc w:val="center"/>
        <w:rPr>
          <w:b/>
        </w:rPr>
      </w:pPr>
      <w:r w:rsidRPr="008E5FAE">
        <w:rPr>
          <w:b/>
        </w:rPr>
        <w:t>i ministar poljoprivrede</w:t>
      </w:r>
    </w:p>
    <w:p w:rsidR="00A36A7F" w:rsidRPr="008E5FAE" w:rsidRDefault="00A36A7F" w:rsidP="00A36A7F">
      <w:pPr>
        <w:pStyle w:val="t-9-8"/>
        <w:spacing w:before="0" w:beforeAutospacing="0" w:after="0" w:afterAutospacing="0" w:line="360" w:lineRule="auto"/>
        <w:ind w:firstLine="3969"/>
        <w:jc w:val="center"/>
      </w:pPr>
      <w:r w:rsidRPr="008E5FAE">
        <w:t xml:space="preserve">Tomislav </w:t>
      </w:r>
      <w:proofErr w:type="spellStart"/>
      <w:r w:rsidRPr="008E5FAE">
        <w:t>Tolušić</w:t>
      </w:r>
      <w:proofErr w:type="spellEnd"/>
      <w:r w:rsidRPr="008E5FAE">
        <w:t xml:space="preserve">, dipl. </w:t>
      </w:r>
      <w:proofErr w:type="spellStart"/>
      <w:r w:rsidRPr="008E5FAE">
        <w:t>iur</w:t>
      </w:r>
      <w:proofErr w:type="spellEnd"/>
      <w:r w:rsidRPr="008E5FAE">
        <w:t>.</w:t>
      </w:r>
    </w:p>
    <w:p w:rsidR="00A36A7F" w:rsidRPr="008E5FAE" w:rsidRDefault="00A36A7F" w:rsidP="00A36A7F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A36A7F" w:rsidRDefault="00A36A7F" w:rsidP="00A36A7F">
      <w:pPr>
        <w:spacing w:after="0"/>
        <w:rPr>
          <w:rFonts w:ascii="Times New Roman" w:eastAsia="Times New Roman" w:hAnsi="Times New Roman"/>
          <w:sz w:val="27"/>
          <w:szCs w:val="27"/>
        </w:rPr>
      </w:pPr>
    </w:p>
    <w:p w:rsidR="00A36A7F" w:rsidRDefault="00A36A7F" w:rsidP="00A36A7F">
      <w:pPr>
        <w:spacing w:after="0"/>
        <w:rPr>
          <w:rFonts w:ascii="Times New Roman" w:eastAsia="Times New Roman" w:hAnsi="Times New Roman"/>
          <w:sz w:val="27"/>
          <w:szCs w:val="27"/>
        </w:rPr>
      </w:pPr>
    </w:p>
    <w:p w:rsidR="00A36A7F" w:rsidRPr="008E5FAE" w:rsidRDefault="00A36A7F" w:rsidP="009367E8">
      <w:pPr>
        <w:pStyle w:val="Naslov1"/>
        <w:rPr>
          <w:rFonts w:eastAsia="Times New Roman"/>
        </w:rPr>
      </w:pPr>
      <w:r>
        <w:rPr>
          <w:rFonts w:eastAsia="Times New Roman"/>
        </w:rPr>
        <w:lastRenderedPageBreak/>
        <w:t>Prilog 1.</w:t>
      </w:r>
    </w:p>
    <w:p w:rsidR="00A36A7F" w:rsidRPr="008E5FAE" w:rsidRDefault="00A36A7F" w:rsidP="00A36A7F">
      <w:pPr>
        <w:spacing w:after="0"/>
        <w:ind w:left="360"/>
        <w:rPr>
          <w:rFonts w:ascii="Times New Roman" w:eastAsia="Times New Roman" w:hAnsi="Times New Roman"/>
          <w:sz w:val="27"/>
          <w:szCs w:val="27"/>
        </w:rPr>
      </w:pPr>
    </w:p>
    <w:p w:rsidR="007A4078" w:rsidRDefault="00DD6F12">
      <w:r>
        <w:rPr>
          <w:noProof/>
          <w:lang w:eastAsia="hr-HR"/>
        </w:rPr>
        <w:drawing>
          <wp:inline distT="0" distB="0" distL="0" distR="0" wp14:anchorId="13C64656" wp14:editId="6270CED8">
            <wp:extent cx="4638675" cy="7477125"/>
            <wp:effectExtent l="0" t="0" r="9525" b="952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F12" w:rsidRDefault="00DD6F12"/>
    <w:p w:rsidR="008B7760" w:rsidRDefault="008B7760"/>
    <w:p w:rsidR="00A36A7F" w:rsidRDefault="00A36A7F" w:rsidP="009367E8">
      <w:pPr>
        <w:pStyle w:val="Naslov1"/>
      </w:pPr>
      <w:r>
        <w:lastRenderedPageBreak/>
        <w:t>Prilog 2.</w:t>
      </w:r>
    </w:p>
    <w:p w:rsidR="00A36A7F" w:rsidRDefault="00DD6F12">
      <w:r>
        <w:rPr>
          <w:noProof/>
          <w:lang w:eastAsia="hr-HR"/>
        </w:rPr>
        <w:drawing>
          <wp:inline distT="0" distB="0" distL="0" distR="0" wp14:anchorId="00060D32" wp14:editId="210BDC64">
            <wp:extent cx="4895850" cy="6858000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F12" w:rsidRDefault="00DD6F12">
      <w:r>
        <w:rPr>
          <w:noProof/>
          <w:lang w:eastAsia="hr-HR"/>
        </w:rPr>
        <w:lastRenderedPageBreak/>
        <w:drawing>
          <wp:inline distT="0" distB="0" distL="0" distR="0" wp14:anchorId="70321174" wp14:editId="533E17BF">
            <wp:extent cx="5760720" cy="354457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F12" w:rsidRDefault="00DD6F12">
      <w:r>
        <w:rPr>
          <w:noProof/>
          <w:lang w:eastAsia="hr-HR"/>
        </w:rPr>
        <w:drawing>
          <wp:inline distT="0" distB="0" distL="0" distR="0" wp14:anchorId="58012A5B" wp14:editId="7C8C6FD7">
            <wp:extent cx="5760720" cy="2776855"/>
            <wp:effectExtent l="0" t="0" r="0" b="444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A7F" w:rsidRDefault="00A36A7F" w:rsidP="009367E8">
      <w:pPr>
        <w:pStyle w:val="Naslov1"/>
      </w:pPr>
      <w:r>
        <w:lastRenderedPageBreak/>
        <w:t>Prilog 3.</w:t>
      </w:r>
    </w:p>
    <w:p w:rsidR="00A36A7F" w:rsidRDefault="00DD6F12" w:rsidP="00A36A7F">
      <w:r>
        <w:rPr>
          <w:noProof/>
          <w:lang w:eastAsia="hr-HR"/>
        </w:rPr>
        <w:drawing>
          <wp:inline distT="0" distB="0" distL="0" distR="0" wp14:anchorId="10266D71" wp14:editId="2B26372C">
            <wp:extent cx="5760720" cy="4062095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60" w:rsidRDefault="008B7760" w:rsidP="00A36A7F"/>
    <w:p w:rsidR="008B7760" w:rsidRDefault="008B7760" w:rsidP="00A36A7F"/>
    <w:p w:rsidR="008B7760" w:rsidRDefault="008B7760" w:rsidP="00A36A7F"/>
    <w:p w:rsidR="008B7760" w:rsidRDefault="008B7760" w:rsidP="00A36A7F"/>
    <w:p w:rsidR="00A36A7F" w:rsidRDefault="00A36A7F" w:rsidP="009367E8">
      <w:pPr>
        <w:pStyle w:val="Naslov1"/>
      </w:pPr>
      <w:r>
        <w:lastRenderedPageBreak/>
        <w:t>Prilog 4.</w:t>
      </w:r>
    </w:p>
    <w:p w:rsidR="00A36A7F" w:rsidRDefault="00A36A7F" w:rsidP="00A36A7F">
      <w:r>
        <w:rPr>
          <w:noProof/>
          <w:lang w:eastAsia="hr-HR"/>
        </w:rPr>
        <w:drawing>
          <wp:inline distT="0" distB="0" distL="0" distR="0" wp14:anchorId="19ABC1B2" wp14:editId="483EF9FD">
            <wp:extent cx="5561243" cy="7315200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7694" cy="733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60" w:rsidRDefault="00A36A7F" w:rsidP="00A36A7F">
      <w:r>
        <w:t xml:space="preserve"> </w:t>
      </w:r>
    </w:p>
    <w:p w:rsidR="008B7760" w:rsidRDefault="008B7760" w:rsidP="00A36A7F"/>
    <w:p w:rsidR="008B7760" w:rsidRDefault="008B7760" w:rsidP="00A36A7F"/>
    <w:p w:rsidR="00A36A7F" w:rsidRDefault="00A36A7F" w:rsidP="009367E8">
      <w:pPr>
        <w:pStyle w:val="Naslov1"/>
      </w:pPr>
      <w:r>
        <w:lastRenderedPageBreak/>
        <w:t>Prilog 5.</w:t>
      </w:r>
    </w:p>
    <w:p w:rsidR="008B7760" w:rsidRDefault="00C51F15" w:rsidP="00A36A7F">
      <w:pPr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 wp14:anchorId="4EB8F632" wp14:editId="403BCEDB">
            <wp:extent cx="5084064" cy="7034248"/>
            <wp:effectExtent l="0" t="0" r="254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6996" cy="70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1F15">
        <w:rPr>
          <w:noProof/>
          <w:lang w:eastAsia="hr-HR"/>
        </w:rPr>
        <w:t xml:space="preserve"> </w:t>
      </w:r>
    </w:p>
    <w:p w:rsidR="008B7760" w:rsidRDefault="00C51F15" w:rsidP="00A36A7F">
      <w:pPr>
        <w:rPr>
          <w:noProof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5D0CC2CB" wp14:editId="655EB540">
            <wp:extent cx="4829175" cy="7172325"/>
            <wp:effectExtent l="0" t="0" r="9525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1F15">
        <w:rPr>
          <w:noProof/>
          <w:lang w:eastAsia="hr-HR"/>
        </w:rPr>
        <w:t xml:space="preserve"> </w:t>
      </w:r>
    </w:p>
    <w:p w:rsidR="00C51F15" w:rsidRDefault="00C51F15" w:rsidP="00A36A7F">
      <w:pPr>
        <w:rPr>
          <w:noProof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64FA28B4" wp14:editId="32B6ADC3">
            <wp:extent cx="4705350" cy="70675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60" w:rsidRDefault="008B7760" w:rsidP="00A36A7F">
      <w:pPr>
        <w:rPr>
          <w:noProof/>
          <w:lang w:eastAsia="hr-HR"/>
        </w:rPr>
      </w:pPr>
    </w:p>
    <w:p w:rsidR="008B7760" w:rsidRDefault="008B7760" w:rsidP="00A36A7F">
      <w:pPr>
        <w:rPr>
          <w:noProof/>
          <w:lang w:eastAsia="hr-HR"/>
        </w:rPr>
      </w:pPr>
    </w:p>
    <w:p w:rsidR="008B7760" w:rsidRDefault="008B7760" w:rsidP="00A36A7F">
      <w:pPr>
        <w:rPr>
          <w:noProof/>
          <w:lang w:eastAsia="hr-HR"/>
        </w:rPr>
      </w:pPr>
    </w:p>
    <w:p w:rsidR="008B7760" w:rsidRDefault="008B7760" w:rsidP="00A36A7F">
      <w:pPr>
        <w:rPr>
          <w:noProof/>
          <w:lang w:eastAsia="hr-HR"/>
        </w:rPr>
      </w:pPr>
    </w:p>
    <w:p w:rsidR="008B7760" w:rsidRDefault="008B7760" w:rsidP="00A36A7F">
      <w:pPr>
        <w:rPr>
          <w:noProof/>
          <w:lang w:eastAsia="hr-HR"/>
        </w:rPr>
      </w:pPr>
    </w:p>
    <w:p w:rsidR="00C51F15" w:rsidRDefault="00C51F15" w:rsidP="009367E8">
      <w:pPr>
        <w:pStyle w:val="Naslov1"/>
        <w:rPr>
          <w:noProof/>
          <w:lang w:eastAsia="hr-HR"/>
        </w:rPr>
      </w:pPr>
      <w:r>
        <w:rPr>
          <w:noProof/>
          <w:lang w:eastAsia="hr-HR"/>
        </w:rPr>
        <w:lastRenderedPageBreak/>
        <w:t>Prilog 6.</w:t>
      </w:r>
    </w:p>
    <w:p w:rsidR="00C51F15" w:rsidRDefault="00DD6F12" w:rsidP="00A36A7F">
      <w:r>
        <w:rPr>
          <w:noProof/>
          <w:lang w:eastAsia="hr-HR"/>
        </w:rPr>
        <w:drawing>
          <wp:inline distT="0" distB="0" distL="0" distR="0" wp14:anchorId="0A6498C7" wp14:editId="2AF16B0C">
            <wp:extent cx="5760720" cy="3961130"/>
            <wp:effectExtent l="0" t="0" r="0" b="127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F15" w:rsidRDefault="00C51F15" w:rsidP="009367E8">
      <w:pPr>
        <w:pStyle w:val="Naslov1"/>
      </w:pPr>
      <w:r>
        <w:t>Prilog 7.</w:t>
      </w:r>
    </w:p>
    <w:p w:rsidR="00C51F15" w:rsidRDefault="00DD6F12" w:rsidP="00A36A7F">
      <w:r>
        <w:rPr>
          <w:noProof/>
          <w:lang w:eastAsia="hr-HR"/>
        </w:rPr>
        <w:drawing>
          <wp:inline distT="0" distB="0" distL="0" distR="0" wp14:anchorId="60D797B7" wp14:editId="424340D2">
            <wp:extent cx="5760720" cy="3961130"/>
            <wp:effectExtent l="0" t="0" r="0" b="127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7E8" w:rsidRDefault="009367E8" w:rsidP="00A36A7F"/>
    <w:p w:rsidR="00C51F15" w:rsidRDefault="00C51F15" w:rsidP="009367E8">
      <w:pPr>
        <w:pStyle w:val="Naslov1"/>
      </w:pPr>
      <w:r>
        <w:t>Prilog 8.</w:t>
      </w:r>
    </w:p>
    <w:p w:rsidR="00C51F15" w:rsidRDefault="00DD6F12" w:rsidP="00A36A7F">
      <w:r>
        <w:rPr>
          <w:noProof/>
          <w:lang w:eastAsia="hr-HR"/>
        </w:rPr>
        <w:drawing>
          <wp:inline distT="0" distB="0" distL="0" distR="0" wp14:anchorId="612E3685" wp14:editId="2B15B54A">
            <wp:extent cx="4619625" cy="6962775"/>
            <wp:effectExtent l="0" t="0" r="9525" b="952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F15" w:rsidRDefault="00C51F15" w:rsidP="009367E8">
      <w:pPr>
        <w:pStyle w:val="Naslov1"/>
      </w:pPr>
      <w:r>
        <w:lastRenderedPageBreak/>
        <w:t>Prilog 9.</w:t>
      </w:r>
    </w:p>
    <w:p w:rsidR="00C51F15" w:rsidRDefault="00DD6F12" w:rsidP="00A36A7F">
      <w:r>
        <w:rPr>
          <w:noProof/>
          <w:lang w:eastAsia="hr-HR"/>
        </w:rPr>
        <w:drawing>
          <wp:inline distT="0" distB="0" distL="0" distR="0" wp14:anchorId="5C767FAD" wp14:editId="386028DB">
            <wp:extent cx="4143375" cy="6715125"/>
            <wp:effectExtent l="0" t="0" r="9525" b="952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F15" w:rsidRDefault="00C51F15" w:rsidP="009367E8">
      <w:pPr>
        <w:pStyle w:val="Naslov1"/>
      </w:pPr>
      <w:r>
        <w:lastRenderedPageBreak/>
        <w:t>Prilog 10.</w:t>
      </w:r>
    </w:p>
    <w:p w:rsidR="00C51F15" w:rsidRDefault="00DD6F12" w:rsidP="00A36A7F">
      <w:r>
        <w:rPr>
          <w:noProof/>
          <w:lang w:eastAsia="hr-HR"/>
        </w:rPr>
        <w:drawing>
          <wp:inline distT="0" distB="0" distL="0" distR="0" wp14:anchorId="447E8C2B" wp14:editId="1D3420B3">
            <wp:extent cx="5572125" cy="6877050"/>
            <wp:effectExtent l="0" t="0" r="9525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864B0D" w:rsidRDefault="00864B0D" w:rsidP="00A36A7F"/>
    <w:p w:rsidR="00864B0D" w:rsidRDefault="00864B0D" w:rsidP="00A36A7F"/>
    <w:p w:rsidR="00864B0D" w:rsidRDefault="00864B0D" w:rsidP="00A36A7F"/>
    <w:p w:rsidR="00864B0D" w:rsidRDefault="00864B0D" w:rsidP="00A36A7F"/>
    <w:p w:rsidR="00864B0D" w:rsidRDefault="00864B0D" w:rsidP="00A36A7F"/>
    <w:p w:rsidR="00C51F15" w:rsidRDefault="00C51F15" w:rsidP="009367E8">
      <w:pPr>
        <w:pStyle w:val="Naslov1"/>
      </w:pPr>
      <w:r>
        <w:lastRenderedPageBreak/>
        <w:t>Prilog 11.</w:t>
      </w:r>
    </w:p>
    <w:p w:rsidR="00C51F15" w:rsidRPr="00A36A7F" w:rsidRDefault="00C51F15" w:rsidP="00A36A7F">
      <w:r>
        <w:rPr>
          <w:noProof/>
          <w:lang w:eastAsia="hr-HR"/>
        </w:rPr>
        <w:drawing>
          <wp:inline distT="0" distB="0" distL="0" distR="0" wp14:anchorId="5D6BE7D4" wp14:editId="49EF9DF6">
            <wp:extent cx="4514850" cy="6562725"/>
            <wp:effectExtent l="0" t="0" r="0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F15" w:rsidRPr="00A36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04424"/>
    <w:multiLevelType w:val="hybridMultilevel"/>
    <w:tmpl w:val="76225294"/>
    <w:lvl w:ilvl="0" w:tplc="2E5AB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EC"/>
    <w:rsid w:val="007A4078"/>
    <w:rsid w:val="00864B0D"/>
    <w:rsid w:val="008B7760"/>
    <w:rsid w:val="009367E8"/>
    <w:rsid w:val="00A179B1"/>
    <w:rsid w:val="00A36A7F"/>
    <w:rsid w:val="00C51F15"/>
    <w:rsid w:val="00D512EC"/>
    <w:rsid w:val="00D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50AA7-B2B5-4EB5-89BC-D8E27B3B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A7F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A17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A36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b-na16">
    <w:name w:val="tb-na16"/>
    <w:basedOn w:val="Normal"/>
    <w:rsid w:val="00A36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anak">
    <w:name w:val="clanak"/>
    <w:basedOn w:val="Normal"/>
    <w:rsid w:val="00A36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-11-9-sred">
    <w:name w:val="t-11-9-sred"/>
    <w:basedOn w:val="Normal"/>
    <w:rsid w:val="00A36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anak-">
    <w:name w:val="clanak-"/>
    <w:basedOn w:val="Normal"/>
    <w:rsid w:val="00A36A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179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79B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A179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28</Pages>
  <Words>4534</Words>
  <Characters>25847</Characters>
  <Application>Microsoft Office Word</Application>
  <DocSecurity>0</DocSecurity>
  <Lines>215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Ministartstvo Poljoprivrede</Company>
  <LinksUpToDate>false</LinksUpToDate>
  <CharactersWithSpaces>30321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Genjga</dc:creator>
  <cp:keywords/>
  <dc:description/>
  <cp:lastModifiedBy>Blanka Genjga</cp:lastModifiedBy>
  <cp:revision>5</cp:revision>
  <dcterms:created xsi:type="dcterms:W3CDTF">2019-04-30T07:38:00Z</dcterms:created>
  <dcterms:modified xsi:type="dcterms:W3CDTF">2019-04-30T13:27:00Z</dcterms:modified>
</cp:coreProperties>
</file>