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DA16B" w14:textId="77777777" w:rsidR="00317EE7" w:rsidRPr="00CB4024" w:rsidRDefault="00317EE7" w:rsidP="00317EE7">
      <w:pPr>
        <w:spacing w:after="120"/>
      </w:pPr>
    </w:p>
    <w:p w14:paraId="786630E0" w14:textId="5BF72F41" w:rsidR="00317EE7" w:rsidRPr="00D55E4A" w:rsidRDefault="00317EE7" w:rsidP="00317EE7">
      <w:pPr>
        <w:tabs>
          <w:tab w:val="left" w:pos="3675"/>
        </w:tabs>
        <w:spacing w:after="120"/>
        <w:ind w:left="3540" w:hanging="3540"/>
        <w:jc w:val="center"/>
        <w:rPr>
          <w:b/>
          <w:bCs/>
        </w:rPr>
      </w:pPr>
      <w:r w:rsidRPr="00D55E4A">
        <w:rPr>
          <w:b/>
          <w:bCs/>
        </w:rPr>
        <w:t xml:space="preserve">MINISTARSTVO ZAŠTITE OKOLIŠA I </w:t>
      </w:r>
      <w:r w:rsidR="00B574DB" w:rsidRPr="00D55E4A">
        <w:rPr>
          <w:b/>
          <w:bCs/>
        </w:rPr>
        <w:t>ENERGETIKE</w:t>
      </w:r>
    </w:p>
    <w:p w14:paraId="2FC08B2F" w14:textId="77777777" w:rsidR="00317EE7" w:rsidRPr="00D55E4A" w:rsidRDefault="00317EE7" w:rsidP="00317EE7">
      <w:pPr>
        <w:spacing w:after="120"/>
      </w:pPr>
    </w:p>
    <w:p w14:paraId="3DC3488D" w14:textId="77777777" w:rsidR="00317EE7" w:rsidRPr="00D55E4A" w:rsidRDefault="00317EE7" w:rsidP="00317EE7">
      <w:pPr>
        <w:tabs>
          <w:tab w:val="left" w:pos="3810"/>
        </w:tabs>
        <w:spacing w:after="120"/>
      </w:pPr>
    </w:p>
    <w:p w14:paraId="5A00474D" w14:textId="77777777" w:rsidR="00317EE7" w:rsidRPr="00D55E4A" w:rsidRDefault="00317EE7" w:rsidP="00317EE7">
      <w:pPr>
        <w:tabs>
          <w:tab w:val="left" w:pos="3810"/>
        </w:tabs>
        <w:spacing w:after="120"/>
      </w:pPr>
    </w:p>
    <w:p w14:paraId="57BC3E65" w14:textId="0C33101A" w:rsidR="00317EE7" w:rsidRPr="00D55E4A" w:rsidRDefault="00317EE7" w:rsidP="00317EE7">
      <w:pPr>
        <w:spacing w:after="120"/>
        <w:jc w:val="center"/>
        <w:rPr>
          <w:b/>
          <w:bCs/>
        </w:rPr>
      </w:pPr>
      <w:r w:rsidRPr="00D55E4A">
        <w:rPr>
          <w:b/>
          <w:bCs/>
        </w:rPr>
        <w:tab/>
      </w:r>
      <w:r w:rsidRPr="00D55E4A">
        <w:rPr>
          <w:b/>
          <w:bCs/>
        </w:rPr>
        <w:tab/>
      </w:r>
      <w:r w:rsidRPr="00D55E4A">
        <w:rPr>
          <w:b/>
          <w:bCs/>
        </w:rPr>
        <w:tab/>
      </w:r>
      <w:r w:rsidRPr="00D55E4A">
        <w:rPr>
          <w:b/>
          <w:bCs/>
        </w:rPr>
        <w:tab/>
      </w:r>
      <w:r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421665" w:rsidRPr="00D55E4A">
        <w:rPr>
          <w:b/>
          <w:bCs/>
        </w:rPr>
        <w:tab/>
      </w:r>
      <w:r w:rsidR="00D95552" w:rsidRPr="00D55E4A">
        <w:rPr>
          <w:b/>
          <w:bCs/>
        </w:rPr>
        <w:tab/>
      </w:r>
      <w:r w:rsidR="00D95552" w:rsidRPr="00D55E4A">
        <w:rPr>
          <w:b/>
          <w:bCs/>
        </w:rPr>
        <w:tab/>
      </w:r>
      <w:r w:rsidRPr="00D55E4A">
        <w:rPr>
          <w:b/>
          <w:bCs/>
        </w:rPr>
        <w:t>PRIJEDLOG</w:t>
      </w:r>
    </w:p>
    <w:p w14:paraId="6BB29855" w14:textId="77777777" w:rsidR="00317EE7" w:rsidRPr="00D55E4A" w:rsidRDefault="00317EE7" w:rsidP="00317EE7">
      <w:pPr>
        <w:spacing w:after="120"/>
        <w:jc w:val="center"/>
        <w:rPr>
          <w:b/>
          <w:bCs/>
        </w:rPr>
      </w:pPr>
    </w:p>
    <w:p w14:paraId="3D8AE772" w14:textId="77777777" w:rsidR="00317EE7" w:rsidRPr="00D55E4A" w:rsidRDefault="00317EE7" w:rsidP="00317EE7">
      <w:pPr>
        <w:spacing w:after="120"/>
        <w:jc w:val="center"/>
        <w:rPr>
          <w:b/>
          <w:bCs/>
        </w:rPr>
      </w:pPr>
    </w:p>
    <w:p w14:paraId="6D14AE17" w14:textId="77777777" w:rsidR="00317EE7" w:rsidRPr="00D55E4A" w:rsidRDefault="00317EE7" w:rsidP="00317EE7">
      <w:pPr>
        <w:spacing w:after="120"/>
        <w:jc w:val="center"/>
        <w:rPr>
          <w:b/>
          <w:bCs/>
        </w:rPr>
      </w:pPr>
    </w:p>
    <w:p w14:paraId="4D679347" w14:textId="77777777" w:rsidR="00317EE7" w:rsidRPr="00D55E4A" w:rsidRDefault="00317EE7" w:rsidP="00317EE7">
      <w:pPr>
        <w:spacing w:after="120"/>
        <w:jc w:val="center"/>
        <w:rPr>
          <w:b/>
          <w:bCs/>
        </w:rPr>
      </w:pPr>
    </w:p>
    <w:p w14:paraId="1989EC6D" w14:textId="7E058BB1" w:rsidR="00317EE7" w:rsidRPr="00D55E4A" w:rsidRDefault="00B574DB" w:rsidP="008A6693">
      <w:pPr>
        <w:jc w:val="center"/>
        <w:rPr>
          <w:b/>
          <w:bCs/>
        </w:rPr>
      </w:pPr>
      <w:r w:rsidRPr="00D55E4A">
        <w:rPr>
          <w:b/>
          <w:bCs/>
        </w:rPr>
        <w:t xml:space="preserve">ČETVRTO </w:t>
      </w:r>
      <w:r w:rsidR="00317EE7" w:rsidRPr="00D55E4A">
        <w:rPr>
          <w:b/>
          <w:bCs/>
        </w:rPr>
        <w:t>IZVJEŠĆE</w:t>
      </w:r>
    </w:p>
    <w:p w14:paraId="1924D1D5" w14:textId="77777777" w:rsidR="00143646" w:rsidRDefault="00317EE7" w:rsidP="008A6693">
      <w:pPr>
        <w:jc w:val="center"/>
        <w:rPr>
          <w:b/>
          <w:bCs/>
        </w:rPr>
      </w:pPr>
      <w:r w:rsidRPr="00D55E4A">
        <w:rPr>
          <w:b/>
          <w:bCs/>
        </w:rPr>
        <w:t xml:space="preserve">O PROVEDBI STOCKHOLMSKE KONVENCIJE O POSTOJANIM ORGANSKIM ONEČIŠĆUJUĆIM TVARIMA U REPUBLICI HRVATSKOJ ZA RAZDOBLJE </w:t>
      </w:r>
    </w:p>
    <w:p w14:paraId="5B3FDF12" w14:textId="1F444557" w:rsidR="00317EE7" w:rsidRPr="00D55E4A" w:rsidRDefault="00317EE7" w:rsidP="008A6693">
      <w:pPr>
        <w:jc w:val="center"/>
        <w:rPr>
          <w:b/>
          <w:bCs/>
        </w:rPr>
      </w:pPr>
      <w:r w:rsidRPr="00D55E4A">
        <w:rPr>
          <w:b/>
          <w:bCs/>
        </w:rPr>
        <w:t>SIJE</w:t>
      </w:r>
      <w:r w:rsidR="00CC0FE1" w:rsidRPr="00D55E4A">
        <w:rPr>
          <w:b/>
          <w:bCs/>
        </w:rPr>
        <w:t xml:space="preserve">ČANJ </w:t>
      </w:r>
      <w:r w:rsidR="00BD2139" w:rsidRPr="00D55E4A">
        <w:rPr>
          <w:b/>
          <w:bCs/>
        </w:rPr>
        <w:t>2015</w:t>
      </w:r>
      <w:r w:rsidR="00FE72CD" w:rsidRPr="00D55E4A">
        <w:rPr>
          <w:b/>
          <w:bCs/>
        </w:rPr>
        <w:t xml:space="preserve">. – </w:t>
      </w:r>
      <w:r w:rsidR="00CC0FE1" w:rsidRPr="00D55E4A">
        <w:rPr>
          <w:b/>
          <w:bCs/>
        </w:rPr>
        <w:t xml:space="preserve">PROSINAC </w:t>
      </w:r>
      <w:r w:rsidR="00BD2139" w:rsidRPr="00D55E4A">
        <w:rPr>
          <w:b/>
          <w:bCs/>
        </w:rPr>
        <w:t>2017</w:t>
      </w:r>
      <w:r w:rsidR="00CC0FE1" w:rsidRPr="00D55E4A">
        <w:rPr>
          <w:b/>
          <w:bCs/>
        </w:rPr>
        <w:t xml:space="preserve">. </w:t>
      </w:r>
      <w:r w:rsidR="00453FC9" w:rsidRPr="00D55E4A">
        <w:rPr>
          <w:b/>
          <w:bCs/>
        </w:rPr>
        <w:t>GODINE</w:t>
      </w:r>
    </w:p>
    <w:p w14:paraId="3C5DAEB3" w14:textId="77777777" w:rsidR="00317EE7" w:rsidRPr="00D55E4A" w:rsidRDefault="00317EE7" w:rsidP="00317EE7">
      <w:pPr>
        <w:tabs>
          <w:tab w:val="left" w:pos="3810"/>
        </w:tabs>
        <w:spacing w:after="120"/>
        <w:jc w:val="center"/>
        <w:rPr>
          <w:b/>
          <w:bCs/>
        </w:rPr>
      </w:pPr>
    </w:p>
    <w:p w14:paraId="7103D7D9" w14:textId="77777777" w:rsidR="00317EE7" w:rsidRPr="00D55E4A" w:rsidRDefault="00317EE7" w:rsidP="00317EE7">
      <w:pPr>
        <w:tabs>
          <w:tab w:val="left" w:pos="3810"/>
        </w:tabs>
        <w:spacing w:after="120"/>
        <w:jc w:val="center"/>
        <w:rPr>
          <w:b/>
          <w:bCs/>
        </w:rPr>
      </w:pPr>
    </w:p>
    <w:p w14:paraId="3B7CA355" w14:textId="77777777" w:rsidR="00317EE7" w:rsidRPr="00D55E4A" w:rsidRDefault="00317EE7" w:rsidP="00317EE7">
      <w:pPr>
        <w:tabs>
          <w:tab w:val="left" w:pos="3810"/>
        </w:tabs>
        <w:spacing w:after="120"/>
        <w:jc w:val="center"/>
        <w:rPr>
          <w:b/>
          <w:bCs/>
        </w:rPr>
      </w:pPr>
    </w:p>
    <w:p w14:paraId="3792C554" w14:textId="77777777" w:rsidR="00317EE7" w:rsidRPr="00D55E4A" w:rsidRDefault="00317EE7" w:rsidP="00317EE7">
      <w:pPr>
        <w:tabs>
          <w:tab w:val="left" w:pos="3810"/>
        </w:tabs>
        <w:spacing w:after="120"/>
        <w:jc w:val="center"/>
        <w:rPr>
          <w:b/>
          <w:bCs/>
        </w:rPr>
      </w:pPr>
    </w:p>
    <w:p w14:paraId="14A8EC01" w14:textId="77777777" w:rsidR="00317EE7" w:rsidRPr="00D55E4A" w:rsidRDefault="00317EE7" w:rsidP="00317EE7">
      <w:pPr>
        <w:tabs>
          <w:tab w:val="left" w:pos="3810"/>
        </w:tabs>
        <w:spacing w:after="120"/>
        <w:jc w:val="center"/>
        <w:rPr>
          <w:b/>
          <w:bCs/>
        </w:rPr>
      </w:pPr>
    </w:p>
    <w:p w14:paraId="2F729697" w14:textId="77777777" w:rsidR="00317EE7" w:rsidRPr="00D55E4A" w:rsidRDefault="00317EE7" w:rsidP="00317EE7">
      <w:pPr>
        <w:tabs>
          <w:tab w:val="left" w:pos="3810"/>
        </w:tabs>
        <w:spacing w:after="120"/>
        <w:jc w:val="center"/>
        <w:rPr>
          <w:b/>
          <w:bCs/>
        </w:rPr>
      </w:pPr>
    </w:p>
    <w:p w14:paraId="5A07E97C" w14:textId="77777777" w:rsidR="00317EE7" w:rsidRPr="00D55E4A" w:rsidRDefault="00317EE7" w:rsidP="00317EE7">
      <w:pPr>
        <w:tabs>
          <w:tab w:val="left" w:pos="3810"/>
        </w:tabs>
        <w:spacing w:after="120"/>
        <w:jc w:val="center"/>
        <w:rPr>
          <w:b/>
          <w:bCs/>
        </w:rPr>
      </w:pPr>
    </w:p>
    <w:p w14:paraId="7C951096" w14:textId="77777777" w:rsidR="00317EE7" w:rsidRPr="00D55E4A" w:rsidRDefault="00317EE7" w:rsidP="00317EE7">
      <w:pPr>
        <w:tabs>
          <w:tab w:val="left" w:pos="3810"/>
        </w:tabs>
        <w:spacing w:after="120"/>
        <w:jc w:val="center"/>
        <w:rPr>
          <w:b/>
          <w:bCs/>
        </w:rPr>
      </w:pPr>
    </w:p>
    <w:p w14:paraId="5BC5CC19" w14:textId="77777777" w:rsidR="00B417AE" w:rsidRPr="00D55E4A" w:rsidRDefault="00B417AE" w:rsidP="00317EE7">
      <w:pPr>
        <w:tabs>
          <w:tab w:val="left" w:pos="3810"/>
        </w:tabs>
        <w:spacing w:after="120"/>
        <w:jc w:val="center"/>
        <w:rPr>
          <w:b/>
          <w:bCs/>
        </w:rPr>
      </w:pPr>
    </w:p>
    <w:p w14:paraId="4E33C076" w14:textId="77777777" w:rsidR="00B417AE" w:rsidRPr="00D55E4A" w:rsidRDefault="00B417AE" w:rsidP="00317EE7">
      <w:pPr>
        <w:tabs>
          <w:tab w:val="left" w:pos="3810"/>
        </w:tabs>
        <w:spacing w:after="120"/>
        <w:jc w:val="center"/>
        <w:rPr>
          <w:b/>
          <w:bCs/>
        </w:rPr>
      </w:pPr>
    </w:p>
    <w:p w14:paraId="326B3F7E" w14:textId="77777777" w:rsidR="00B417AE" w:rsidRPr="00D55E4A" w:rsidRDefault="00B417AE" w:rsidP="00317EE7">
      <w:pPr>
        <w:tabs>
          <w:tab w:val="left" w:pos="3810"/>
        </w:tabs>
        <w:spacing w:after="120"/>
        <w:jc w:val="center"/>
        <w:rPr>
          <w:b/>
          <w:bCs/>
        </w:rPr>
      </w:pPr>
    </w:p>
    <w:p w14:paraId="576F8955" w14:textId="77777777" w:rsidR="00B417AE" w:rsidRPr="00D55E4A" w:rsidRDefault="00B417AE" w:rsidP="00317EE7">
      <w:pPr>
        <w:tabs>
          <w:tab w:val="left" w:pos="3810"/>
        </w:tabs>
        <w:spacing w:after="120"/>
        <w:jc w:val="center"/>
        <w:rPr>
          <w:b/>
          <w:bCs/>
        </w:rPr>
      </w:pPr>
    </w:p>
    <w:p w14:paraId="6CF4636F" w14:textId="77777777" w:rsidR="00B417AE" w:rsidRPr="00D55E4A" w:rsidRDefault="00B417AE" w:rsidP="00317EE7">
      <w:pPr>
        <w:tabs>
          <w:tab w:val="left" w:pos="3810"/>
        </w:tabs>
        <w:spacing w:after="120"/>
        <w:jc w:val="center"/>
        <w:rPr>
          <w:b/>
          <w:bCs/>
        </w:rPr>
      </w:pPr>
    </w:p>
    <w:p w14:paraId="76978631" w14:textId="77777777" w:rsidR="00B417AE" w:rsidRPr="00D55E4A" w:rsidRDefault="00B417AE" w:rsidP="00317EE7">
      <w:pPr>
        <w:tabs>
          <w:tab w:val="left" w:pos="3810"/>
        </w:tabs>
        <w:spacing w:after="120"/>
        <w:jc w:val="center"/>
        <w:rPr>
          <w:b/>
          <w:bCs/>
        </w:rPr>
      </w:pPr>
    </w:p>
    <w:p w14:paraId="2E040328" w14:textId="77777777" w:rsidR="00B417AE" w:rsidRPr="00D55E4A" w:rsidRDefault="00B417AE" w:rsidP="00317EE7">
      <w:pPr>
        <w:tabs>
          <w:tab w:val="left" w:pos="3810"/>
        </w:tabs>
        <w:spacing w:after="120"/>
        <w:jc w:val="center"/>
        <w:rPr>
          <w:b/>
          <w:bCs/>
        </w:rPr>
      </w:pPr>
    </w:p>
    <w:p w14:paraId="6AF9EB06" w14:textId="77777777" w:rsidR="00B417AE" w:rsidRPr="00D55E4A" w:rsidRDefault="00B417AE" w:rsidP="00317EE7">
      <w:pPr>
        <w:tabs>
          <w:tab w:val="left" w:pos="3810"/>
        </w:tabs>
        <w:spacing w:after="120"/>
        <w:jc w:val="center"/>
        <w:rPr>
          <w:b/>
          <w:bCs/>
        </w:rPr>
      </w:pPr>
    </w:p>
    <w:p w14:paraId="10898098" w14:textId="6A8AD320" w:rsidR="00317EE7" w:rsidRDefault="00317EE7" w:rsidP="00317EE7">
      <w:pPr>
        <w:spacing w:after="120"/>
      </w:pPr>
    </w:p>
    <w:p w14:paraId="6AD26FFA" w14:textId="77777777" w:rsidR="00421665" w:rsidRDefault="00421665" w:rsidP="00317EE7">
      <w:pPr>
        <w:spacing w:after="120"/>
      </w:pPr>
    </w:p>
    <w:p w14:paraId="173B9B61" w14:textId="6369472E" w:rsidR="00530C10" w:rsidRPr="00D55E4A" w:rsidRDefault="00530C10" w:rsidP="00530C10">
      <w:pPr>
        <w:tabs>
          <w:tab w:val="left" w:pos="3810"/>
        </w:tabs>
        <w:spacing w:after="120"/>
        <w:jc w:val="center"/>
      </w:pPr>
      <w:r w:rsidRPr="00D55E4A">
        <w:t xml:space="preserve">Zagreb, </w:t>
      </w:r>
      <w:r w:rsidR="0036042F">
        <w:t>svibanj</w:t>
      </w:r>
      <w:r w:rsidRPr="00D55E4A">
        <w:t xml:space="preserve">  2019. godine</w:t>
      </w:r>
    </w:p>
    <w:p w14:paraId="1DF357AD" w14:textId="22DA7D90" w:rsidR="004B44BB" w:rsidRDefault="004B44BB" w:rsidP="00317EE7">
      <w:pPr>
        <w:spacing w:after="120"/>
      </w:pPr>
    </w:p>
    <w:p w14:paraId="330FCDC9" w14:textId="52B37634" w:rsidR="00D55E4A" w:rsidRDefault="00D55E4A">
      <w:pPr>
        <w:spacing w:after="200" w:line="276" w:lineRule="auto"/>
      </w:pPr>
      <w:r>
        <w:br w:type="page"/>
      </w:r>
    </w:p>
    <w:sdt>
      <w:sdtPr>
        <w:rPr>
          <w:rFonts w:ascii="Times New Roman" w:eastAsia="Times New Roman" w:hAnsi="Times New Roman" w:cs="Times New Roman"/>
          <w:b/>
          <w:color w:val="auto"/>
          <w:sz w:val="24"/>
          <w:szCs w:val="24"/>
        </w:rPr>
        <w:id w:val="2060282598"/>
        <w:docPartObj>
          <w:docPartGallery w:val="Table of Contents"/>
          <w:docPartUnique/>
        </w:docPartObj>
      </w:sdtPr>
      <w:sdtEndPr>
        <w:rPr>
          <w:bCs/>
        </w:rPr>
      </w:sdtEndPr>
      <w:sdtContent>
        <w:p w14:paraId="70C3DDE1" w14:textId="3D85A3CA" w:rsidR="00430E79" w:rsidRPr="00430E79" w:rsidRDefault="00430E79" w:rsidP="00430E79">
          <w:pPr>
            <w:pStyle w:val="TOCNaslov"/>
            <w:jc w:val="center"/>
            <w:rPr>
              <w:rFonts w:ascii="Times New Roman" w:hAnsi="Times New Roman" w:cs="Times New Roman"/>
              <w:b/>
              <w:color w:val="auto"/>
            </w:rPr>
          </w:pPr>
          <w:r w:rsidRPr="00430E79">
            <w:rPr>
              <w:rFonts w:ascii="Times New Roman" w:hAnsi="Times New Roman" w:cs="Times New Roman"/>
              <w:b/>
              <w:color w:val="auto"/>
            </w:rPr>
            <w:t>Sadržaj</w:t>
          </w:r>
        </w:p>
        <w:p w14:paraId="35F85CEF" w14:textId="1CACB1E4" w:rsidR="00C511A3" w:rsidRDefault="00430E79">
          <w:pPr>
            <w:pStyle w:val="Sadraj1"/>
            <w:tabs>
              <w:tab w:val="left" w:pos="480"/>
              <w:tab w:val="right" w:leader="dot" w:pos="9628"/>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8637295" w:history="1">
            <w:r w:rsidR="00C511A3" w:rsidRPr="00687FBD">
              <w:rPr>
                <w:rStyle w:val="Hiperveza"/>
                <w:noProof/>
              </w:rPr>
              <w:t>1.</w:t>
            </w:r>
            <w:r w:rsidR="00C511A3">
              <w:rPr>
                <w:rFonts w:asciiTheme="minorHAnsi" w:eastAsiaTheme="minorEastAsia" w:hAnsiTheme="minorHAnsi" w:cstheme="minorBidi"/>
                <w:noProof/>
                <w:sz w:val="22"/>
                <w:szCs w:val="22"/>
              </w:rPr>
              <w:tab/>
            </w:r>
            <w:r w:rsidR="00C511A3" w:rsidRPr="00687FBD">
              <w:rPr>
                <w:rStyle w:val="Hiperveza"/>
                <w:noProof/>
              </w:rPr>
              <w:t>UVOD</w:t>
            </w:r>
            <w:r w:rsidR="00C511A3">
              <w:rPr>
                <w:noProof/>
                <w:webHidden/>
              </w:rPr>
              <w:tab/>
            </w:r>
            <w:r w:rsidR="00C511A3">
              <w:rPr>
                <w:noProof/>
                <w:webHidden/>
              </w:rPr>
              <w:fldChar w:fldCharType="begin"/>
            </w:r>
            <w:r w:rsidR="00C511A3">
              <w:rPr>
                <w:noProof/>
                <w:webHidden/>
              </w:rPr>
              <w:instrText xml:space="preserve"> PAGEREF _Toc8637295 \h </w:instrText>
            </w:r>
            <w:r w:rsidR="00C511A3">
              <w:rPr>
                <w:noProof/>
                <w:webHidden/>
              </w:rPr>
            </w:r>
            <w:r w:rsidR="00C511A3">
              <w:rPr>
                <w:noProof/>
                <w:webHidden/>
              </w:rPr>
              <w:fldChar w:fldCharType="separate"/>
            </w:r>
            <w:r w:rsidR="00C511A3">
              <w:rPr>
                <w:noProof/>
                <w:webHidden/>
              </w:rPr>
              <w:t>4</w:t>
            </w:r>
            <w:r w:rsidR="00C511A3">
              <w:rPr>
                <w:noProof/>
                <w:webHidden/>
              </w:rPr>
              <w:fldChar w:fldCharType="end"/>
            </w:r>
          </w:hyperlink>
        </w:p>
        <w:p w14:paraId="14120894" w14:textId="416A2318" w:rsidR="00C511A3" w:rsidRDefault="00E54301">
          <w:pPr>
            <w:pStyle w:val="Sadraj1"/>
            <w:tabs>
              <w:tab w:val="left" w:pos="480"/>
              <w:tab w:val="right" w:leader="dot" w:pos="9628"/>
            </w:tabs>
            <w:rPr>
              <w:rFonts w:asciiTheme="minorHAnsi" w:eastAsiaTheme="minorEastAsia" w:hAnsiTheme="minorHAnsi" w:cstheme="minorBidi"/>
              <w:noProof/>
              <w:sz w:val="22"/>
              <w:szCs w:val="22"/>
            </w:rPr>
          </w:pPr>
          <w:hyperlink w:anchor="_Toc8637296" w:history="1">
            <w:r w:rsidR="00C511A3" w:rsidRPr="00687FBD">
              <w:rPr>
                <w:rStyle w:val="Hiperveza"/>
                <w:noProof/>
              </w:rPr>
              <w:t>2.</w:t>
            </w:r>
            <w:r w:rsidR="00C511A3">
              <w:rPr>
                <w:rFonts w:asciiTheme="minorHAnsi" w:eastAsiaTheme="minorEastAsia" w:hAnsiTheme="minorHAnsi" w:cstheme="minorBidi"/>
                <w:noProof/>
                <w:sz w:val="22"/>
                <w:szCs w:val="22"/>
              </w:rPr>
              <w:tab/>
            </w:r>
            <w:r w:rsidR="00C511A3" w:rsidRPr="00687FBD">
              <w:rPr>
                <w:rStyle w:val="Hiperveza"/>
                <w:noProof/>
              </w:rPr>
              <w:t>PROVEDBA NIP-a, ODNOSNO KONVENCIJE</w:t>
            </w:r>
            <w:r w:rsidR="00C511A3">
              <w:rPr>
                <w:noProof/>
                <w:webHidden/>
              </w:rPr>
              <w:tab/>
            </w:r>
            <w:r w:rsidR="00C511A3">
              <w:rPr>
                <w:noProof/>
                <w:webHidden/>
              </w:rPr>
              <w:fldChar w:fldCharType="begin"/>
            </w:r>
            <w:r w:rsidR="00C511A3">
              <w:rPr>
                <w:noProof/>
                <w:webHidden/>
              </w:rPr>
              <w:instrText xml:space="preserve"> PAGEREF _Toc8637296 \h </w:instrText>
            </w:r>
            <w:r w:rsidR="00C511A3">
              <w:rPr>
                <w:noProof/>
                <w:webHidden/>
              </w:rPr>
            </w:r>
            <w:r w:rsidR="00C511A3">
              <w:rPr>
                <w:noProof/>
                <w:webHidden/>
              </w:rPr>
              <w:fldChar w:fldCharType="separate"/>
            </w:r>
            <w:r w:rsidR="00C511A3">
              <w:rPr>
                <w:noProof/>
                <w:webHidden/>
              </w:rPr>
              <w:t>9</w:t>
            </w:r>
            <w:r w:rsidR="00C511A3">
              <w:rPr>
                <w:noProof/>
                <w:webHidden/>
              </w:rPr>
              <w:fldChar w:fldCharType="end"/>
            </w:r>
          </w:hyperlink>
        </w:p>
        <w:p w14:paraId="12DFE1BF" w14:textId="7F19F5CE"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297" w:history="1">
            <w:r w:rsidR="00C511A3" w:rsidRPr="00687FBD">
              <w:rPr>
                <w:rStyle w:val="Hiperveza"/>
                <w:noProof/>
              </w:rPr>
              <w:t>2.1.</w:t>
            </w:r>
            <w:r w:rsidR="00C511A3">
              <w:rPr>
                <w:rFonts w:asciiTheme="minorHAnsi" w:eastAsiaTheme="minorEastAsia" w:hAnsiTheme="minorHAnsi" w:cstheme="minorBidi"/>
                <w:noProof/>
                <w:sz w:val="22"/>
                <w:szCs w:val="22"/>
              </w:rPr>
              <w:tab/>
            </w:r>
            <w:r w:rsidR="00C511A3" w:rsidRPr="00687FBD">
              <w:rPr>
                <w:rStyle w:val="Hiperveza"/>
                <w:noProof/>
              </w:rPr>
              <w:t>POPIS ZAKONSKIH PROPISA KOJI PROPISUJU GOSPODARENJE I PRAĆENJE (MONITORING) POPS-OVA KOJI SU BILI NA SNAZI U RAZDOBLJU 2015. – 2017. GODINE</w:t>
            </w:r>
            <w:r w:rsidR="00C511A3">
              <w:rPr>
                <w:noProof/>
                <w:webHidden/>
              </w:rPr>
              <w:tab/>
            </w:r>
            <w:r w:rsidR="00C511A3">
              <w:rPr>
                <w:noProof/>
                <w:webHidden/>
              </w:rPr>
              <w:fldChar w:fldCharType="begin"/>
            </w:r>
            <w:r w:rsidR="00C511A3">
              <w:rPr>
                <w:noProof/>
                <w:webHidden/>
              </w:rPr>
              <w:instrText xml:space="preserve"> PAGEREF _Toc8637297 \h </w:instrText>
            </w:r>
            <w:r w:rsidR="00C511A3">
              <w:rPr>
                <w:noProof/>
                <w:webHidden/>
              </w:rPr>
            </w:r>
            <w:r w:rsidR="00C511A3">
              <w:rPr>
                <w:noProof/>
                <w:webHidden/>
              </w:rPr>
              <w:fldChar w:fldCharType="separate"/>
            </w:r>
            <w:r w:rsidR="00C511A3">
              <w:rPr>
                <w:noProof/>
                <w:webHidden/>
              </w:rPr>
              <w:t>9</w:t>
            </w:r>
            <w:r w:rsidR="00C511A3">
              <w:rPr>
                <w:noProof/>
                <w:webHidden/>
              </w:rPr>
              <w:fldChar w:fldCharType="end"/>
            </w:r>
          </w:hyperlink>
        </w:p>
        <w:p w14:paraId="31E416E8" w14:textId="618E8D75"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298" w:history="1">
            <w:r w:rsidR="00C511A3" w:rsidRPr="00687FBD">
              <w:rPr>
                <w:rStyle w:val="Hiperveza"/>
                <w:noProof/>
              </w:rPr>
              <w:t>2.2.</w:t>
            </w:r>
            <w:r w:rsidR="00C511A3">
              <w:rPr>
                <w:rFonts w:asciiTheme="minorHAnsi" w:eastAsiaTheme="minorEastAsia" w:hAnsiTheme="minorHAnsi" w:cstheme="minorBidi"/>
                <w:noProof/>
                <w:sz w:val="22"/>
                <w:szCs w:val="22"/>
              </w:rPr>
              <w:tab/>
            </w:r>
            <w:r w:rsidR="00C511A3" w:rsidRPr="00687FBD">
              <w:rPr>
                <w:rStyle w:val="Hiperveza"/>
                <w:noProof/>
              </w:rPr>
              <w:t>PREGLED PODATAKA O IZVRŠENIM OBVEZAMA U GOSPODARENJU POLIKLORIRANIM BIFENILIMA I POLIKLORIRANIM TERFENILIMA (PCB/PCT) SUKLADNO PRAVILNIKU O GOSPODARENJU POLIKLORIRANIM BIFENILIMA I POLIKLORIRANIM TERFENILIMA (NARODNE NOVINE, BROJ 103/14), STATUS U RAZDOBLJU 2015. – 2017. GODINE</w:t>
            </w:r>
            <w:r w:rsidR="00C511A3">
              <w:rPr>
                <w:noProof/>
                <w:webHidden/>
              </w:rPr>
              <w:tab/>
            </w:r>
            <w:r w:rsidR="00C511A3">
              <w:rPr>
                <w:noProof/>
                <w:webHidden/>
              </w:rPr>
              <w:fldChar w:fldCharType="begin"/>
            </w:r>
            <w:r w:rsidR="00C511A3">
              <w:rPr>
                <w:noProof/>
                <w:webHidden/>
              </w:rPr>
              <w:instrText xml:space="preserve"> PAGEREF _Toc8637298 \h </w:instrText>
            </w:r>
            <w:r w:rsidR="00C511A3">
              <w:rPr>
                <w:noProof/>
                <w:webHidden/>
              </w:rPr>
            </w:r>
            <w:r w:rsidR="00C511A3">
              <w:rPr>
                <w:noProof/>
                <w:webHidden/>
              </w:rPr>
              <w:fldChar w:fldCharType="separate"/>
            </w:r>
            <w:r w:rsidR="00C511A3">
              <w:rPr>
                <w:noProof/>
                <w:webHidden/>
              </w:rPr>
              <w:t>13</w:t>
            </w:r>
            <w:r w:rsidR="00C511A3">
              <w:rPr>
                <w:noProof/>
                <w:webHidden/>
              </w:rPr>
              <w:fldChar w:fldCharType="end"/>
            </w:r>
          </w:hyperlink>
        </w:p>
        <w:p w14:paraId="164F96CE" w14:textId="5096830B"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299" w:history="1">
            <w:r w:rsidR="00C511A3" w:rsidRPr="00687FBD">
              <w:rPr>
                <w:rStyle w:val="Hiperveza"/>
                <w:rFonts w:eastAsia="Calibri"/>
                <w:i/>
                <w:noProof/>
                <w:lang w:eastAsia="en-US"/>
              </w:rPr>
              <w:t>2.2.1.</w:t>
            </w:r>
            <w:r w:rsidR="00C511A3">
              <w:rPr>
                <w:rFonts w:asciiTheme="minorHAnsi" w:eastAsiaTheme="minorEastAsia" w:hAnsiTheme="minorHAnsi" w:cstheme="minorBidi"/>
                <w:noProof/>
                <w:sz w:val="22"/>
                <w:szCs w:val="22"/>
              </w:rPr>
              <w:tab/>
            </w:r>
            <w:r w:rsidR="00C511A3" w:rsidRPr="00687FBD">
              <w:rPr>
                <w:rStyle w:val="Hiperveza"/>
                <w:rFonts w:eastAsia="Calibri"/>
                <w:i/>
                <w:noProof/>
                <w:lang w:eastAsia="en-US"/>
              </w:rPr>
              <w:t>Pregled podataka o izvršenju obveza</w:t>
            </w:r>
            <w:r w:rsidR="00C511A3">
              <w:rPr>
                <w:noProof/>
                <w:webHidden/>
              </w:rPr>
              <w:tab/>
            </w:r>
            <w:r w:rsidR="00C511A3">
              <w:rPr>
                <w:noProof/>
                <w:webHidden/>
              </w:rPr>
              <w:fldChar w:fldCharType="begin"/>
            </w:r>
            <w:r w:rsidR="00C511A3">
              <w:rPr>
                <w:noProof/>
                <w:webHidden/>
              </w:rPr>
              <w:instrText xml:space="preserve"> PAGEREF _Toc8637299 \h </w:instrText>
            </w:r>
            <w:r w:rsidR="00C511A3">
              <w:rPr>
                <w:noProof/>
                <w:webHidden/>
              </w:rPr>
            </w:r>
            <w:r w:rsidR="00C511A3">
              <w:rPr>
                <w:noProof/>
                <w:webHidden/>
              </w:rPr>
              <w:fldChar w:fldCharType="separate"/>
            </w:r>
            <w:r w:rsidR="00C511A3">
              <w:rPr>
                <w:noProof/>
                <w:webHidden/>
              </w:rPr>
              <w:t>15</w:t>
            </w:r>
            <w:r w:rsidR="00C511A3">
              <w:rPr>
                <w:noProof/>
                <w:webHidden/>
              </w:rPr>
              <w:fldChar w:fldCharType="end"/>
            </w:r>
          </w:hyperlink>
        </w:p>
        <w:p w14:paraId="06590C1F" w14:textId="5A9BB46A"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00" w:history="1">
            <w:r w:rsidR="00C511A3" w:rsidRPr="00687FBD">
              <w:rPr>
                <w:rStyle w:val="Hiperveza"/>
                <w:i/>
                <w:noProof/>
              </w:rPr>
              <w:t>2.2.2.</w:t>
            </w:r>
            <w:r w:rsidR="00C511A3">
              <w:rPr>
                <w:rFonts w:asciiTheme="minorHAnsi" w:eastAsiaTheme="minorEastAsia" w:hAnsiTheme="minorHAnsi" w:cstheme="minorBidi"/>
                <w:noProof/>
                <w:sz w:val="22"/>
                <w:szCs w:val="22"/>
              </w:rPr>
              <w:tab/>
            </w:r>
            <w:r w:rsidR="00C511A3" w:rsidRPr="00687FBD">
              <w:rPr>
                <w:rStyle w:val="Hiperveza"/>
                <w:i/>
                <w:noProof/>
              </w:rPr>
              <w:t>Zaključak</w:t>
            </w:r>
            <w:r w:rsidR="00C511A3">
              <w:rPr>
                <w:noProof/>
                <w:webHidden/>
              </w:rPr>
              <w:tab/>
            </w:r>
            <w:r w:rsidR="00C511A3">
              <w:rPr>
                <w:noProof/>
                <w:webHidden/>
              </w:rPr>
              <w:fldChar w:fldCharType="begin"/>
            </w:r>
            <w:r w:rsidR="00C511A3">
              <w:rPr>
                <w:noProof/>
                <w:webHidden/>
              </w:rPr>
              <w:instrText xml:space="preserve"> PAGEREF _Toc8637300 \h </w:instrText>
            </w:r>
            <w:r w:rsidR="00C511A3">
              <w:rPr>
                <w:noProof/>
                <w:webHidden/>
              </w:rPr>
            </w:r>
            <w:r w:rsidR="00C511A3">
              <w:rPr>
                <w:noProof/>
                <w:webHidden/>
              </w:rPr>
              <w:fldChar w:fldCharType="separate"/>
            </w:r>
            <w:r w:rsidR="00C511A3">
              <w:rPr>
                <w:noProof/>
                <w:webHidden/>
              </w:rPr>
              <w:t>17</w:t>
            </w:r>
            <w:r w:rsidR="00C511A3">
              <w:rPr>
                <w:noProof/>
                <w:webHidden/>
              </w:rPr>
              <w:fldChar w:fldCharType="end"/>
            </w:r>
          </w:hyperlink>
        </w:p>
        <w:p w14:paraId="2132A5FB" w14:textId="264FD023"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301" w:history="1">
            <w:r w:rsidR="00C511A3" w:rsidRPr="00687FBD">
              <w:rPr>
                <w:rStyle w:val="Hiperveza"/>
                <w:noProof/>
              </w:rPr>
              <w:t>2.3.</w:t>
            </w:r>
            <w:r w:rsidR="00C511A3">
              <w:rPr>
                <w:rFonts w:asciiTheme="minorHAnsi" w:eastAsiaTheme="minorEastAsia" w:hAnsiTheme="minorHAnsi" w:cstheme="minorBidi"/>
                <w:noProof/>
                <w:sz w:val="22"/>
                <w:szCs w:val="22"/>
              </w:rPr>
              <w:tab/>
            </w:r>
            <w:r w:rsidR="00C511A3" w:rsidRPr="00687FBD">
              <w:rPr>
                <w:rStyle w:val="Hiperveza"/>
                <w:noProof/>
              </w:rPr>
              <w:t>PRAĆENJE/MONITORING POPs-OVA</w:t>
            </w:r>
            <w:r w:rsidR="00C511A3">
              <w:rPr>
                <w:noProof/>
                <w:webHidden/>
              </w:rPr>
              <w:tab/>
            </w:r>
            <w:r w:rsidR="00C511A3">
              <w:rPr>
                <w:noProof/>
                <w:webHidden/>
              </w:rPr>
              <w:fldChar w:fldCharType="begin"/>
            </w:r>
            <w:r w:rsidR="00C511A3">
              <w:rPr>
                <w:noProof/>
                <w:webHidden/>
              </w:rPr>
              <w:instrText xml:space="preserve"> PAGEREF _Toc8637301 \h </w:instrText>
            </w:r>
            <w:r w:rsidR="00C511A3">
              <w:rPr>
                <w:noProof/>
                <w:webHidden/>
              </w:rPr>
            </w:r>
            <w:r w:rsidR="00C511A3">
              <w:rPr>
                <w:noProof/>
                <w:webHidden/>
              </w:rPr>
              <w:fldChar w:fldCharType="separate"/>
            </w:r>
            <w:r w:rsidR="00C511A3">
              <w:rPr>
                <w:noProof/>
                <w:webHidden/>
              </w:rPr>
              <w:t>17</w:t>
            </w:r>
            <w:r w:rsidR="00C511A3">
              <w:rPr>
                <w:noProof/>
                <w:webHidden/>
              </w:rPr>
              <w:fldChar w:fldCharType="end"/>
            </w:r>
          </w:hyperlink>
        </w:p>
        <w:p w14:paraId="2F1641D0" w14:textId="33FF3485"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02" w:history="1">
            <w:r w:rsidR="00C511A3" w:rsidRPr="00687FBD">
              <w:rPr>
                <w:rStyle w:val="Hiperveza"/>
                <w:i/>
                <w:noProof/>
              </w:rPr>
              <w:t>2.3.1</w:t>
            </w:r>
            <w:r w:rsidR="00C511A3">
              <w:rPr>
                <w:rFonts w:asciiTheme="minorHAnsi" w:eastAsiaTheme="minorEastAsia" w:hAnsiTheme="minorHAnsi" w:cstheme="minorBidi"/>
                <w:noProof/>
                <w:sz w:val="22"/>
                <w:szCs w:val="22"/>
              </w:rPr>
              <w:tab/>
            </w:r>
            <w:r w:rsidR="00C511A3" w:rsidRPr="00687FBD">
              <w:rPr>
                <w:rStyle w:val="Hiperveza"/>
                <w:i/>
                <w:noProof/>
              </w:rPr>
              <w:t>Monitoring POPs-ova u vodama</w:t>
            </w:r>
            <w:r w:rsidR="00C511A3">
              <w:rPr>
                <w:noProof/>
                <w:webHidden/>
              </w:rPr>
              <w:tab/>
            </w:r>
            <w:r w:rsidR="00C511A3">
              <w:rPr>
                <w:noProof/>
                <w:webHidden/>
              </w:rPr>
              <w:fldChar w:fldCharType="begin"/>
            </w:r>
            <w:r w:rsidR="00C511A3">
              <w:rPr>
                <w:noProof/>
                <w:webHidden/>
              </w:rPr>
              <w:instrText xml:space="preserve"> PAGEREF _Toc8637302 \h </w:instrText>
            </w:r>
            <w:r w:rsidR="00C511A3">
              <w:rPr>
                <w:noProof/>
                <w:webHidden/>
              </w:rPr>
            </w:r>
            <w:r w:rsidR="00C511A3">
              <w:rPr>
                <w:noProof/>
                <w:webHidden/>
              </w:rPr>
              <w:fldChar w:fldCharType="separate"/>
            </w:r>
            <w:r w:rsidR="00C511A3">
              <w:rPr>
                <w:noProof/>
                <w:webHidden/>
              </w:rPr>
              <w:t>17</w:t>
            </w:r>
            <w:r w:rsidR="00C511A3">
              <w:rPr>
                <w:noProof/>
                <w:webHidden/>
              </w:rPr>
              <w:fldChar w:fldCharType="end"/>
            </w:r>
          </w:hyperlink>
        </w:p>
        <w:p w14:paraId="03E781D0" w14:textId="172D2FB0"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03" w:history="1">
            <w:r w:rsidR="00C511A3" w:rsidRPr="00687FBD">
              <w:rPr>
                <w:rStyle w:val="Hiperveza"/>
                <w:i/>
                <w:noProof/>
              </w:rPr>
              <w:t>2.3.2</w:t>
            </w:r>
            <w:r w:rsidR="00C511A3">
              <w:rPr>
                <w:rFonts w:asciiTheme="minorHAnsi" w:eastAsiaTheme="minorEastAsia" w:hAnsiTheme="minorHAnsi" w:cstheme="minorBidi"/>
                <w:noProof/>
                <w:sz w:val="22"/>
                <w:szCs w:val="22"/>
              </w:rPr>
              <w:tab/>
            </w:r>
            <w:r w:rsidR="00C511A3" w:rsidRPr="00687FBD">
              <w:rPr>
                <w:rStyle w:val="Hiperveza"/>
                <w:i/>
                <w:noProof/>
              </w:rPr>
              <w:t>Monitoring POPs-ova u moru</w:t>
            </w:r>
            <w:r w:rsidR="00C511A3">
              <w:rPr>
                <w:noProof/>
                <w:webHidden/>
              </w:rPr>
              <w:tab/>
            </w:r>
            <w:r w:rsidR="00C511A3">
              <w:rPr>
                <w:noProof/>
                <w:webHidden/>
              </w:rPr>
              <w:fldChar w:fldCharType="begin"/>
            </w:r>
            <w:r w:rsidR="00C511A3">
              <w:rPr>
                <w:noProof/>
                <w:webHidden/>
              </w:rPr>
              <w:instrText xml:space="preserve"> PAGEREF _Toc8637303 \h </w:instrText>
            </w:r>
            <w:r w:rsidR="00C511A3">
              <w:rPr>
                <w:noProof/>
                <w:webHidden/>
              </w:rPr>
            </w:r>
            <w:r w:rsidR="00C511A3">
              <w:rPr>
                <w:noProof/>
                <w:webHidden/>
              </w:rPr>
              <w:fldChar w:fldCharType="separate"/>
            </w:r>
            <w:r w:rsidR="00C511A3">
              <w:rPr>
                <w:noProof/>
                <w:webHidden/>
              </w:rPr>
              <w:t>21</w:t>
            </w:r>
            <w:r w:rsidR="00C511A3">
              <w:rPr>
                <w:noProof/>
                <w:webHidden/>
              </w:rPr>
              <w:fldChar w:fldCharType="end"/>
            </w:r>
          </w:hyperlink>
        </w:p>
        <w:p w14:paraId="636BB358" w14:textId="3034249E"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04" w:history="1">
            <w:r w:rsidR="00C511A3" w:rsidRPr="00687FBD">
              <w:rPr>
                <w:rStyle w:val="Hiperveza"/>
                <w:i/>
                <w:noProof/>
              </w:rPr>
              <w:t>2.3.3</w:t>
            </w:r>
            <w:r w:rsidR="00C511A3">
              <w:rPr>
                <w:rFonts w:asciiTheme="minorHAnsi" w:eastAsiaTheme="minorEastAsia" w:hAnsiTheme="minorHAnsi" w:cstheme="minorBidi"/>
                <w:noProof/>
                <w:sz w:val="22"/>
                <w:szCs w:val="22"/>
              </w:rPr>
              <w:tab/>
            </w:r>
            <w:r w:rsidR="00C511A3" w:rsidRPr="00687FBD">
              <w:rPr>
                <w:rStyle w:val="Hiperveza"/>
                <w:i/>
                <w:noProof/>
              </w:rPr>
              <w:t>Monitoring POPs-ova u tlu (poljoprivredno zemljište)</w:t>
            </w:r>
            <w:r w:rsidR="00C511A3">
              <w:rPr>
                <w:noProof/>
                <w:webHidden/>
              </w:rPr>
              <w:tab/>
            </w:r>
            <w:r w:rsidR="00C511A3">
              <w:rPr>
                <w:noProof/>
                <w:webHidden/>
              </w:rPr>
              <w:fldChar w:fldCharType="begin"/>
            </w:r>
            <w:r w:rsidR="00C511A3">
              <w:rPr>
                <w:noProof/>
                <w:webHidden/>
              </w:rPr>
              <w:instrText xml:space="preserve"> PAGEREF _Toc8637304 \h </w:instrText>
            </w:r>
            <w:r w:rsidR="00C511A3">
              <w:rPr>
                <w:noProof/>
                <w:webHidden/>
              </w:rPr>
            </w:r>
            <w:r w:rsidR="00C511A3">
              <w:rPr>
                <w:noProof/>
                <w:webHidden/>
              </w:rPr>
              <w:fldChar w:fldCharType="separate"/>
            </w:r>
            <w:r w:rsidR="00C511A3">
              <w:rPr>
                <w:noProof/>
                <w:webHidden/>
              </w:rPr>
              <w:t>30</w:t>
            </w:r>
            <w:r w:rsidR="00C511A3">
              <w:rPr>
                <w:noProof/>
                <w:webHidden/>
              </w:rPr>
              <w:fldChar w:fldCharType="end"/>
            </w:r>
          </w:hyperlink>
        </w:p>
        <w:p w14:paraId="35CC2C4F" w14:textId="3D18FFF1"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05" w:history="1">
            <w:r w:rsidR="00C511A3" w:rsidRPr="00687FBD">
              <w:rPr>
                <w:rStyle w:val="Hiperveza"/>
                <w:i/>
                <w:noProof/>
              </w:rPr>
              <w:t>2.3.4</w:t>
            </w:r>
            <w:r w:rsidR="00C511A3">
              <w:rPr>
                <w:rFonts w:asciiTheme="minorHAnsi" w:eastAsiaTheme="minorEastAsia" w:hAnsiTheme="minorHAnsi" w:cstheme="minorBidi"/>
                <w:noProof/>
                <w:sz w:val="22"/>
                <w:szCs w:val="22"/>
              </w:rPr>
              <w:tab/>
            </w:r>
            <w:r w:rsidR="00C511A3" w:rsidRPr="00687FBD">
              <w:rPr>
                <w:rStyle w:val="Hiperveza"/>
                <w:i/>
                <w:noProof/>
              </w:rPr>
              <w:t>Monitoring POPs-ova u hrani za životinje</w:t>
            </w:r>
            <w:r w:rsidR="00C511A3">
              <w:rPr>
                <w:noProof/>
                <w:webHidden/>
              </w:rPr>
              <w:tab/>
            </w:r>
            <w:r w:rsidR="00C511A3">
              <w:rPr>
                <w:noProof/>
                <w:webHidden/>
              </w:rPr>
              <w:fldChar w:fldCharType="begin"/>
            </w:r>
            <w:r w:rsidR="00C511A3">
              <w:rPr>
                <w:noProof/>
                <w:webHidden/>
              </w:rPr>
              <w:instrText xml:space="preserve"> PAGEREF _Toc8637305 \h </w:instrText>
            </w:r>
            <w:r w:rsidR="00C511A3">
              <w:rPr>
                <w:noProof/>
                <w:webHidden/>
              </w:rPr>
            </w:r>
            <w:r w:rsidR="00C511A3">
              <w:rPr>
                <w:noProof/>
                <w:webHidden/>
              </w:rPr>
              <w:fldChar w:fldCharType="separate"/>
            </w:r>
            <w:r w:rsidR="00C511A3">
              <w:rPr>
                <w:noProof/>
                <w:webHidden/>
              </w:rPr>
              <w:t>31</w:t>
            </w:r>
            <w:r w:rsidR="00C511A3">
              <w:rPr>
                <w:noProof/>
                <w:webHidden/>
              </w:rPr>
              <w:fldChar w:fldCharType="end"/>
            </w:r>
          </w:hyperlink>
        </w:p>
        <w:p w14:paraId="74CC9768" w14:textId="2C1F7C90"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06" w:history="1">
            <w:r w:rsidR="00C511A3" w:rsidRPr="00687FBD">
              <w:rPr>
                <w:rStyle w:val="Hiperveza"/>
                <w:i/>
                <w:noProof/>
              </w:rPr>
              <w:t>2.3.5</w:t>
            </w:r>
            <w:r w:rsidR="00C511A3">
              <w:rPr>
                <w:rFonts w:asciiTheme="minorHAnsi" w:eastAsiaTheme="minorEastAsia" w:hAnsiTheme="minorHAnsi" w:cstheme="minorBidi"/>
                <w:noProof/>
                <w:sz w:val="22"/>
                <w:szCs w:val="22"/>
              </w:rPr>
              <w:tab/>
            </w:r>
            <w:r w:rsidR="00C511A3" w:rsidRPr="00687FBD">
              <w:rPr>
                <w:rStyle w:val="Hiperveza"/>
                <w:i/>
                <w:noProof/>
              </w:rPr>
              <w:t>Motrenje šumskih ekosustava</w:t>
            </w:r>
            <w:r w:rsidR="00C511A3">
              <w:rPr>
                <w:noProof/>
                <w:webHidden/>
              </w:rPr>
              <w:tab/>
            </w:r>
            <w:r w:rsidR="00C511A3">
              <w:rPr>
                <w:noProof/>
                <w:webHidden/>
              </w:rPr>
              <w:fldChar w:fldCharType="begin"/>
            </w:r>
            <w:r w:rsidR="00C511A3">
              <w:rPr>
                <w:noProof/>
                <w:webHidden/>
              </w:rPr>
              <w:instrText xml:space="preserve"> PAGEREF _Toc8637306 \h </w:instrText>
            </w:r>
            <w:r w:rsidR="00C511A3">
              <w:rPr>
                <w:noProof/>
                <w:webHidden/>
              </w:rPr>
            </w:r>
            <w:r w:rsidR="00C511A3">
              <w:rPr>
                <w:noProof/>
                <w:webHidden/>
              </w:rPr>
              <w:fldChar w:fldCharType="separate"/>
            </w:r>
            <w:r w:rsidR="00C511A3">
              <w:rPr>
                <w:noProof/>
                <w:webHidden/>
              </w:rPr>
              <w:t>31</w:t>
            </w:r>
            <w:r w:rsidR="00C511A3">
              <w:rPr>
                <w:noProof/>
                <w:webHidden/>
              </w:rPr>
              <w:fldChar w:fldCharType="end"/>
            </w:r>
          </w:hyperlink>
        </w:p>
        <w:p w14:paraId="67D96046" w14:textId="53C68877"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07" w:history="1">
            <w:r w:rsidR="00C511A3" w:rsidRPr="00687FBD">
              <w:rPr>
                <w:rStyle w:val="Hiperveza"/>
                <w:i/>
                <w:noProof/>
              </w:rPr>
              <w:t>2.3.6</w:t>
            </w:r>
            <w:r w:rsidR="00C511A3">
              <w:rPr>
                <w:rFonts w:asciiTheme="minorHAnsi" w:eastAsiaTheme="minorEastAsia" w:hAnsiTheme="minorHAnsi" w:cstheme="minorBidi"/>
                <w:noProof/>
                <w:sz w:val="22"/>
                <w:szCs w:val="22"/>
              </w:rPr>
              <w:tab/>
            </w:r>
            <w:r w:rsidR="00C511A3" w:rsidRPr="00687FBD">
              <w:rPr>
                <w:rStyle w:val="Hiperveza"/>
                <w:i/>
                <w:noProof/>
              </w:rPr>
              <w:t>Praćenje emisija i imisija POPs-ova u zraku</w:t>
            </w:r>
            <w:r w:rsidR="00C511A3">
              <w:rPr>
                <w:noProof/>
                <w:webHidden/>
              </w:rPr>
              <w:tab/>
            </w:r>
            <w:r w:rsidR="00C511A3">
              <w:rPr>
                <w:noProof/>
                <w:webHidden/>
              </w:rPr>
              <w:fldChar w:fldCharType="begin"/>
            </w:r>
            <w:r w:rsidR="00C511A3">
              <w:rPr>
                <w:noProof/>
                <w:webHidden/>
              </w:rPr>
              <w:instrText xml:space="preserve"> PAGEREF _Toc8637307 \h </w:instrText>
            </w:r>
            <w:r w:rsidR="00C511A3">
              <w:rPr>
                <w:noProof/>
                <w:webHidden/>
              </w:rPr>
            </w:r>
            <w:r w:rsidR="00C511A3">
              <w:rPr>
                <w:noProof/>
                <w:webHidden/>
              </w:rPr>
              <w:fldChar w:fldCharType="separate"/>
            </w:r>
            <w:r w:rsidR="00C511A3">
              <w:rPr>
                <w:noProof/>
                <w:webHidden/>
              </w:rPr>
              <w:t>33</w:t>
            </w:r>
            <w:r w:rsidR="00C511A3">
              <w:rPr>
                <w:noProof/>
                <w:webHidden/>
              </w:rPr>
              <w:fldChar w:fldCharType="end"/>
            </w:r>
          </w:hyperlink>
        </w:p>
        <w:p w14:paraId="194F4210" w14:textId="5A4AC67F" w:rsidR="00C511A3" w:rsidRDefault="00E54301">
          <w:pPr>
            <w:pStyle w:val="Sadraj3"/>
            <w:tabs>
              <w:tab w:val="left" w:pos="1540"/>
              <w:tab w:val="right" w:leader="dot" w:pos="9628"/>
            </w:tabs>
            <w:rPr>
              <w:rFonts w:asciiTheme="minorHAnsi" w:eastAsiaTheme="minorEastAsia" w:hAnsiTheme="minorHAnsi" w:cstheme="minorBidi"/>
              <w:noProof/>
              <w:sz w:val="22"/>
              <w:szCs w:val="22"/>
            </w:rPr>
          </w:pPr>
          <w:hyperlink w:anchor="_Toc8637308" w:history="1">
            <w:r w:rsidR="00C511A3" w:rsidRPr="00687FBD">
              <w:rPr>
                <w:rStyle w:val="Hiperveza"/>
                <w:noProof/>
              </w:rPr>
              <w:t>2.3.6.1</w:t>
            </w:r>
            <w:r w:rsidR="00C511A3">
              <w:rPr>
                <w:rFonts w:asciiTheme="minorHAnsi" w:eastAsiaTheme="minorEastAsia" w:hAnsiTheme="minorHAnsi" w:cstheme="minorBidi"/>
                <w:noProof/>
                <w:sz w:val="22"/>
                <w:szCs w:val="22"/>
              </w:rPr>
              <w:tab/>
            </w:r>
            <w:r w:rsidR="00C511A3" w:rsidRPr="00687FBD">
              <w:rPr>
                <w:rStyle w:val="Hiperveza"/>
                <w:noProof/>
              </w:rPr>
              <w:t>Praćenje imisija POPs-ova u zraku</w:t>
            </w:r>
            <w:r w:rsidR="00C511A3">
              <w:rPr>
                <w:noProof/>
                <w:webHidden/>
              </w:rPr>
              <w:tab/>
            </w:r>
            <w:r w:rsidR="00C511A3">
              <w:rPr>
                <w:noProof/>
                <w:webHidden/>
              </w:rPr>
              <w:fldChar w:fldCharType="begin"/>
            </w:r>
            <w:r w:rsidR="00C511A3">
              <w:rPr>
                <w:noProof/>
                <w:webHidden/>
              </w:rPr>
              <w:instrText xml:space="preserve"> PAGEREF _Toc8637308 \h </w:instrText>
            </w:r>
            <w:r w:rsidR="00C511A3">
              <w:rPr>
                <w:noProof/>
                <w:webHidden/>
              </w:rPr>
            </w:r>
            <w:r w:rsidR="00C511A3">
              <w:rPr>
                <w:noProof/>
                <w:webHidden/>
              </w:rPr>
              <w:fldChar w:fldCharType="separate"/>
            </w:r>
            <w:r w:rsidR="00C511A3">
              <w:rPr>
                <w:noProof/>
                <w:webHidden/>
              </w:rPr>
              <w:t>33</w:t>
            </w:r>
            <w:r w:rsidR="00C511A3">
              <w:rPr>
                <w:noProof/>
                <w:webHidden/>
              </w:rPr>
              <w:fldChar w:fldCharType="end"/>
            </w:r>
          </w:hyperlink>
        </w:p>
        <w:p w14:paraId="10A6111E" w14:textId="21A66362"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309" w:history="1">
            <w:r w:rsidR="00C511A3" w:rsidRPr="00687FBD">
              <w:rPr>
                <w:rStyle w:val="Hiperveza"/>
                <w:noProof/>
              </w:rPr>
              <w:t>2.4</w:t>
            </w:r>
            <w:r w:rsidR="00C511A3">
              <w:rPr>
                <w:rFonts w:asciiTheme="minorHAnsi" w:eastAsiaTheme="minorEastAsia" w:hAnsiTheme="minorHAnsi" w:cstheme="minorBidi"/>
                <w:noProof/>
                <w:sz w:val="22"/>
                <w:szCs w:val="22"/>
              </w:rPr>
              <w:tab/>
            </w:r>
            <w:r w:rsidR="00C511A3" w:rsidRPr="00687FBD">
              <w:rPr>
                <w:rStyle w:val="Hiperveza"/>
                <w:noProof/>
              </w:rPr>
              <w:t>TRENUTNA I PROCIJENJENA PROIZVODNJA, UPORABA I ISPUŠTANJE POPS-OVA</w:t>
            </w:r>
            <w:r w:rsidR="00C511A3">
              <w:rPr>
                <w:noProof/>
                <w:webHidden/>
              </w:rPr>
              <w:tab/>
            </w:r>
            <w:r w:rsidR="00C511A3">
              <w:rPr>
                <w:noProof/>
                <w:webHidden/>
              </w:rPr>
              <w:fldChar w:fldCharType="begin"/>
            </w:r>
            <w:r w:rsidR="00C511A3">
              <w:rPr>
                <w:noProof/>
                <w:webHidden/>
              </w:rPr>
              <w:instrText xml:space="preserve"> PAGEREF _Toc8637309 \h </w:instrText>
            </w:r>
            <w:r w:rsidR="00C511A3">
              <w:rPr>
                <w:noProof/>
                <w:webHidden/>
              </w:rPr>
            </w:r>
            <w:r w:rsidR="00C511A3">
              <w:rPr>
                <w:noProof/>
                <w:webHidden/>
              </w:rPr>
              <w:fldChar w:fldCharType="separate"/>
            </w:r>
            <w:r w:rsidR="00C511A3">
              <w:rPr>
                <w:noProof/>
                <w:webHidden/>
              </w:rPr>
              <w:t>42</w:t>
            </w:r>
            <w:r w:rsidR="00C511A3">
              <w:rPr>
                <w:noProof/>
                <w:webHidden/>
              </w:rPr>
              <w:fldChar w:fldCharType="end"/>
            </w:r>
          </w:hyperlink>
        </w:p>
        <w:p w14:paraId="4DEB734E" w14:textId="7DD81B1A"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310" w:history="1">
            <w:r w:rsidR="00C511A3" w:rsidRPr="00687FBD">
              <w:rPr>
                <w:rStyle w:val="Hiperveza"/>
                <w:noProof/>
              </w:rPr>
              <w:t>2.5</w:t>
            </w:r>
            <w:r w:rsidR="00C511A3">
              <w:rPr>
                <w:rFonts w:asciiTheme="minorHAnsi" w:eastAsiaTheme="minorEastAsia" w:hAnsiTheme="minorHAnsi" w:cstheme="minorBidi"/>
                <w:noProof/>
                <w:sz w:val="22"/>
                <w:szCs w:val="22"/>
              </w:rPr>
              <w:tab/>
            </w:r>
            <w:r w:rsidR="00C511A3" w:rsidRPr="00687FBD">
              <w:rPr>
                <w:rStyle w:val="Hiperveza"/>
                <w:noProof/>
              </w:rPr>
              <w:t>PRIJAVLJENE EMISIJE POPs-OVA U BAZU REGISTAR ONEČIŠĆAVANJA OKOLIŠA (ROO) I PRIJAVLJENE KOLIČINE U BAZU REGISTAR POSTROJENJA U KOJIMA SU PRISUTNE OPASNE TVARI/OČEVIDNIK PRIJAVLJENIH BELIKIH NESREĆA (RPOT/OPVN)</w:t>
            </w:r>
            <w:r w:rsidR="00C511A3">
              <w:rPr>
                <w:noProof/>
                <w:webHidden/>
              </w:rPr>
              <w:tab/>
            </w:r>
            <w:r w:rsidR="00C511A3">
              <w:rPr>
                <w:noProof/>
                <w:webHidden/>
              </w:rPr>
              <w:fldChar w:fldCharType="begin"/>
            </w:r>
            <w:r w:rsidR="00C511A3">
              <w:rPr>
                <w:noProof/>
                <w:webHidden/>
              </w:rPr>
              <w:instrText xml:space="preserve"> PAGEREF _Toc8637310 \h </w:instrText>
            </w:r>
            <w:r w:rsidR="00C511A3">
              <w:rPr>
                <w:noProof/>
                <w:webHidden/>
              </w:rPr>
            </w:r>
            <w:r w:rsidR="00C511A3">
              <w:rPr>
                <w:noProof/>
                <w:webHidden/>
              </w:rPr>
              <w:fldChar w:fldCharType="separate"/>
            </w:r>
            <w:r w:rsidR="00C511A3">
              <w:rPr>
                <w:noProof/>
                <w:webHidden/>
              </w:rPr>
              <w:t>43</w:t>
            </w:r>
            <w:r w:rsidR="00C511A3">
              <w:rPr>
                <w:noProof/>
                <w:webHidden/>
              </w:rPr>
              <w:fldChar w:fldCharType="end"/>
            </w:r>
          </w:hyperlink>
        </w:p>
        <w:p w14:paraId="5CB35525" w14:textId="10C328B9" w:rsidR="00C511A3" w:rsidRDefault="00E54301">
          <w:pPr>
            <w:pStyle w:val="Sadraj3"/>
            <w:tabs>
              <w:tab w:val="left" w:pos="1320"/>
              <w:tab w:val="right" w:leader="dot" w:pos="9628"/>
            </w:tabs>
            <w:rPr>
              <w:rFonts w:asciiTheme="minorHAnsi" w:eastAsiaTheme="minorEastAsia" w:hAnsiTheme="minorHAnsi" w:cstheme="minorBidi"/>
              <w:noProof/>
              <w:sz w:val="22"/>
              <w:szCs w:val="22"/>
            </w:rPr>
          </w:pPr>
          <w:hyperlink w:anchor="_Toc8637311" w:history="1">
            <w:r w:rsidR="00C511A3" w:rsidRPr="00687FBD">
              <w:rPr>
                <w:rStyle w:val="Hiperveza"/>
                <w:i/>
                <w:noProof/>
              </w:rPr>
              <w:t>2.5.1</w:t>
            </w:r>
            <w:r w:rsidR="00C511A3">
              <w:rPr>
                <w:rFonts w:asciiTheme="minorHAnsi" w:eastAsiaTheme="minorEastAsia" w:hAnsiTheme="minorHAnsi" w:cstheme="minorBidi"/>
                <w:noProof/>
                <w:sz w:val="22"/>
                <w:szCs w:val="22"/>
              </w:rPr>
              <w:tab/>
            </w:r>
            <w:r w:rsidR="00C511A3" w:rsidRPr="00687FBD">
              <w:rPr>
                <w:rStyle w:val="Hiperveza"/>
                <w:i/>
                <w:noProof/>
              </w:rPr>
              <w:t>Količine ispuštanja POPs-ova u zrak prema podacima baze ROO</w:t>
            </w:r>
            <w:r w:rsidR="00C511A3">
              <w:rPr>
                <w:noProof/>
                <w:webHidden/>
              </w:rPr>
              <w:tab/>
            </w:r>
            <w:r w:rsidR="00C511A3">
              <w:rPr>
                <w:noProof/>
                <w:webHidden/>
              </w:rPr>
              <w:fldChar w:fldCharType="begin"/>
            </w:r>
            <w:r w:rsidR="00C511A3">
              <w:rPr>
                <w:noProof/>
                <w:webHidden/>
              </w:rPr>
              <w:instrText xml:space="preserve"> PAGEREF _Toc8637311 \h </w:instrText>
            </w:r>
            <w:r w:rsidR="00C511A3">
              <w:rPr>
                <w:noProof/>
                <w:webHidden/>
              </w:rPr>
            </w:r>
            <w:r w:rsidR="00C511A3">
              <w:rPr>
                <w:noProof/>
                <w:webHidden/>
              </w:rPr>
              <w:fldChar w:fldCharType="separate"/>
            </w:r>
            <w:r w:rsidR="00C511A3">
              <w:rPr>
                <w:noProof/>
                <w:webHidden/>
              </w:rPr>
              <w:t>43</w:t>
            </w:r>
            <w:r w:rsidR="00C511A3">
              <w:rPr>
                <w:noProof/>
                <w:webHidden/>
              </w:rPr>
              <w:fldChar w:fldCharType="end"/>
            </w:r>
          </w:hyperlink>
        </w:p>
        <w:p w14:paraId="66D6562A" w14:textId="06E06EDA"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312" w:history="1">
            <w:r w:rsidR="00C511A3" w:rsidRPr="00687FBD">
              <w:rPr>
                <w:rStyle w:val="Hiperveza"/>
                <w:noProof/>
              </w:rPr>
              <w:t>2.6</w:t>
            </w:r>
            <w:r w:rsidR="00C511A3">
              <w:rPr>
                <w:rFonts w:asciiTheme="minorHAnsi" w:eastAsiaTheme="minorEastAsia" w:hAnsiTheme="minorHAnsi" w:cstheme="minorBidi"/>
                <w:noProof/>
                <w:sz w:val="22"/>
                <w:szCs w:val="22"/>
              </w:rPr>
              <w:tab/>
            </w:r>
            <w:r w:rsidR="00C511A3" w:rsidRPr="00687FBD">
              <w:rPr>
                <w:rStyle w:val="Hiperveza"/>
                <w:noProof/>
              </w:rPr>
              <w:t>MONITORING OSTATAKA PESTICIDA KOJI SU UJEDNO I POPs-OVI NA PROIZVODIMA BILJNOG I ŽIVOTINJSKOG PODRIJETLA</w:t>
            </w:r>
            <w:r w:rsidR="00C511A3">
              <w:rPr>
                <w:noProof/>
                <w:webHidden/>
              </w:rPr>
              <w:tab/>
            </w:r>
            <w:r w:rsidR="00C511A3">
              <w:rPr>
                <w:noProof/>
                <w:webHidden/>
              </w:rPr>
              <w:fldChar w:fldCharType="begin"/>
            </w:r>
            <w:r w:rsidR="00C511A3">
              <w:rPr>
                <w:noProof/>
                <w:webHidden/>
              </w:rPr>
              <w:instrText xml:space="preserve"> PAGEREF _Toc8637312 \h </w:instrText>
            </w:r>
            <w:r w:rsidR="00C511A3">
              <w:rPr>
                <w:noProof/>
                <w:webHidden/>
              </w:rPr>
            </w:r>
            <w:r w:rsidR="00C511A3">
              <w:rPr>
                <w:noProof/>
                <w:webHidden/>
              </w:rPr>
              <w:fldChar w:fldCharType="separate"/>
            </w:r>
            <w:r w:rsidR="00C511A3">
              <w:rPr>
                <w:noProof/>
                <w:webHidden/>
              </w:rPr>
              <w:t>44</w:t>
            </w:r>
            <w:r w:rsidR="00C511A3">
              <w:rPr>
                <w:noProof/>
                <w:webHidden/>
              </w:rPr>
              <w:fldChar w:fldCharType="end"/>
            </w:r>
          </w:hyperlink>
        </w:p>
        <w:p w14:paraId="47B46E69" w14:textId="28613A54"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313" w:history="1">
            <w:r w:rsidR="00C511A3" w:rsidRPr="00687FBD">
              <w:rPr>
                <w:rStyle w:val="Hiperveza"/>
                <w:noProof/>
              </w:rPr>
              <w:t>2.7</w:t>
            </w:r>
            <w:r w:rsidR="00C511A3">
              <w:rPr>
                <w:rFonts w:asciiTheme="minorHAnsi" w:eastAsiaTheme="minorEastAsia" w:hAnsiTheme="minorHAnsi" w:cstheme="minorBidi"/>
                <w:noProof/>
                <w:sz w:val="22"/>
                <w:szCs w:val="22"/>
              </w:rPr>
              <w:tab/>
            </w:r>
            <w:r w:rsidR="00C511A3" w:rsidRPr="00687FBD">
              <w:rPr>
                <w:rStyle w:val="Hiperveza"/>
                <w:noProof/>
              </w:rPr>
              <w:t>PRAĆENJE STANJA OSTATAKA PESTICIDA U I NA HRANI</w:t>
            </w:r>
            <w:r w:rsidR="00C511A3">
              <w:rPr>
                <w:noProof/>
                <w:webHidden/>
              </w:rPr>
              <w:tab/>
            </w:r>
            <w:r w:rsidR="00C511A3">
              <w:rPr>
                <w:noProof/>
                <w:webHidden/>
              </w:rPr>
              <w:fldChar w:fldCharType="begin"/>
            </w:r>
            <w:r w:rsidR="00C511A3">
              <w:rPr>
                <w:noProof/>
                <w:webHidden/>
              </w:rPr>
              <w:instrText xml:space="preserve"> PAGEREF _Toc8637313 \h </w:instrText>
            </w:r>
            <w:r w:rsidR="00C511A3">
              <w:rPr>
                <w:noProof/>
                <w:webHidden/>
              </w:rPr>
            </w:r>
            <w:r w:rsidR="00C511A3">
              <w:rPr>
                <w:noProof/>
                <w:webHidden/>
              </w:rPr>
              <w:fldChar w:fldCharType="separate"/>
            </w:r>
            <w:r w:rsidR="00C511A3">
              <w:rPr>
                <w:noProof/>
                <w:webHidden/>
              </w:rPr>
              <w:t>45</w:t>
            </w:r>
            <w:r w:rsidR="00C511A3">
              <w:rPr>
                <w:noProof/>
                <w:webHidden/>
              </w:rPr>
              <w:fldChar w:fldCharType="end"/>
            </w:r>
          </w:hyperlink>
        </w:p>
        <w:p w14:paraId="6FFC9439" w14:textId="74E893E2"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314" w:history="1">
            <w:r w:rsidR="00C511A3" w:rsidRPr="00687FBD">
              <w:rPr>
                <w:rStyle w:val="Hiperveza"/>
                <w:noProof/>
              </w:rPr>
              <w:t>2.8</w:t>
            </w:r>
            <w:r w:rsidR="00C511A3">
              <w:rPr>
                <w:rFonts w:asciiTheme="minorHAnsi" w:eastAsiaTheme="minorEastAsia" w:hAnsiTheme="minorHAnsi" w:cstheme="minorBidi"/>
                <w:noProof/>
                <w:sz w:val="22"/>
                <w:szCs w:val="22"/>
              </w:rPr>
              <w:tab/>
            </w:r>
            <w:r w:rsidR="00C511A3" w:rsidRPr="00687FBD">
              <w:rPr>
                <w:rStyle w:val="Hiperveza"/>
                <w:noProof/>
              </w:rPr>
              <w:t>MONITORING OSTATAKA POPs-OVA U LJUDSKOM MLIJEKU DOJILJA</w:t>
            </w:r>
            <w:r w:rsidR="00C511A3">
              <w:rPr>
                <w:noProof/>
                <w:webHidden/>
              </w:rPr>
              <w:tab/>
            </w:r>
            <w:r w:rsidR="00C511A3">
              <w:rPr>
                <w:noProof/>
                <w:webHidden/>
              </w:rPr>
              <w:fldChar w:fldCharType="begin"/>
            </w:r>
            <w:r w:rsidR="00C511A3">
              <w:rPr>
                <w:noProof/>
                <w:webHidden/>
              </w:rPr>
              <w:instrText xml:space="preserve"> PAGEREF _Toc8637314 \h </w:instrText>
            </w:r>
            <w:r w:rsidR="00C511A3">
              <w:rPr>
                <w:noProof/>
                <w:webHidden/>
              </w:rPr>
            </w:r>
            <w:r w:rsidR="00C511A3">
              <w:rPr>
                <w:noProof/>
                <w:webHidden/>
              </w:rPr>
              <w:fldChar w:fldCharType="separate"/>
            </w:r>
            <w:r w:rsidR="00C511A3">
              <w:rPr>
                <w:noProof/>
                <w:webHidden/>
              </w:rPr>
              <w:t>45</w:t>
            </w:r>
            <w:r w:rsidR="00C511A3">
              <w:rPr>
                <w:noProof/>
                <w:webHidden/>
              </w:rPr>
              <w:fldChar w:fldCharType="end"/>
            </w:r>
          </w:hyperlink>
        </w:p>
        <w:p w14:paraId="47CF45FE" w14:textId="5588B251" w:rsidR="00C511A3" w:rsidRDefault="00E54301">
          <w:pPr>
            <w:pStyle w:val="Sadraj2"/>
            <w:tabs>
              <w:tab w:val="left" w:pos="880"/>
              <w:tab w:val="right" w:leader="dot" w:pos="9628"/>
            </w:tabs>
            <w:rPr>
              <w:rFonts w:asciiTheme="minorHAnsi" w:eastAsiaTheme="minorEastAsia" w:hAnsiTheme="minorHAnsi" w:cstheme="minorBidi"/>
              <w:noProof/>
              <w:sz w:val="22"/>
              <w:szCs w:val="22"/>
            </w:rPr>
          </w:pPr>
          <w:hyperlink w:anchor="_Toc8637315" w:history="1">
            <w:r w:rsidR="00C511A3" w:rsidRPr="00687FBD">
              <w:rPr>
                <w:rStyle w:val="Hiperveza"/>
                <w:noProof/>
              </w:rPr>
              <w:t>2.9</w:t>
            </w:r>
            <w:r w:rsidR="00C511A3">
              <w:rPr>
                <w:rFonts w:asciiTheme="minorHAnsi" w:eastAsiaTheme="minorEastAsia" w:hAnsiTheme="minorHAnsi" w:cstheme="minorBidi"/>
                <w:noProof/>
                <w:sz w:val="22"/>
                <w:szCs w:val="22"/>
              </w:rPr>
              <w:tab/>
            </w:r>
            <w:r w:rsidR="00C511A3" w:rsidRPr="00687FBD">
              <w:rPr>
                <w:rStyle w:val="Hiperveza"/>
                <w:noProof/>
              </w:rPr>
              <w:t>MONITORING REZIDUA - OSTALI IZVORI</w:t>
            </w:r>
            <w:r w:rsidR="00C511A3">
              <w:rPr>
                <w:noProof/>
                <w:webHidden/>
              </w:rPr>
              <w:tab/>
            </w:r>
            <w:r w:rsidR="00C511A3">
              <w:rPr>
                <w:noProof/>
                <w:webHidden/>
              </w:rPr>
              <w:fldChar w:fldCharType="begin"/>
            </w:r>
            <w:r w:rsidR="00C511A3">
              <w:rPr>
                <w:noProof/>
                <w:webHidden/>
              </w:rPr>
              <w:instrText xml:space="preserve"> PAGEREF _Toc8637315 \h </w:instrText>
            </w:r>
            <w:r w:rsidR="00C511A3">
              <w:rPr>
                <w:noProof/>
                <w:webHidden/>
              </w:rPr>
            </w:r>
            <w:r w:rsidR="00C511A3">
              <w:rPr>
                <w:noProof/>
                <w:webHidden/>
              </w:rPr>
              <w:fldChar w:fldCharType="separate"/>
            </w:r>
            <w:r w:rsidR="00C511A3">
              <w:rPr>
                <w:noProof/>
                <w:webHidden/>
              </w:rPr>
              <w:t>46</w:t>
            </w:r>
            <w:r w:rsidR="00C511A3">
              <w:rPr>
                <w:noProof/>
                <w:webHidden/>
              </w:rPr>
              <w:fldChar w:fldCharType="end"/>
            </w:r>
          </w:hyperlink>
        </w:p>
        <w:p w14:paraId="75BD01B4" w14:textId="13E4C922" w:rsidR="00C511A3" w:rsidRDefault="00E54301">
          <w:pPr>
            <w:pStyle w:val="Sadraj2"/>
            <w:tabs>
              <w:tab w:val="left" w:pos="1100"/>
              <w:tab w:val="right" w:leader="dot" w:pos="9628"/>
            </w:tabs>
            <w:rPr>
              <w:rFonts w:asciiTheme="minorHAnsi" w:eastAsiaTheme="minorEastAsia" w:hAnsiTheme="minorHAnsi" w:cstheme="minorBidi"/>
              <w:noProof/>
              <w:sz w:val="22"/>
              <w:szCs w:val="22"/>
            </w:rPr>
          </w:pPr>
          <w:hyperlink w:anchor="_Toc8637316" w:history="1">
            <w:r w:rsidR="00C511A3" w:rsidRPr="00687FBD">
              <w:rPr>
                <w:rStyle w:val="Hiperveza"/>
                <w:noProof/>
              </w:rPr>
              <w:t>2.10</w:t>
            </w:r>
            <w:r w:rsidR="00C511A3">
              <w:rPr>
                <w:rFonts w:asciiTheme="minorHAnsi" w:eastAsiaTheme="minorEastAsia" w:hAnsiTheme="minorHAnsi" w:cstheme="minorBidi"/>
                <w:noProof/>
                <w:sz w:val="22"/>
                <w:szCs w:val="22"/>
              </w:rPr>
              <w:tab/>
            </w:r>
            <w:r w:rsidR="00C511A3" w:rsidRPr="00687FBD">
              <w:rPr>
                <w:rStyle w:val="Hiperveza"/>
                <w:noProof/>
              </w:rPr>
              <w:t>IZVJEŠTAJI IZ OVLAŠTENIH LABORATORIJA</w:t>
            </w:r>
            <w:r w:rsidR="00C511A3">
              <w:rPr>
                <w:noProof/>
                <w:webHidden/>
              </w:rPr>
              <w:tab/>
            </w:r>
            <w:r w:rsidR="00C511A3">
              <w:rPr>
                <w:noProof/>
                <w:webHidden/>
              </w:rPr>
              <w:fldChar w:fldCharType="begin"/>
            </w:r>
            <w:r w:rsidR="00C511A3">
              <w:rPr>
                <w:noProof/>
                <w:webHidden/>
              </w:rPr>
              <w:instrText xml:space="preserve"> PAGEREF _Toc8637316 \h </w:instrText>
            </w:r>
            <w:r w:rsidR="00C511A3">
              <w:rPr>
                <w:noProof/>
                <w:webHidden/>
              </w:rPr>
            </w:r>
            <w:r w:rsidR="00C511A3">
              <w:rPr>
                <w:noProof/>
                <w:webHidden/>
              </w:rPr>
              <w:fldChar w:fldCharType="separate"/>
            </w:r>
            <w:r w:rsidR="00C511A3">
              <w:rPr>
                <w:noProof/>
                <w:webHidden/>
              </w:rPr>
              <w:t>46</w:t>
            </w:r>
            <w:r w:rsidR="00C511A3">
              <w:rPr>
                <w:noProof/>
                <w:webHidden/>
              </w:rPr>
              <w:fldChar w:fldCharType="end"/>
            </w:r>
          </w:hyperlink>
        </w:p>
        <w:p w14:paraId="6EF74DD3" w14:textId="3F6A8DED" w:rsidR="00C511A3" w:rsidRDefault="00E54301">
          <w:pPr>
            <w:pStyle w:val="Sadraj1"/>
            <w:tabs>
              <w:tab w:val="left" w:pos="480"/>
              <w:tab w:val="right" w:leader="dot" w:pos="9628"/>
            </w:tabs>
            <w:rPr>
              <w:rFonts w:asciiTheme="minorHAnsi" w:eastAsiaTheme="minorEastAsia" w:hAnsiTheme="minorHAnsi" w:cstheme="minorBidi"/>
              <w:noProof/>
              <w:sz w:val="22"/>
              <w:szCs w:val="22"/>
            </w:rPr>
          </w:pPr>
          <w:hyperlink w:anchor="_Toc8637317" w:history="1">
            <w:r w:rsidR="00C511A3" w:rsidRPr="00687FBD">
              <w:rPr>
                <w:rStyle w:val="Hiperveza"/>
                <w:noProof/>
              </w:rPr>
              <w:t>3.</w:t>
            </w:r>
            <w:r w:rsidR="00C511A3">
              <w:rPr>
                <w:rFonts w:asciiTheme="minorHAnsi" w:eastAsiaTheme="minorEastAsia" w:hAnsiTheme="minorHAnsi" w:cstheme="minorBidi"/>
                <w:noProof/>
                <w:sz w:val="22"/>
                <w:szCs w:val="22"/>
              </w:rPr>
              <w:tab/>
            </w:r>
            <w:r w:rsidR="00C511A3" w:rsidRPr="00687FBD">
              <w:rPr>
                <w:rStyle w:val="Hiperveza"/>
                <w:noProof/>
              </w:rPr>
              <w:t>ZAKLJUČAK</w:t>
            </w:r>
            <w:r w:rsidR="00C511A3">
              <w:rPr>
                <w:noProof/>
                <w:webHidden/>
              </w:rPr>
              <w:tab/>
            </w:r>
            <w:r w:rsidR="00C511A3">
              <w:rPr>
                <w:noProof/>
                <w:webHidden/>
              </w:rPr>
              <w:fldChar w:fldCharType="begin"/>
            </w:r>
            <w:r w:rsidR="00C511A3">
              <w:rPr>
                <w:noProof/>
                <w:webHidden/>
              </w:rPr>
              <w:instrText xml:space="preserve"> PAGEREF _Toc8637317 \h </w:instrText>
            </w:r>
            <w:r w:rsidR="00C511A3">
              <w:rPr>
                <w:noProof/>
                <w:webHidden/>
              </w:rPr>
            </w:r>
            <w:r w:rsidR="00C511A3">
              <w:rPr>
                <w:noProof/>
                <w:webHidden/>
              </w:rPr>
              <w:fldChar w:fldCharType="separate"/>
            </w:r>
            <w:r w:rsidR="00C511A3">
              <w:rPr>
                <w:noProof/>
                <w:webHidden/>
              </w:rPr>
              <w:t>48</w:t>
            </w:r>
            <w:r w:rsidR="00C511A3">
              <w:rPr>
                <w:noProof/>
                <w:webHidden/>
              </w:rPr>
              <w:fldChar w:fldCharType="end"/>
            </w:r>
          </w:hyperlink>
        </w:p>
        <w:p w14:paraId="2071862D" w14:textId="086645C1" w:rsidR="00C511A3" w:rsidRDefault="00E54301">
          <w:pPr>
            <w:pStyle w:val="Sadraj1"/>
            <w:tabs>
              <w:tab w:val="left" w:pos="480"/>
              <w:tab w:val="right" w:leader="dot" w:pos="9628"/>
            </w:tabs>
            <w:rPr>
              <w:rFonts w:asciiTheme="minorHAnsi" w:eastAsiaTheme="minorEastAsia" w:hAnsiTheme="minorHAnsi" w:cstheme="minorBidi"/>
              <w:noProof/>
              <w:sz w:val="22"/>
              <w:szCs w:val="22"/>
            </w:rPr>
          </w:pPr>
          <w:hyperlink w:anchor="_Toc8637318" w:history="1">
            <w:r w:rsidR="00C511A3" w:rsidRPr="00687FBD">
              <w:rPr>
                <w:rStyle w:val="Hiperveza"/>
                <w:noProof/>
              </w:rPr>
              <w:t>4.</w:t>
            </w:r>
            <w:r w:rsidR="00C511A3">
              <w:rPr>
                <w:rFonts w:asciiTheme="minorHAnsi" w:eastAsiaTheme="minorEastAsia" w:hAnsiTheme="minorHAnsi" w:cstheme="minorBidi"/>
                <w:noProof/>
                <w:sz w:val="22"/>
                <w:szCs w:val="22"/>
              </w:rPr>
              <w:tab/>
            </w:r>
            <w:r w:rsidR="00C511A3" w:rsidRPr="00687FBD">
              <w:rPr>
                <w:rStyle w:val="Hiperveza"/>
                <w:noProof/>
              </w:rPr>
              <w:t>PLANOVI ZA SLJEDEĆE DVOGODIŠNJE RAZDOBLJE</w:t>
            </w:r>
            <w:r w:rsidR="00C511A3">
              <w:rPr>
                <w:noProof/>
                <w:webHidden/>
              </w:rPr>
              <w:tab/>
            </w:r>
            <w:r w:rsidR="00C511A3">
              <w:rPr>
                <w:noProof/>
                <w:webHidden/>
              </w:rPr>
              <w:fldChar w:fldCharType="begin"/>
            </w:r>
            <w:r w:rsidR="00C511A3">
              <w:rPr>
                <w:noProof/>
                <w:webHidden/>
              </w:rPr>
              <w:instrText xml:space="preserve"> PAGEREF _Toc8637318 \h </w:instrText>
            </w:r>
            <w:r w:rsidR="00C511A3">
              <w:rPr>
                <w:noProof/>
                <w:webHidden/>
              </w:rPr>
            </w:r>
            <w:r w:rsidR="00C511A3">
              <w:rPr>
                <w:noProof/>
                <w:webHidden/>
              </w:rPr>
              <w:fldChar w:fldCharType="separate"/>
            </w:r>
            <w:r w:rsidR="00C511A3">
              <w:rPr>
                <w:noProof/>
                <w:webHidden/>
              </w:rPr>
              <w:t>49</w:t>
            </w:r>
            <w:r w:rsidR="00C511A3">
              <w:rPr>
                <w:noProof/>
                <w:webHidden/>
              </w:rPr>
              <w:fldChar w:fldCharType="end"/>
            </w:r>
          </w:hyperlink>
        </w:p>
        <w:p w14:paraId="2523F6FA" w14:textId="39B6D439" w:rsidR="00430E79" w:rsidRDefault="00430E79">
          <w:r>
            <w:rPr>
              <w:b/>
              <w:bCs/>
            </w:rPr>
            <w:fldChar w:fldCharType="end"/>
          </w:r>
        </w:p>
      </w:sdtContent>
    </w:sdt>
    <w:p w14:paraId="0807A8C1" w14:textId="25F4171E" w:rsidR="00C16409" w:rsidRDefault="00430E79" w:rsidP="00C16409">
      <w:pPr>
        <w:spacing w:after="200" w:line="276" w:lineRule="auto"/>
        <w:rPr>
          <w:b/>
          <w:sz w:val="28"/>
          <w:szCs w:val="28"/>
        </w:rPr>
      </w:pPr>
      <w:r>
        <w:rPr>
          <w:b/>
          <w:sz w:val="28"/>
          <w:szCs w:val="28"/>
        </w:rPr>
        <w:br w:type="page"/>
      </w:r>
    </w:p>
    <w:p w14:paraId="68072916" w14:textId="014FFCF2" w:rsidR="00561C97" w:rsidRDefault="00561C97" w:rsidP="00622D0D">
      <w:pPr>
        <w:pStyle w:val="CM10"/>
        <w:spacing w:after="120"/>
        <w:ind w:left="1503" w:hanging="1503"/>
        <w:jc w:val="both"/>
        <w:rPr>
          <w:rFonts w:ascii="Times New Roman" w:hAnsi="Times New Roman" w:cs="Times New Roman"/>
        </w:rPr>
      </w:pPr>
      <w:r>
        <w:rPr>
          <w:rFonts w:ascii="Times New Roman" w:hAnsi="Times New Roman" w:cs="Times New Roman"/>
        </w:rPr>
        <w:lastRenderedPageBreak/>
        <w:t>KRATICE:</w:t>
      </w:r>
    </w:p>
    <w:p w14:paraId="459E9A51" w14:textId="77777777" w:rsidR="00CB270F" w:rsidRDefault="00CB270F" w:rsidP="00C16409">
      <w:pPr>
        <w:pStyle w:val="CM10"/>
        <w:ind w:left="1505" w:hanging="1505"/>
        <w:jc w:val="both"/>
        <w:rPr>
          <w:rFonts w:ascii="Times New Roman" w:hAnsi="Times New Roman" w:cs="Times New Roman"/>
        </w:rPr>
      </w:pPr>
    </w:p>
    <w:p w14:paraId="402D2054" w14:textId="0D20FD35"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APZ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 xml:space="preserve">Agencija za poljoprivredno zemljište </w:t>
      </w:r>
    </w:p>
    <w:p w14:paraId="1E3E00B2" w14:textId="1235F43C"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BaP – </w:t>
      </w:r>
      <w:r w:rsidRPr="00C16409">
        <w:rPr>
          <w:rFonts w:ascii="Times New Roman" w:hAnsi="Times New Roman" w:cs="Times New Roman"/>
        </w:rPr>
        <w:tab/>
      </w:r>
      <w:r w:rsidR="00101852">
        <w:rPr>
          <w:rFonts w:ascii="Times New Roman" w:hAnsi="Times New Roman" w:cs="Times New Roman"/>
        </w:rPr>
        <w:tab/>
      </w:r>
      <w:r w:rsidR="008A6693">
        <w:rPr>
          <w:rFonts w:ascii="Times New Roman" w:hAnsi="Times New Roman" w:cs="Times New Roman"/>
        </w:rPr>
        <w:t>b</w:t>
      </w:r>
      <w:r w:rsidRPr="00C16409">
        <w:rPr>
          <w:rFonts w:ascii="Times New Roman" w:hAnsi="Times New Roman" w:cs="Times New Roman"/>
        </w:rPr>
        <w:t xml:space="preserve">enzo(a)piren </w:t>
      </w:r>
    </w:p>
    <w:p w14:paraId="4BAD7FC2" w14:textId="54CBB408"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BDE-209 – </w:t>
      </w:r>
      <w:r w:rsidRPr="00C16409">
        <w:rPr>
          <w:rFonts w:ascii="Times New Roman" w:hAnsi="Times New Roman" w:cs="Times New Roman"/>
        </w:rPr>
        <w:tab/>
      </w:r>
      <w:r w:rsidR="00101852">
        <w:rPr>
          <w:rFonts w:ascii="Times New Roman" w:hAnsi="Times New Roman" w:cs="Times New Roman"/>
        </w:rPr>
        <w:tab/>
      </w:r>
      <w:proofErr w:type="spellStart"/>
      <w:r w:rsidRPr="00C16409">
        <w:rPr>
          <w:rFonts w:ascii="Times New Roman" w:hAnsi="Times New Roman" w:cs="Times New Roman"/>
        </w:rPr>
        <w:t>dekabromodifenileter</w:t>
      </w:r>
      <w:proofErr w:type="spellEnd"/>
    </w:p>
    <w:p w14:paraId="5A0B202C" w14:textId="56D7AC26"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c-decaBDE – </w:t>
      </w:r>
      <w:r w:rsidRPr="00C16409">
        <w:rPr>
          <w:rFonts w:ascii="Times New Roman" w:hAnsi="Times New Roman" w:cs="Times New Roman"/>
        </w:rPr>
        <w:tab/>
      </w:r>
      <w:r w:rsidR="00101852">
        <w:rPr>
          <w:rFonts w:ascii="Times New Roman" w:hAnsi="Times New Roman" w:cs="Times New Roman"/>
        </w:rPr>
        <w:tab/>
      </w:r>
      <w:proofErr w:type="spellStart"/>
      <w:r w:rsidRPr="00C16409">
        <w:rPr>
          <w:rFonts w:ascii="Times New Roman" w:hAnsi="Times New Roman" w:cs="Times New Roman"/>
        </w:rPr>
        <w:t>dekabromodifenileter</w:t>
      </w:r>
      <w:proofErr w:type="spellEnd"/>
    </w:p>
    <w:p w14:paraId="77DE2AFF" w14:textId="66F3F3AE" w:rsidR="00C16409" w:rsidRPr="00C16409" w:rsidRDefault="00C16409" w:rsidP="00C16409">
      <w:pPr>
        <w:pStyle w:val="CM11"/>
        <w:ind w:left="1505" w:right="52" w:hanging="1505"/>
        <w:jc w:val="both"/>
        <w:rPr>
          <w:rFonts w:ascii="Times New Roman" w:hAnsi="Times New Roman" w:cs="Times New Roman"/>
        </w:rPr>
      </w:pPr>
      <w:r w:rsidRPr="00C16409">
        <w:rPr>
          <w:rFonts w:ascii="Times New Roman" w:hAnsi="Times New Roman" w:cs="Times New Roman"/>
        </w:rPr>
        <w:t xml:space="preserve">COP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 xml:space="preserve">engl. </w:t>
      </w:r>
      <w:proofErr w:type="spellStart"/>
      <w:r w:rsidRPr="00101852">
        <w:rPr>
          <w:rFonts w:ascii="Times New Roman" w:hAnsi="Times New Roman" w:cs="Times New Roman"/>
          <w:i/>
        </w:rPr>
        <w:t>Conference</w:t>
      </w:r>
      <w:proofErr w:type="spellEnd"/>
      <w:r w:rsidRPr="00101852">
        <w:rPr>
          <w:rFonts w:ascii="Times New Roman" w:hAnsi="Times New Roman" w:cs="Times New Roman"/>
          <w:i/>
        </w:rPr>
        <w:t xml:space="preserve"> </w:t>
      </w:r>
      <w:proofErr w:type="spellStart"/>
      <w:r w:rsidRPr="00101852">
        <w:rPr>
          <w:rFonts w:ascii="Times New Roman" w:hAnsi="Times New Roman" w:cs="Times New Roman"/>
          <w:i/>
        </w:rPr>
        <w:t>of</w:t>
      </w:r>
      <w:proofErr w:type="spellEnd"/>
      <w:r w:rsidRPr="00101852">
        <w:rPr>
          <w:rFonts w:ascii="Times New Roman" w:hAnsi="Times New Roman" w:cs="Times New Roman"/>
          <w:i/>
        </w:rPr>
        <w:t xml:space="preserve"> </w:t>
      </w:r>
      <w:proofErr w:type="spellStart"/>
      <w:r w:rsidRPr="00101852">
        <w:rPr>
          <w:rFonts w:ascii="Times New Roman" w:hAnsi="Times New Roman" w:cs="Times New Roman"/>
          <w:i/>
        </w:rPr>
        <w:t>the</w:t>
      </w:r>
      <w:proofErr w:type="spellEnd"/>
      <w:r w:rsidRPr="00101852">
        <w:rPr>
          <w:rFonts w:ascii="Times New Roman" w:hAnsi="Times New Roman" w:cs="Times New Roman"/>
          <w:i/>
        </w:rPr>
        <w:t xml:space="preserve"> </w:t>
      </w:r>
      <w:proofErr w:type="spellStart"/>
      <w:r w:rsidRPr="00101852">
        <w:rPr>
          <w:rFonts w:ascii="Times New Roman" w:hAnsi="Times New Roman" w:cs="Times New Roman"/>
          <w:i/>
        </w:rPr>
        <w:t>Parties</w:t>
      </w:r>
      <w:proofErr w:type="spellEnd"/>
      <w:r w:rsidRPr="00C16409">
        <w:rPr>
          <w:rFonts w:ascii="Times New Roman" w:hAnsi="Times New Roman" w:cs="Times New Roman"/>
        </w:rPr>
        <w:t xml:space="preserve">, Konferencija stranaka konvencije </w:t>
      </w:r>
    </w:p>
    <w:p w14:paraId="212471DF" w14:textId="2BB768BF"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CV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ciljna vrijednost</w:t>
      </w:r>
    </w:p>
    <w:p w14:paraId="0E314DF5" w14:textId="384BDCB8"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DDD, DDE – </w:t>
      </w:r>
      <w:r w:rsidRPr="00C16409">
        <w:rPr>
          <w:rFonts w:ascii="Times New Roman" w:hAnsi="Times New Roman" w:cs="Times New Roman"/>
        </w:rPr>
        <w:tab/>
      </w:r>
      <w:r w:rsidR="00101852">
        <w:rPr>
          <w:rFonts w:ascii="Times New Roman" w:hAnsi="Times New Roman" w:cs="Times New Roman"/>
        </w:rPr>
        <w:tab/>
      </w:r>
      <w:r w:rsidR="008A6693">
        <w:rPr>
          <w:rFonts w:ascii="Times New Roman" w:hAnsi="Times New Roman" w:cs="Times New Roman"/>
        </w:rPr>
        <w:t>m</w:t>
      </w:r>
      <w:r w:rsidRPr="00C16409">
        <w:rPr>
          <w:rFonts w:ascii="Times New Roman" w:hAnsi="Times New Roman" w:cs="Times New Roman"/>
        </w:rPr>
        <w:t xml:space="preserve">etaboliti DDT-a </w:t>
      </w:r>
    </w:p>
    <w:p w14:paraId="14887098" w14:textId="0E92FE54"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DDT – </w:t>
      </w:r>
      <w:r w:rsidRPr="00C16409">
        <w:rPr>
          <w:rFonts w:ascii="Times New Roman" w:hAnsi="Times New Roman" w:cs="Times New Roman"/>
        </w:rPr>
        <w:tab/>
      </w:r>
      <w:r w:rsidR="00101852">
        <w:rPr>
          <w:rFonts w:ascii="Times New Roman" w:hAnsi="Times New Roman" w:cs="Times New Roman"/>
        </w:rPr>
        <w:tab/>
      </w:r>
      <w:proofErr w:type="spellStart"/>
      <w:r w:rsidR="008A6693">
        <w:rPr>
          <w:rFonts w:ascii="Times New Roman" w:hAnsi="Times New Roman" w:cs="Times New Roman"/>
        </w:rPr>
        <w:t>d</w:t>
      </w:r>
      <w:r w:rsidRPr="00C16409">
        <w:rPr>
          <w:rFonts w:ascii="Times New Roman" w:hAnsi="Times New Roman" w:cs="Times New Roman"/>
        </w:rPr>
        <w:t>iklor-difenil-trikloretan</w:t>
      </w:r>
      <w:proofErr w:type="spellEnd"/>
      <w:r w:rsidRPr="00C16409">
        <w:rPr>
          <w:rFonts w:ascii="Times New Roman" w:hAnsi="Times New Roman" w:cs="Times New Roman"/>
        </w:rPr>
        <w:t xml:space="preserve"> </w:t>
      </w:r>
    </w:p>
    <w:p w14:paraId="515440B9" w14:textId="4EADB168"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DPMR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Državni program monitoringa rezidua</w:t>
      </w:r>
    </w:p>
    <w:p w14:paraId="2843DA51" w14:textId="57399628" w:rsidR="00C16409" w:rsidRPr="00C16409" w:rsidRDefault="004F5E97" w:rsidP="00101852">
      <w:pPr>
        <w:pStyle w:val="CM11"/>
        <w:ind w:left="2124" w:right="52" w:hanging="2124"/>
        <w:jc w:val="both"/>
        <w:rPr>
          <w:rFonts w:ascii="Times New Roman" w:hAnsi="Times New Roman" w:cs="Times New Roman"/>
        </w:rPr>
      </w:pPr>
      <w:r>
        <w:rPr>
          <w:rFonts w:ascii="Times New Roman" w:hAnsi="Times New Roman" w:cs="Times New Roman"/>
        </w:rPr>
        <w:t>E</w:t>
      </w:r>
      <w:r w:rsidR="00C16409" w:rsidRPr="00C16409">
        <w:rPr>
          <w:rFonts w:ascii="Times New Roman" w:hAnsi="Times New Roman" w:cs="Times New Roman"/>
        </w:rPr>
        <w:t xml:space="preserve">FFIS – </w:t>
      </w:r>
      <w:r w:rsidR="00C16409" w:rsidRPr="00C16409">
        <w:rPr>
          <w:rFonts w:ascii="Times New Roman" w:hAnsi="Times New Roman" w:cs="Times New Roman"/>
        </w:rPr>
        <w:tab/>
        <w:t>engl.</w:t>
      </w:r>
      <w:r w:rsidR="00C16409" w:rsidRPr="00C16409">
        <w:rPr>
          <w:rFonts w:ascii="Times New Roman" w:hAnsi="Times New Roman" w:cs="Times New Roman"/>
          <w:i/>
          <w:iCs/>
        </w:rPr>
        <w:t xml:space="preserve"> European </w:t>
      </w:r>
      <w:proofErr w:type="spellStart"/>
      <w:r w:rsidR="00C16409" w:rsidRPr="00C16409">
        <w:rPr>
          <w:rFonts w:ascii="Times New Roman" w:hAnsi="Times New Roman" w:cs="Times New Roman"/>
          <w:i/>
          <w:iCs/>
        </w:rPr>
        <w:t>Forest</w:t>
      </w:r>
      <w:proofErr w:type="spellEnd"/>
      <w:r w:rsidR="00C16409" w:rsidRPr="00C16409">
        <w:rPr>
          <w:rFonts w:ascii="Times New Roman" w:hAnsi="Times New Roman" w:cs="Times New Roman"/>
          <w:i/>
          <w:iCs/>
        </w:rPr>
        <w:t xml:space="preserve"> </w:t>
      </w:r>
      <w:proofErr w:type="spellStart"/>
      <w:r w:rsidR="00C16409" w:rsidRPr="00C16409">
        <w:rPr>
          <w:rFonts w:ascii="Times New Roman" w:hAnsi="Times New Roman" w:cs="Times New Roman"/>
          <w:i/>
          <w:iCs/>
        </w:rPr>
        <w:t>Fire</w:t>
      </w:r>
      <w:proofErr w:type="spellEnd"/>
      <w:r w:rsidR="00C16409" w:rsidRPr="00C16409">
        <w:rPr>
          <w:rFonts w:ascii="Times New Roman" w:hAnsi="Times New Roman" w:cs="Times New Roman"/>
          <w:i/>
          <w:iCs/>
        </w:rPr>
        <w:t xml:space="preserve"> </w:t>
      </w:r>
      <w:proofErr w:type="spellStart"/>
      <w:r w:rsidR="00C16409" w:rsidRPr="00C16409">
        <w:rPr>
          <w:rFonts w:ascii="Times New Roman" w:hAnsi="Times New Roman" w:cs="Times New Roman"/>
          <w:i/>
          <w:iCs/>
        </w:rPr>
        <w:t>Information</w:t>
      </w:r>
      <w:proofErr w:type="spellEnd"/>
      <w:r w:rsidR="00C16409" w:rsidRPr="00C16409">
        <w:rPr>
          <w:rFonts w:ascii="Times New Roman" w:hAnsi="Times New Roman" w:cs="Times New Roman"/>
          <w:i/>
          <w:iCs/>
        </w:rPr>
        <w:t xml:space="preserve"> System</w:t>
      </w:r>
      <w:r w:rsidR="00C16409" w:rsidRPr="00C16409">
        <w:rPr>
          <w:rFonts w:ascii="Times New Roman" w:hAnsi="Times New Roman" w:cs="Times New Roman"/>
        </w:rPr>
        <w:t xml:space="preserve">, hrv. Europski informacijski sustav šumskih požara </w:t>
      </w:r>
    </w:p>
    <w:p w14:paraId="4E1B187C" w14:textId="617888B8" w:rsidR="00C16409" w:rsidRPr="00C16409" w:rsidRDefault="00C16409" w:rsidP="00101852">
      <w:pPr>
        <w:ind w:left="2124" w:hanging="2124"/>
      </w:pPr>
      <w:r w:rsidRPr="00C16409">
        <w:t xml:space="preserve">EMEP – </w:t>
      </w:r>
      <w:r w:rsidRPr="00C16409">
        <w:tab/>
        <w:t xml:space="preserve">engl. </w:t>
      </w:r>
      <w:r w:rsidRPr="00C16409">
        <w:rPr>
          <w:i/>
          <w:iCs/>
        </w:rPr>
        <w:t xml:space="preserve">European Monitoring </w:t>
      </w:r>
      <w:proofErr w:type="spellStart"/>
      <w:r w:rsidRPr="00C16409">
        <w:rPr>
          <w:i/>
          <w:iCs/>
        </w:rPr>
        <w:t>and</w:t>
      </w:r>
      <w:proofErr w:type="spellEnd"/>
      <w:r w:rsidRPr="00C16409">
        <w:rPr>
          <w:i/>
          <w:iCs/>
        </w:rPr>
        <w:t xml:space="preserve"> </w:t>
      </w:r>
      <w:proofErr w:type="spellStart"/>
      <w:r w:rsidRPr="00C16409">
        <w:rPr>
          <w:i/>
          <w:iCs/>
        </w:rPr>
        <w:t>Evaluation</w:t>
      </w:r>
      <w:proofErr w:type="spellEnd"/>
      <w:r w:rsidRPr="00C16409">
        <w:rPr>
          <w:i/>
          <w:iCs/>
        </w:rPr>
        <w:t xml:space="preserve"> Program</w:t>
      </w:r>
      <w:r w:rsidRPr="00C16409">
        <w:t>, hrv. Program suradnje za praćenje i procjenu prekograničnog prijenosa oneči</w:t>
      </w:r>
      <w:r w:rsidRPr="00C16409">
        <w:softHyphen/>
        <w:t>šćujućih tvari u zraku na veliku</w:t>
      </w:r>
    </w:p>
    <w:p w14:paraId="00873CB2" w14:textId="17CB1D95" w:rsidR="00C16409" w:rsidRPr="00C16409" w:rsidRDefault="00C16409" w:rsidP="00C16409">
      <w:pPr>
        <w:pStyle w:val="CM11"/>
        <w:ind w:left="1505" w:right="52" w:hanging="1505"/>
        <w:jc w:val="both"/>
        <w:rPr>
          <w:rFonts w:ascii="Times New Roman" w:hAnsi="Times New Roman" w:cs="Times New Roman"/>
        </w:rPr>
      </w:pPr>
      <w:r w:rsidRPr="00C16409">
        <w:rPr>
          <w:rFonts w:ascii="Times New Roman" w:hAnsi="Times New Roman" w:cs="Times New Roman"/>
        </w:rPr>
        <w:t xml:space="preserve">FSC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eng</w:t>
      </w:r>
      <w:r w:rsidR="00101852">
        <w:rPr>
          <w:rFonts w:ascii="Times New Roman" w:hAnsi="Times New Roman" w:cs="Times New Roman"/>
        </w:rPr>
        <w:t>l</w:t>
      </w:r>
      <w:r w:rsidRPr="00C16409">
        <w:rPr>
          <w:rFonts w:ascii="Times New Roman" w:hAnsi="Times New Roman" w:cs="Times New Roman"/>
        </w:rPr>
        <w:t xml:space="preserve">. </w:t>
      </w:r>
      <w:proofErr w:type="spellStart"/>
      <w:r w:rsidRPr="00C16409">
        <w:rPr>
          <w:rFonts w:ascii="Times New Roman" w:hAnsi="Times New Roman" w:cs="Times New Roman"/>
          <w:i/>
        </w:rPr>
        <w:t>The</w:t>
      </w:r>
      <w:proofErr w:type="spellEnd"/>
      <w:r w:rsidRPr="00C16409">
        <w:rPr>
          <w:rFonts w:ascii="Times New Roman" w:hAnsi="Times New Roman" w:cs="Times New Roman"/>
          <w:i/>
        </w:rPr>
        <w:t xml:space="preserve"> </w:t>
      </w:r>
      <w:proofErr w:type="spellStart"/>
      <w:r w:rsidRPr="00C16409">
        <w:rPr>
          <w:rFonts w:ascii="Times New Roman" w:hAnsi="Times New Roman" w:cs="Times New Roman"/>
          <w:i/>
        </w:rPr>
        <w:t>Forest</w:t>
      </w:r>
      <w:proofErr w:type="spellEnd"/>
      <w:r w:rsidRPr="00C16409">
        <w:rPr>
          <w:rFonts w:ascii="Times New Roman" w:hAnsi="Times New Roman" w:cs="Times New Roman"/>
          <w:i/>
        </w:rPr>
        <w:t xml:space="preserve"> </w:t>
      </w:r>
      <w:proofErr w:type="spellStart"/>
      <w:r w:rsidRPr="00C16409">
        <w:rPr>
          <w:rFonts w:ascii="Times New Roman" w:hAnsi="Times New Roman" w:cs="Times New Roman"/>
          <w:i/>
        </w:rPr>
        <w:t>Stewardship</w:t>
      </w:r>
      <w:proofErr w:type="spellEnd"/>
      <w:r w:rsidRPr="00C16409">
        <w:rPr>
          <w:rFonts w:ascii="Times New Roman" w:hAnsi="Times New Roman" w:cs="Times New Roman"/>
          <w:i/>
        </w:rPr>
        <w:t xml:space="preserve"> </w:t>
      </w:r>
      <w:proofErr w:type="spellStart"/>
      <w:r w:rsidRPr="00C16409">
        <w:rPr>
          <w:rFonts w:ascii="Times New Roman" w:hAnsi="Times New Roman" w:cs="Times New Roman"/>
          <w:i/>
        </w:rPr>
        <w:t>Council</w:t>
      </w:r>
      <w:r w:rsidRPr="00C16409">
        <w:rPr>
          <w:rFonts w:ascii="Times New Roman" w:hAnsi="Times New Roman" w:cs="Times New Roman"/>
        </w:rPr>
        <w:t>m</w:t>
      </w:r>
      <w:proofErr w:type="spellEnd"/>
      <w:r w:rsidRPr="00C16409">
        <w:rPr>
          <w:rFonts w:ascii="Times New Roman" w:hAnsi="Times New Roman" w:cs="Times New Roman"/>
        </w:rPr>
        <w:t>, hrv. Vijeće za nadzor šuma</w:t>
      </w:r>
    </w:p>
    <w:p w14:paraId="5F301E80" w14:textId="29BF69C2" w:rsidR="00C16409" w:rsidRPr="00C16409" w:rsidRDefault="00C16409" w:rsidP="00C16409">
      <w:pPr>
        <w:pStyle w:val="CM11"/>
        <w:ind w:left="1505" w:right="52" w:hanging="1505"/>
        <w:jc w:val="both"/>
        <w:rPr>
          <w:rFonts w:ascii="Times New Roman" w:hAnsi="Times New Roman" w:cs="Times New Roman"/>
        </w:rPr>
      </w:pPr>
      <w:r w:rsidRPr="00C16409">
        <w:rPr>
          <w:rFonts w:ascii="Times New Roman" w:hAnsi="Times New Roman" w:cs="Times New Roman"/>
        </w:rPr>
        <w:t xml:space="preserve">GEF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 xml:space="preserve">engl. </w:t>
      </w:r>
      <w:r w:rsidRPr="00C16409">
        <w:rPr>
          <w:rFonts w:ascii="Times New Roman" w:hAnsi="Times New Roman" w:cs="Times New Roman"/>
          <w:i/>
          <w:iCs/>
        </w:rPr>
        <w:t xml:space="preserve">Global </w:t>
      </w:r>
      <w:proofErr w:type="spellStart"/>
      <w:r w:rsidRPr="00C16409">
        <w:rPr>
          <w:rFonts w:ascii="Times New Roman" w:hAnsi="Times New Roman" w:cs="Times New Roman"/>
          <w:i/>
          <w:iCs/>
        </w:rPr>
        <w:t>Environmental</w:t>
      </w:r>
      <w:proofErr w:type="spellEnd"/>
      <w:r w:rsidRPr="00C16409">
        <w:rPr>
          <w:rFonts w:ascii="Times New Roman" w:hAnsi="Times New Roman" w:cs="Times New Roman"/>
          <w:i/>
          <w:iCs/>
        </w:rPr>
        <w:t xml:space="preserve"> </w:t>
      </w:r>
      <w:proofErr w:type="spellStart"/>
      <w:r w:rsidRPr="00C16409">
        <w:rPr>
          <w:rFonts w:ascii="Times New Roman" w:hAnsi="Times New Roman" w:cs="Times New Roman"/>
          <w:i/>
          <w:iCs/>
        </w:rPr>
        <w:t>Fund</w:t>
      </w:r>
      <w:proofErr w:type="spellEnd"/>
      <w:r w:rsidRPr="00C16409">
        <w:rPr>
          <w:rFonts w:ascii="Times New Roman" w:hAnsi="Times New Roman" w:cs="Times New Roman"/>
        </w:rPr>
        <w:t xml:space="preserve">, hrv. Fond za globalni okoliš </w:t>
      </w:r>
    </w:p>
    <w:p w14:paraId="540F0A4A" w14:textId="783B8EEB"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GTPV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grupirana tijela podzemne vode</w:t>
      </w:r>
    </w:p>
    <w:p w14:paraId="600A8C80" w14:textId="053616CE"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HAOP – </w:t>
      </w:r>
      <w:r w:rsidRPr="00C16409">
        <w:rPr>
          <w:rFonts w:ascii="Times New Roman" w:hAnsi="Times New Roman" w:cs="Times New Roman"/>
        </w:rPr>
        <w:tab/>
      </w:r>
      <w:r w:rsidR="00101852">
        <w:rPr>
          <w:rFonts w:ascii="Times New Roman" w:hAnsi="Times New Roman" w:cs="Times New Roman"/>
        </w:rPr>
        <w:tab/>
      </w:r>
      <w:r w:rsidRPr="00C16409">
        <w:rPr>
          <w:rFonts w:ascii="Times New Roman" w:hAnsi="Times New Roman" w:cs="Times New Roman"/>
        </w:rPr>
        <w:t xml:space="preserve">Hrvatska agencija za okoliš i prirodu </w:t>
      </w:r>
    </w:p>
    <w:p w14:paraId="0FBCFF9E" w14:textId="74328621"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HBB – </w:t>
      </w:r>
      <w:r w:rsidRPr="00C16409">
        <w:rPr>
          <w:rFonts w:ascii="Times New Roman" w:hAnsi="Times New Roman" w:cs="Times New Roman"/>
        </w:rPr>
        <w:tab/>
      </w:r>
      <w:r w:rsidR="00101852">
        <w:rPr>
          <w:rFonts w:ascii="Times New Roman" w:hAnsi="Times New Roman" w:cs="Times New Roman"/>
        </w:rPr>
        <w:tab/>
      </w:r>
      <w:proofErr w:type="spellStart"/>
      <w:r w:rsidR="008A6693">
        <w:rPr>
          <w:rFonts w:ascii="Times New Roman" w:hAnsi="Times New Roman" w:cs="Times New Roman"/>
        </w:rPr>
        <w:t>h</w:t>
      </w:r>
      <w:r w:rsidRPr="00C16409">
        <w:rPr>
          <w:rFonts w:ascii="Times New Roman" w:hAnsi="Times New Roman" w:cs="Times New Roman"/>
        </w:rPr>
        <w:t>eksabromobifenil</w:t>
      </w:r>
      <w:proofErr w:type="spellEnd"/>
      <w:r w:rsidRPr="00C16409">
        <w:rPr>
          <w:rFonts w:ascii="Times New Roman" w:hAnsi="Times New Roman" w:cs="Times New Roman"/>
        </w:rPr>
        <w:t xml:space="preserve"> </w:t>
      </w:r>
    </w:p>
    <w:p w14:paraId="60A70033" w14:textId="7D0EC8F9" w:rsidR="00C16409" w:rsidRPr="00C16409" w:rsidRDefault="00C16409" w:rsidP="00C16409">
      <w:r w:rsidRPr="00C16409">
        <w:t xml:space="preserve">HCBD – </w:t>
      </w:r>
      <w:r w:rsidRPr="00C16409">
        <w:tab/>
        <w:t xml:space="preserve"> </w:t>
      </w:r>
      <w:r w:rsidR="00101852">
        <w:tab/>
      </w:r>
      <w:r w:rsidR="008A6693">
        <w:t>h</w:t>
      </w:r>
      <w:r w:rsidRPr="00C16409">
        <w:t>eksaklorobutadien</w:t>
      </w:r>
    </w:p>
    <w:p w14:paraId="01BFA063" w14:textId="006F449D" w:rsidR="00C16409" w:rsidRPr="00C16409" w:rsidRDefault="00C16409" w:rsidP="00C16409">
      <w:pPr>
        <w:pStyle w:val="CM10"/>
        <w:ind w:left="1503" w:hanging="1503"/>
        <w:jc w:val="both"/>
        <w:rPr>
          <w:rFonts w:ascii="Times New Roman" w:hAnsi="Times New Roman" w:cs="Times New Roman"/>
        </w:rPr>
      </w:pPr>
      <w:r w:rsidRPr="00C16409">
        <w:rPr>
          <w:rFonts w:ascii="Times New Roman" w:hAnsi="Times New Roman" w:cs="Times New Roman"/>
        </w:rPr>
        <w:t xml:space="preserve">HBCD/HBCDD – </w:t>
      </w:r>
      <w:r w:rsidRPr="00C16409">
        <w:rPr>
          <w:rFonts w:ascii="Times New Roman" w:hAnsi="Times New Roman" w:cs="Times New Roman"/>
        </w:rPr>
        <w:tab/>
      </w:r>
      <w:proofErr w:type="spellStart"/>
      <w:r w:rsidR="008A6693">
        <w:rPr>
          <w:rFonts w:ascii="Times New Roman" w:hAnsi="Times New Roman" w:cs="Times New Roman"/>
        </w:rPr>
        <w:t>h</w:t>
      </w:r>
      <w:r w:rsidRPr="00C16409">
        <w:rPr>
          <w:rFonts w:ascii="Times New Roman" w:hAnsi="Times New Roman" w:cs="Times New Roman"/>
        </w:rPr>
        <w:t>eksabromociklododekan</w:t>
      </w:r>
      <w:proofErr w:type="spellEnd"/>
      <w:r w:rsidRPr="00C16409">
        <w:rPr>
          <w:rFonts w:ascii="Times New Roman" w:hAnsi="Times New Roman" w:cs="Times New Roman"/>
        </w:rPr>
        <w:t xml:space="preserve"> </w:t>
      </w:r>
    </w:p>
    <w:p w14:paraId="2F78B31C" w14:textId="7413135D"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HCB – </w:t>
      </w:r>
      <w:r w:rsidRPr="00C16409">
        <w:rPr>
          <w:rFonts w:ascii="Times New Roman" w:hAnsi="Times New Roman" w:cs="Times New Roman"/>
        </w:rPr>
        <w:tab/>
      </w:r>
      <w:r w:rsidR="00101852">
        <w:rPr>
          <w:rFonts w:ascii="Times New Roman" w:hAnsi="Times New Roman" w:cs="Times New Roman"/>
        </w:rPr>
        <w:tab/>
      </w:r>
      <w:proofErr w:type="spellStart"/>
      <w:r w:rsidR="008A6693">
        <w:rPr>
          <w:rFonts w:ascii="Times New Roman" w:hAnsi="Times New Roman" w:cs="Times New Roman"/>
        </w:rPr>
        <w:t>h</w:t>
      </w:r>
      <w:r w:rsidRPr="00C16409">
        <w:rPr>
          <w:rFonts w:ascii="Times New Roman" w:hAnsi="Times New Roman" w:cs="Times New Roman"/>
        </w:rPr>
        <w:t>eksaklorobenzen</w:t>
      </w:r>
      <w:proofErr w:type="spellEnd"/>
      <w:r w:rsidRPr="00C16409">
        <w:rPr>
          <w:rFonts w:ascii="Times New Roman" w:hAnsi="Times New Roman" w:cs="Times New Roman"/>
        </w:rPr>
        <w:t xml:space="preserve"> </w:t>
      </w:r>
    </w:p>
    <w:p w14:paraId="447BF50B" w14:textId="6AF96783" w:rsidR="00C16409" w:rsidRPr="00C16409" w:rsidRDefault="00C16409" w:rsidP="00C16409">
      <w:pPr>
        <w:pStyle w:val="CM10"/>
        <w:ind w:left="1505" w:hanging="1505"/>
        <w:jc w:val="both"/>
        <w:rPr>
          <w:rFonts w:ascii="Times New Roman" w:hAnsi="Times New Roman" w:cs="Times New Roman"/>
        </w:rPr>
      </w:pPr>
      <w:r w:rsidRPr="00C16409">
        <w:rPr>
          <w:rFonts w:ascii="Times New Roman" w:hAnsi="Times New Roman" w:cs="Times New Roman"/>
        </w:rPr>
        <w:t xml:space="preserve">HCH – </w:t>
      </w:r>
      <w:r w:rsidRPr="00C16409">
        <w:rPr>
          <w:rFonts w:ascii="Times New Roman" w:hAnsi="Times New Roman" w:cs="Times New Roman"/>
        </w:rPr>
        <w:tab/>
      </w:r>
      <w:r w:rsidR="00101852">
        <w:rPr>
          <w:rFonts w:ascii="Times New Roman" w:hAnsi="Times New Roman" w:cs="Times New Roman"/>
        </w:rPr>
        <w:tab/>
      </w:r>
      <w:proofErr w:type="spellStart"/>
      <w:r w:rsidR="008A6693">
        <w:rPr>
          <w:rFonts w:ascii="Times New Roman" w:hAnsi="Times New Roman" w:cs="Times New Roman"/>
        </w:rPr>
        <w:t>h</w:t>
      </w:r>
      <w:r w:rsidRPr="00C16409">
        <w:rPr>
          <w:rFonts w:ascii="Times New Roman" w:hAnsi="Times New Roman" w:cs="Times New Roman"/>
        </w:rPr>
        <w:t>eksaklorocikloheksan</w:t>
      </w:r>
      <w:proofErr w:type="spellEnd"/>
      <w:r w:rsidRPr="00C16409">
        <w:rPr>
          <w:rFonts w:ascii="Times New Roman" w:hAnsi="Times New Roman" w:cs="Times New Roman"/>
        </w:rPr>
        <w:t xml:space="preserve"> </w:t>
      </w:r>
    </w:p>
    <w:p w14:paraId="6274767E" w14:textId="1D9E5A42" w:rsidR="00C16409" w:rsidRPr="00C16409" w:rsidRDefault="00C16409" w:rsidP="00C16409">
      <w:pPr>
        <w:pStyle w:val="Default"/>
        <w:widowControl w:val="0"/>
        <w:numPr>
          <w:ilvl w:val="0"/>
          <w:numId w:val="31"/>
        </w:numPr>
      </w:pPr>
      <w:r w:rsidRPr="00C16409">
        <w:rPr>
          <w:color w:val="auto"/>
        </w:rPr>
        <w:t xml:space="preserve">IOR </w:t>
      </w:r>
      <w:r w:rsidRPr="00C16409">
        <w:t xml:space="preserve">– </w:t>
      </w:r>
      <w:r w:rsidRPr="00C16409">
        <w:tab/>
      </w:r>
      <w:r w:rsidRPr="00C16409">
        <w:tab/>
      </w:r>
      <w:r w:rsidR="00101852">
        <w:tab/>
      </w:r>
      <w:r w:rsidRPr="00C16409">
        <w:t>Institut za oceanografiju i ribarstvo iz Splita</w:t>
      </w:r>
    </w:p>
    <w:p w14:paraId="28F2B543" w14:textId="6AE207B2" w:rsidR="00C16409" w:rsidRPr="00C16409" w:rsidRDefault="00C16409" w:rsidP="00C16409">
      <w:pPr>
        <w:pStyle w:val="Default"/>
        <w:widowControl w:val="0"/>
        <w:numPr>
          <w:ilvl w:val="0"/>
          <w:numId w:val="31"/>
        </w:numPr>
        <w:rPr>
          <w:color w:val="auto"/>
        </w:rPr>
      </w:pPr>
      <w:r w:rsidRPr="00C16409">
        <w:rPr>
          <w:color w:val="auto"/>
        </w:rPr>
        <w:t xml:space="preserve">IRB </w:t>
      </w:r>
      <w:r w:rsidRPr="00C16409">
        <w:t xml:space="preserve">– </w:t>
      </w:r>
      <w:r w:rsidRPr="00C16409">
        <w:tab/>
      </w:r>
      <w:r w:rsidRPr="00C16409">
        <w:tab/>
      </w:r>
      <w:r w:rsidR="00101852">
        <w:tab/>
      </w:r>
      <w:r w:rsidRPr="00C16409">
        <w:rPr>
          <w:color w:val="auto"/>
        </w:rPr>
        <w:t>Institut Ruđer Bošković iz Zagreba</w:t>
      </w:r>
    </w:p>
    <w:p w14:paraId="02209DFD" w14:textId="0F87DBBD" w:rsidR="00C16409" w:rsidRPr="00C16409" w:rsidRDefault="00C16409" w:rsidP="00101852">
      <w:pPr>
        <w:pStyle w:val="Default"/>
        <w:widowControl w:val="0"/>
        <w:ind w:left="2124" w:hanging="2124"/>
        <w:rPr>
          <w:color w:val="auto"/>
        </w:rPr>
      </w:pPr>
      <w:r w:rsidRPr="00C16409">
        <w:rPr>
          <w:color w:val="auto"/>
        </w:rPr>
        <w:t>IWW</w:t>
      </w:r>
      <w:r w:rsidRPr="00C16409">
        <w:t xml:space="preserve"> – </w:t>
      </w:r>
      <w:r w:rsidRPr="00C16409">
        <w:tab/>
      </w:r>
      <w:proofErr w:type="spellStart"/>
      <w:r w:rsidRPr="00C16409">
        <w:rPr>
          <w:color w:val="auto"/>
        </w:rPr>
        <w:t>Rheinisch-Westfalisches</w:t>
      </w:r>
      <w:proofErr w:type="spellEnd"/>
      <w:r w:rsidRPr="00C16409">
        <w:rPr>
          <w:color w:val="auto"/>
        </w:rPr>
        <w:t xml:space="preserve"> Institut </w:t>
      </w:r>
      <w:proofErr w:type="spellStart"/>
      <w:r w:rsidRPr="00C16409">
        <w:rPr>
          <w:color w:val="auto"/>
        </w:rPr>
        <w:t>fur</w:t>
      </w:r>
      <w:proofErr w:type="spellEnd"/>
      <w:r w:rsidRPr="00C16409">
        <w:rPr>
          <w:color w:val="auto"/>
        </w:rPr>
        <w:t xml:space="preserve"> </w:t>
      </w:r>
      <w:proofErr w:type="spellStart"/>
      <w:r w:rsidR="00101852">
        <w:rPr>
          <w:color w:val="auto"/>
        </w:rPr>
        <w:t>Wasser</w:t>
      </w:r>
      <w:proofErr w:type="spellEnd"/>
      <w:r w:rsidR="00101852">
        <w:rPr>
          <w:color w:val="auto"/>
        </w:rPr>
        <w:t xml:space="preserve"> </w:t>
      </w:r>
      <w:proofErr w:type="spellStart"/>
      <w:r w:rsidR="00101852">
        <w:rPr>
          <w:color w:val="auto"/>
        </w:rPr>
        <w:t>Beratungs</w:t>
      </w:r>
      <w:proofErr w:type="spellEnd"/>
      <w:r w:rsidR="00101852">
        <w:rPr>
          <w:color w:val="auto"/>
        </w:rPr>
        <w:t xml:space="preserve"> </w:t>
      </w:r>
      <w:proofErr w:type="spellStart"/>
      <w:r w:rsidR="00101852">
        <w:rPr>
          <w:color w:val="auto"/>
        </w:rPr>
        <w:t>und</w:t>
      </w:r>
      <w:proofErr w:type="spellEnd"/>
      <w:r w:rsidR="00101852">
        <w:rPr>
          <w:color w:val="auto"/>
        </w:rPr>
        <w:t xml:space="preserve"> </w:t>
      </w:r>
      <w:proofErr w:type="spellStart"/>
      <w:r w:rsidRPr="00C16409">
        <w:rPr>
          <w:color w:val="auto"/>
        </w:rPr>
        <w:t>Entwicklungsgesellschaft</w:t>
      </w:r>
      <w:proofErr w:type="spellEnd"/>
      <w:r w:rsidRPr="00C16409">
        <w:rPr>
          <w:color w:val="auto"/>
        </w:rPr>
        <w:t xml:space="preserve"> </w:t>
      </w:r>
      <w:proofErr w:type="spellStart"/>
      <w:r w:rsidRPr="00C16409">
        <w:rPr>
          <w:color w:val="auto"/>
        </w:rPr>
        <w:t>mbH</w:t>
      </w:r>
      <w:proofErr w:type="spellEnd"/>
      <w:r w:rsidRPr="00C16409">
        <w:rPr>
          <w:color w:val="auto"/>
        </w:rPr>
        <w:t xml:space="preserve">, </w:t>
      </w:r>
      <w:proofErr w:type="spellStart"/>
      <w:r w:rsidRPr="00C16409">
        <w:rPr>
          <w:color w:val="auto"/>
        </w:rPr>
        <w:t>Mulheim</w:t>
      </w:r>
      <w:proofErr w:type="spellEnd"/>
      <w:r w:rsidRPr="00C16409">
        <w:rPr>
          <w:color w:val="auto"/>
        </w:rPr>
        <w:t xml:space="preserve"> </w:t>
      </w:r>
      <w:proofErr w:type="spellStart"/>
      <w:r w:rsidRPr="00C16409">
        <w:rPr>
          <w:color w:val="auto"/>
        </w:rPr>
        <w:t>and</w:t>
      </w:r>
      <w:proofErr w:type="spellEnd"/>
      <w:r w:rsidRPr="00C16409">
        <w:rPr>
          <w:color w:val="auto"/>
        </w:rPr>
        <w:t xml:space="preserve"> </w:t>
      </w:r>
      <w:proofErr w:type="spellStart"/>
      <w:r w:rsidRPr="00C16409">
        <w:rPr>
          <w:color w:val="auto"/>
        </w:rPr>
        <w:t>der</w:t>
      </w:r>
      <w:proofErr w:type="spellEnd"/>
      <w:r w:rsidRPr="00C16409">
        <w:rPr>
          <w:color w:val="auto"/>
        </w:rPr>
        <w:t xml:space="preserve"> </w:t>
      </w:r>
      <w:proofErr w:type="spellStart"/>
      <w:r w:rsidRPr="00C16409">
        <w:rPr>
          <w:color w:val="auto"/>
        </w:rPr>
        <w:t>Ruhr</w:t>
      </w:r>
      <w:proofErr w:type="spellEnd"/>
      <w:r w:rsidRPr="00C16409">
        <w:rPr>
          <w:color w:val="auto"/>
        </w:rPr>
        <w:t>, Njemačka</w:t>
      </w:r>
    </w:p>
    <w:p w14:paraId="3859B3CD" w14:textId="36FBEF4A" w:rsidR="00C16409" w:rsidRPr="00C16409" w:rsidRDefault="00C16409" w:rsidP="00165DDD">
      <w:pPr>
        <w:pStyle w:val="Default"/>
        <w:widowControl w:val="0"/>
        <w:ind w:left="2127" w:hanging="2127"/>
      </w:pPr>
      <w:r w:rsidRPr="00C16409">
        <w:rPr>
          <w:color w:val="auto"/>
        </w:rPr>
        <w:t>LRTAP Konvencija</w:t>
      </w:r>
      <w:r w:rsidR="00101852">
        <w:rPr>
          <w:color w:val="auto"/>
        </w:rPr>
        <w:t xml:space="preserve"> </w:t>
      </w:r>
      <w:r w:rsidR="00101852">
        <w:t xml:space="preserve">– </w:t>
      </w:r>
      <w:r w:rsidRPr="00C16409">
        <w:t>Konvenciju o dalekosežnom prekograničnom onečišćenju zraka iz 1979. godine</w:t>
      </w:r>
    </w:p>
    <w:p w14:paraId="368CCCEA" w14:textId="77777777" w:rsidR="00CB270F" w:rsidRDefault="00C16409" w:rsidP="00C16409">
      <w:pPr>
        <w:pStyle w:val="Default"/>
        <w:widowControl w:val="0"/>
        <w:numPr>
          <w:ilvl w:val="0"/>
          <w:numId w:val="31"/>
        </w:numPr>
        <w:rPr>
          <w:color w:val="auto"/>
        </w:rPr>
      </w:pPr>
      <w:r w:rsidRPr="00C16409">
        <w:t xml:space="preserve">MDK – </w:t>
      </w:r>
      <w:r w:rsidRPr="00C16409">
        <w:tab/>
      </w:r>
      <w:r w:rsidR="00101852">
        <w:tab/>
      </w:r>
      <w:r w:rsidR="008A6693">
        <w:rPr>
          <w:color w:val="auto"/>
        </w:rPr>
        <w:t>m</w:t>
      </w:r>
      <w:r w:rsidRPr="00C16409">
        <w:rPr>
          <w:color w:val="auto"/>
        </w:rPr>
        <w:t>aksimalna dozvoljena koncentracija</w:t>
      </w:r>
    </w:p>
    <w:p w14:paraId="49CE7C76" w14:textId="05D4B0A6" w:rsidR="00CB270F" w:rsidRPr="00CB270F" w:rsidRDefault="00CB270F" w:rsidP="00CB270F">
      <w:pPr>
        <w:pStyle w:val="Default"/>
        <w:widowControl w:val="0"/>
        <w:numPr>
          <w:ilvl w:val="0"/>
          <w:numId w:val="31"/>
        </w:numPr>
        <w:rPr>
          <w:color w:val="auto"/>
        </w:rPr>
      </w:pPr>
      <w:r>
        <w:t>MGK –</w:t>
      </w:r>
      <w:r w:rsidRPr="00CB270F">
        <w:rPr>
          <w:color w:val="auto"/>
        </w:rPr>
        <w:t xml:space="preserve"> </w:t>
      </w:r>
      <w:r w:rsidR="00C16409" w:rsidRPr="00CB270F">
        <w:rPr>
          <w:color w:val="auto"/>
        </w:rPr>
        <w:t xml:space="preserve"> </w:t>
      </w:r>
      <w:r>
        <w:rPr>
          <w:color w:val="auto"/>
        </w:rPr>
        <w:tab/>
      </w:r>
      <w:r>
        <w:rPr>
          <w:color w:val="auto"/>
        </w:rPr>
        <w:tab/>
        <w:t>m</w:t>
      </w:r>
      <w:r w:rsidRPr="00C16409">
        <w:rPr>
          <w:color w:val="auto"/>
        </w:rPr>
        <w:t xml:space="preserve">aksimalna </w:t>
      </w:r>
      <w:r>
        <w:rPr>
          <w:color w:val="auto"/>
        </w:rPr>
        <w:t>godišnja</w:t>
      </w:r>
      <w:r w:rsidRPr="00C16409">
        <w:rPr>
          <w:color w:val="auto"/>
        </w:rPr>
        <w:t xml:space="preserve"> koncentracija</w:t>
      </w:r>
    </w:p>
    <w:p w14:paraId="60964435" w14:textId="77777777" w:rsidR="00165DDD" w:rsidRDefault="00C16409" w:rsidP="00C16409">
      <w:pPr>
        <w:pStyle w:val="Default"/>
        <w:widowControl w:val="0"/>
        <w:numPr>
          <w:ilvl w:val="0"/>
          <w:numId w:val="31"/>
        </w:numPr>
        <w:rPr>
          <w:color w:val="auto"/>
        </w:rPr>
      </w:pPr>
      <w:r w:rsidRPr="00C16409">
        <w:t xml:space="preserve">MZOE – </w:t>
      </w:r>
      <w:r w:rsidRPr="00C16409">
        <w:tab/>
      </w:r>
      <w:r w:rsidR="00101852">
        <w:tab/>
      </w:r>
      <w:r w:rsidRPr="00C16409">
        <w:rPr>
          <w:color w:val="auto"/>
        </w:rPr>
        <w:t>Ministarstvo zaštite okoliša i energetike</w:t>
      </w:r>
    </w:p>
    <w:p w14:paraId="72286909" w14:textId="40A67A70" w:rsidR="00C16409" w:rsidRPr="00165DDD" w:rsidRDefault="00165DDD" w:rsidP="00165DDD">
      <w:pPr>
        <w:pStyle w:val="Default"/>
        <w:widowControl w:val="0"/>
        <w:numPr>
          <w:ilvl w:val="0"/>
          <w:numId w:val="31"/>
        </w:numPr>
        <w:rPr>
          <w:color w:val="auto"/>
        </w:rPr>
      </w:pPr>
      <w:r>
        <w:t>MZOIP –</w:t>
      </w:r>
      <w:r>
        <w:rPr>
          <w:color w:val="auto"/>
        </w:rPr>
        <w:t xml:space="preserve"> </w:t>
      </w:r>
      <w:r>
        <w:rPr>
          <w:color w:val="auto"/>
        </w:rPr>
        <w:tab/>
      </w:r>
      <w:r>
        <w:rPr>
          <w:color w:val="auto"/>
        </w:rPr>
        <w:tab/>
        <w:t>Ministarstvo zaštite okoliša i prirode</w:t>
      </w:r>
    </w:p>
    <w:p w14:paraId="13526021" w14:textId="1D12E290" w:rsidR="00C16409" w:rsidRPr="00C16409" w:rsidRDefault="00C16409" w:rsidP="00165DDD">
      <w:pPr>
        <w:pStyle w:val="Default"/>
        <w:widowControl w:val="0"/>
        <w:ind w:left="2127" w:hanging="2127"/>
        <w:rPr>
          <w:color w:val="auto"/>
        </w:rPr>
      </w:pPr>
      <w:r w:rsidRPr="00C16409">
        <w:rPr>
          <w:color w:val="auto"/>
        </w:rPr>
        <w:t>NIP</w:t>
      </w:r>
      <w:r w:rsidRPr="00C16409">
        <w:t xml:space="preserve"> – </w:t>
      </w:r>
      <w:r w:rsidRPr="00C16409">
        <w:tab/>
      </w:r>
      <w:r w:rsidRPr="00C16409">
        <w:rPr>
          <w:color w:val="auto"/>
        </w:rPr>
        <w:t>Nacionalni plan za provedbu Stockholmske konvencije o postojanim organskim onečišćujućim tvarima</w:t>
      </w:r>
    </w:p>
    <w:p w14:paraId="5A3E8E28" w14:textId="7DD2CF5E" w:rsidR="00C16409" w:rsidRPr="00C16409" w:rsidRDefault="00C16409" w:rsidP="00C16409">
      <w:pPr>
        <w:pStyle w:val="Default"/>
        <w:widowControl w:val="0"/>
        <w:numPr>
          <w:ilvl w:val="0"/>
          <w:numId w:val="31"/>
        </w:numPr>
        <w:rPr>
          <w:color w:val="auto"/>
        </w:rPr>
      </w:pPr>
      <w:r w:rsidRPr="00C16409">
        <w:rPr>
          <w:color w:val="auto"/>
        </w:rPr>
        <w:t xml:space="preserve">NZLO </w:t>
      </w:r>
      <w:r w:rsidRPr="00C16409">
        <w:t xml:space="preserve">– </w:t>
      </w:r>
      <w:r w:rsidRPr="00C16409">
        <w:tab/>
      </w:r>
      <w:r w:rsidR="00101852">
        <w:tab/>
      </w:r>
      <w:r w:rsidRPr="00C16409">
        <w:rPr>
          <w:color w:val="auto"/>
        </w:rPr>
        <w:t xml:space="preserve">Nacionalni laboratorij za </w:t>
      </w:r>
      <w:proofErr w:type="spellStart"/>
      <w:r w:rsidRPr="00C16409">
        <w:rPr>
          <w:color w:val="auto"/>
        </w:rPr>
        <w:t>zdravje</w:t>
      </w:r>
      <w:proofErr w:type="spellEnd"/>
      <w:r w:rsidRPr="00C16409">
        <w:rPr>
          <w:color w:val="auto"/>
        </w:rPr>
        <w:t xml:space="preserve">, </w:t>
      </w:r>
      <w:proofErr w:type="spellStart"/>
      <w:r w:rsidRPr="00C16409">
        <w:rPr>
          <w:color w:val="auto"/>
        </w:rPr>
        <w:t>okolje</w:t>
      </w:r>
      <w:proofErr w:type="spellEnd"/>
      <w:r w:rsidRPr="00C16409">
        <w:rPr>
          <w:color w:val="auto"/>
        </w:rPr>
        <w:t xml:space="preserve"> i hrano iz Maribora, Slovenija</w:t>
      </w:r>
    </w:p>
    <w:p w14:paraId="62BBF881" w14:textId="77777777" w:rsidR="002941B4" w:rsidRDefault="002941B4" w:rsidP="002941B4">
      <w:pPr>
        <w:pStyle w:val="Default"/>
        <w:widowControl w:val="0"/>
        <w:numPr>
          <w:ilvl w:val="1"/>
          <w:numId w:val="31"/>
        </w:numPr>
        <w:rPr>
          <w:color w:val="auto"/>
        </w:rPr>
      </w:pPr>
      <w:r>
        <w:t>PAH/</w:t>
      </w:r>
      <w:r w:rsidR="00C16409" w:rsidRPr="00C16409">
        <w:t xml:space="preserve">PAU – </w:t>
      </w:r>
      <w:r w:rsidR="00C16409" w:rsidRPr="00C16409">
        <w:tab/>
      </w:r>
      <w:r w:rsidR="00C16409" w:rsidRPr="00C16409">
        <w:tab/>
      </w:r>
      <w:r>
        <w:t xml:space="preserve">engl. </w:t>
      </w:r>
      <w:proofErr w:type="spellStart"/>
      <w:r w:rsidRPr="002941B4">
        <w:rPr>
          <w:i/>
        </w:rPr>
        <w:t>Polycyclic</w:t>
      </w:r>
      <w:proofErr w:type="spellEnd"/>
      <w:r w:rsidRPr="002941B4">
        <w:rPr>
          <w:i/>
        </w:rPr>
        <w:t xml:space="preserve"> </w:t>
      </w:r>
      <w:proofErr w:type="spellStart"/>
      <w:r w:rsidRPr="002941B4">
        <w:rPr>
          <w:i/>
        </w:rPr>
        <w:t>Aromatic</w:t>
      </w:r>
      <w:proofErr w:type="spellEnd"/>
      <w:r w:rsidRPr="002941B4">
        <w:rPr>
          <w:i/>
        </w:rPr>
        <w:t xml:space="preserve"> </w:t>
      </w:r>
      <w:proofErr w:type="spellStart"/>
      <w:r w:rsidRPr="002941B4">
        <w:rPr>
          <w:i/>
        </w:rPr>
        <w:t>Hydrocarbons</w:t>
      </w:r>
      <w:proofErr w:type="spellEnd"/>
      <w:r>
        <w:t>, hrv.</w:t>
      </w:r>
      <w:r w:rsidRPr="002941B4">
        <w:rPr>
          <w:i/>
        </w:rPr>
        <w:t xml:space="preserve"> </w:t>
      </w:r>
      <w:proofErr w:type="spellStart"/>
      <w:r w:rsidR="00165DDD">
        <w:rPr>
          <w:color w:val="auto"/>
        </w:rPr>
        <w:t>p</w:t>
      </w:r>
      <w:r w:rsidR="00C16409" w:rsidRPr="00C16409">
        <w:rPr>
          <w:color w:val="auto"/>
        </w:rPr>
        <w:t>oliciklički</w:t>
      </w:r>
      <w:proofErr w:type="spellEnd"/>
      <w:r w:rsidR="00C16409" w:rsidRPr="00C16409">
        <w:rPr>
          <w:color w:val="auto"/>
        </w:rPr>
        <w:t xml:space="preserve"> aromatski </w:t>
      </w:r>
    </w:p>
    <w:p w14:paraId="2CE068E7" w14:textId="753F4C29" w:rsidR="00C16409" w:rsidRPr="002941B4" w:rsidRDefault="00C16409" w:rsidP="002941B4">
      <w:pPr>
        <w:pStyle w:val="Default"/>
        <w:widowControl w:val="0"/>
        <w:ind w:firstLine="2127"/>
        <w:rPr>
          <w:color w:val="auto"/>
        </w:rPr>
      </w:pPr>
      <w:r w:rsidRPr="002941B4">
        <w:rPr>
          <w:color w:val="auto"/>
        </w:rPr>
        <w:t xml:space="preserve">ugljikovodici </w:t>
      </w:r>
      <w:r w:rsidR="002941B4" w:rsidRPr="002941B4">
        <w:rPr>
          <w:color w:val="auto"/>
        </w:rPr>
        <w:t>(PAU)</w:t>
      </w:r>
    </w:p>
    <w:p w14:paraId="38252DA0" w14:textId="5C959FCA" w:rsidR="00C16409" w:rsidRPr="00C16409" w:rsidRDefault="00C16409" w:rsidP="00C16409">
      <w:pPr>
        <w:pStyle w:val="Default"/>
        <w:widowControl w:val="0"/>
        <w:numPr>
          <w:ilvl w:val="0"/>
          <w:numId w:val="31"/>
        </w:numPr>
        <w:rPr>
          <w:color w:val="auto"/>
        </w:rPr>
      </w:pPr>
      <w:r w:rsidRPr="00C16409">
        <w:t xml:space="preserve">PBDE – </w:t>
      </w:r>
      <w:r w:rsidRPr="00C16409">
        <w:tab/>
      </w:r>
      <w:r w:rsidR="00101852">
        <w:tab/>
      </w:r>
      <w:proofErr w:type="spellStart"/>
      <w:r w:rsidR="00165DDD">
        <w:rPr>
          <w:color w:val="auto"/>
        </w:rPr>
        <w:t>p</w:t>
      </w:r>
      <w:r w:rsidRPr="00C16409">
        <w:rPr>
          <w:color w:val="auto"/>
        </w:rPr>
        <w:t>olibromiranidifenil</w:t>
      </w:r>
      <w:proofErr w:type="spellEnd"/>
      <w:r w:rsidRPr="00C16409">
        <w:rPr>
          <w:color w:val="auto"/>
        </w:rPr>
        <w:t xml:space="preserve"> eteri </w:t>
      </w:r>
    </w:p>
    <w:p w14:paraId="05542673" w14:textId="7FC2DDC6" w:rsidR="00C16409" w:rsidRPr="00C16409" w:rsidRDefault="00C16409" w:rsidP="00C16409">
      <w:pPr>
        <w:pStyle w:val="Default"/>
        <w:widowControl w:val="0"/>
        <w:numPr>
          <w:ilvl w:val="0"/>
          <w:numId w:val="31"/>
        </w:numPr>
        <w:rPr>
          <w:color w:val="auto"/>
        </w:rPr>
      </w:pPr>
      <w:r w:rsidRPr="00C16409">
        <w:t xml:space="preserve">PCB – </w:t>
      </w:r>
      <w:r w:rsidRPr="00C16409">
        <w:tab/>
      </w:r>
      <w:r w:rsidRPr="00C16409">
        <w:tab/>
      </w:r>
      <w:r w:rsidR="00101852">
        <w:tab/>
      </w:r>
      <w:proofErr w:type="spellStart"/>
      <w:r w:rsidR="00165DDD">
        <w:rPr>
          <w:color w:val="auto"/>
        </w:rPr>
        <w:t>p</w:t>
      </w:r>
      <w:r w:rsidRPr="00C16409">
        <w:rPr>
          <w:color w:val="auto"/>
        </w:rPr>
        <w:t>oliklorirani</w:t>
      </w:r>
      <w:proofErr w:type="spellEnd"/>
      <w:r w:rsidRPr="00C16409">
        <w:rPr>
          <w:color w:val="auto"/>
        </w:rPr>
        <w:t xml:space="preserve"> </w:t>
      </w:r>
      <w:proofErr w:type="spellStart"/>
      <w:r w:rsidRPr="00C16409">
        <w:rPr>
          <w:color w:val="auto"/>
        </w:rPr>
        <w:t>bifenili</w:t>
      </w:r>
      <w:proofErr w:type="spellEnd"/>
      <w:r w:rsidRPr="00C16409">
        <w:rPr>
          <w:color w:val="auto"/>
        </w:rPr>
        <w:t xml:space="preserve"> </w:t>
      </w:r>
    </w:p>
    <w:p w14:paraId="0853BCA8" w14:textId="6ACF1AD9" w:rsidR="00C16409" w:rsidRPr="00C16409" w:rsidRDefault="00C16409" w:rsidP="00C16409">
      <w:pPr>
        <w:pStyle w:val="Default"/>
        <w:widowControl w:val="0"/>
        <w:numPr>
          <w:ilvl w:val="0"/>
          <w:numId w:val="31"/>
        </w:numPr>
        <w:rPr>
          <w:color w:val="auto"/>
        </w:rPr>
      </w:pPr>
      <w:r w:rsidRPr="00C16409">
        <w:t xml:space="preserve">PCDD – </w:t>
      </w:r>
      <w:r w:rsidRPr="00C16409">
        <w:tab/>
      </w:r>
      <w:r w:rsidR="00101852">
        <w:tab/>
      </w:r>
      <w:proofErr w:type="spellStart"/>
      <w:r w:rsidR="00165DDD">
        <w:rPr>
          <w:color w:val="auto"/>
        </w:rPr>
        <w:t>p</w:t>
      </w:r>
      <w:r w:rsidRPr="00C16409">
        <w:rPr>
          <w:color w:val="auto"/>
        </w:rPr>
        <w:t>oliklorirani</w:t>
      </w:r>
      <w:proofErr w:type="spellEnd"/>
      <w:r w:rsidRPr="00C16409">
        <w:rPr>
          <w:color w:val="auto"/>
        </w:rPr>
        <w:t xml:space="preserve"> </w:t>
      </w:r>
      <w:proofErr w:type="spellStart"/>
      <w:r w:rsidRPr="00C16409">
        <w:rPr>
          <w:color w:val="auto"/>
        </w:rPr>
        <w:t>dibenzo</w:t>
      </w:r>
      <w:proofErr w:type="spellEnd"/>
      <w:r w:rsidRPr="00C16409">
        <w:rPr>
          <w:color w:val="auto"/>
        </w:rPr>
        <w:t>-p-</w:t>
      </w:r>
      <w:proofErr w:type="spellStart"/>
      <w:r w:rsidRPr="00C16409">
        <w:rPr>
          <w:color w:val="auto"/>
        </w:rPr>
        <w:t>dioksini</w:t>
      </w:r>
      <w:proofErr w:type="spellEnd"/>
      <w:r w:rsidRPr="00C16409">
        <w:rPr>
          <w:color w:val="auto"/>
        </w:rPr>
        <w:t xml:space="preserve"> </w:t>
      </w:r>
    </w:p>
    <w:p w14:paraId="0F793953" w14:textId="0A19826B" w:rsidR="00C16409" w:rsidRPr="00C16409" w:rsidRDefault="00C16409" w:rsidP="00C16409">
      <w:pPr>
        <w:pStyle w:val="Default"/>
        <w:widowControl w:val="0"/>
        <w:numPr>
          <w:ilvl w:val="0"/>
          <w:numId w:val="31"/>
        </w:numPr>
        <w:rPr>
          <w:color w:val="auto"/>
        </w:rPr>
      </w:pPr>
      <w:r w:rsidRPr="00C16409">
        <w:t xml:space="preserve">PCDF – </w:t>
      </w:r>
      <w:r w:rsidRPr="00C16409">
        <w:tab/>
      </w:r>
      <w:r w:rsidR="00101852">
        <w:tab/>
      </w:r>
      <w:proofErr w:type="spellStart"/>
      <w:r w:rsidR="00165DDD">
        <w:rPr>
          <w:color w:val="auto"/>
        </w:rPr>
        <w:t>p</w:t>
      </w:r>
      <w:r w:rsidRPr="00C16409">
        <w:rPr>
          <w:color w:val="auto"/>
        </w:rPr>
        <w:t>oliklorirani</w:t>
      </w:r>
      <w:proofErr w:type="spellEnd"/>
      <w:r w:rsidRPr="00C16409">
        <w:rPr>
          <w:color w:val="auto"/>
        </w:rPr>
        <w:t xml:space="preserve"> </w:t>
      </w:r>
      <w:proofErr w:type="spellStart"/>
      <w:r w:rsidRPr="00C16409">
        <w:rPr>
          <w:color w:val="auto"/>
        </w:rPr>
        <w:t>dibenzofurani</w:t>
      </w:r>
      <w:proofErr w:type="spellEnd"/>
      <w:r w:rsidRPr="00C16409">
        <w:rPr>
          <w:color w:val="auto"/>
        </w:rPr>
        <w:t xml:space="preserve"> </w:t>
      </w:r>
    </w:p>
    <w:p w14:paraId="3898D2C9" w14:textId="32052BC8" w:rsidR="00C16409" w:rsidRPr="00C16409" w:rsidRDefault="00C16409" w:rsidP="00C16409">
      <w:pPr>
        <w:pStyle w:val="Default"/>
        <w:widowControl w:val="0"/>
        <w:numPr>
          <w:ilvl w:val="0"/>
          <w:numId w:val="31"/>
        </w:numPr>
        <w:rPr>
          <w:color w:val="auto"/>
        </w:rPr>
      </w:pPr>
      <w:r w:rsidRPr="00C16409">
        <w:rPr>
          <w:color w:val="auto"/>
        </w:rPr>
        <w:t xml:space="preserve">PCN – </w:t>
      </w:r>
      <w:r w:rsidRPr="00C16409">
        <w:rPr>
          <w:color w:val="auto"/>
        </w:rPr>
        <w:tab/>
        <w:t xml:space="preserve"> </w:t>
      </w:r>
      <w:r w:rsidRPr="00C16409">
        <w:rPr>
          <w:color w:val="auto"/>
        </w:rPr>
        <w:tab/>
      </w:r>
      <w:r w:rsidR="00101852">
        <w:rPr>
          <w:color w:val="auto"/>
        </w:rPr>
        <w:tab/>
      </w:r>
      <w:proofErr w:type="spellStart"/>
      <w:r w:rsidR="00165DDD">
        <w:rPr>
          <w:color w:val="auto"/>
        </w:rPr>
        <w:t>p</w:t>
      </w:r>
      <w:r w:rsidRPr="00C16409">
        <w:rPr>
          <w:color w:val="auto"/>
        </w:rPr>
        <w:t>oliklorirani</w:t>
      </w:r>
      <w:proofErr w:type="spellEnd"/>
      <w:r w:rsidRPr="00C16409">
        <w:rPr>
          <w:color w:val="auto"/>
        </w:rPr>
        <w:t xml:space="preserve"> </w:t>
      </w:r>
      <w:proofErr w:type="spellStart"/>
      <w:r w:rsidRPr="00C16409">
        <w:rPr>
          <w:color w:val="auto"/>
        </w:rPr>
        <w:t>naftaleni</w:t>
      </w:r>
      <w:proofErr w:type="spellEnd"/>
      <w:r w:rsidRPr="00C16409">
        <w:rPr>
          <w:color w:val="auto"/>
        </w:rPr>
        <w:t xml:space="preserve"> </w:t>
      </w:r>
    </w:p>
    <w:p w14:paraId="59DB343F" w14:textId="1EC3A164" w:rsidR="00C16409" w:rsidRPr="00C16409" w:rsidRDefault="00C16409" w:rsidP="00C16409">
      <w:pPr>
        <w:pStyle w:val="Default"/>
        <w:widowControl w:val="0"/>
        <w:numPr>
          <w:ilvl w:val="0"/>
          <w:numId w:val="31"/>
        </w:numPr>
        <w:rPr>
          <w:color w:val="auto"/>
        </w:rPr>
      </w:pPr>
      <w:r w:rsidRPr="00C16409">
        <w:rPr>
          <w:color w:val="auto"/>
        </w:rPr>
        <w:t xml:space="preserve">PCP – </w:t>
      </w:r>
      <w:r w:rsidRPr="00C16409">
        <w:rPr>
          <w:color w:val="auto"/>
        </w:rPr>
        <w:tab/>
        <w:t xml:space="preserve"> </w:t>
      </w:r>
      <w:r w:rsidRPr="00C16409">
        <w:rPr>
          <w:color w:val="auto"/>
        </w:rPr>
        <w:tab/>
      </w:r>
      <w:r w:rsidR="00101852">
        <w:rPr>
          <w:color w:val="auto"/>
        </w:rPr>
        <w:tab/>
      </w:r>
      <w:proofErr w:type="spellStart"/>
      <w:r w:rsidR="00165DDD">
        <w:rPr>
          <w:color w:val="auto"/>
        </w:rPr>
        <w:t>p</w:t>
      </w:r>
      <w:r w:rsidRPr="00C16409">
        <w:rPr>
          <w:color w:val="auto"/>
        </w:rPr>
        <w:t>entaklorofenol</w:t>
      </w:r>
      <w:proofErr w:type="spellEnd"/>
      <w:r w:rsidRPr="00C16409">
        <w:rPr>
          <w:color w:val="auto"/>
        </w:rPr>
        <w:t xml:space="preserve"> i njegove soli i esteri</w:t>
      </w:r>
    </w:p>
    <w:p w14:paraId="49703CD0" w14:textId="10059AAC" w:rsidR="00C16409" w:rsidRPr="00C16409" w:rsidRDefault="00C16409" w:rsidP="00C16409">
      <w:pPr>
        <w:pStyle w:val="Default"/>
        <w:widowControl w:val="0"/>
        <w:numPr>
          <w:ilvl w:val="0"/>
          <w:numId w:val="31"/>
        </w:numPr>
        <w:rPr>
          <w:color w:val="auto"/>
        </w:rPr>
      </w:pPr>
      <w:r w:rsidRPr="00C16409">
        <w:t xml:space="preserve">PCT – </w:t>
      </w:r>
      <w:r w:rsidRPr="00C16409">
        <w:tab/>
      </w:r>
      <w:r w:rsidRPr="00C16409">
        <w:tab/>
      </w:r>
      <w:r w:rsidR="00101852">
        <w:tab/>
      </w:r>
      <w:proofErr w:type="spellStart"/>
      <w:r w:rsidR="002941B4">
        <w:rPr>
          <w:color w:val="auto"/>
        </w:rPr>
        <w:t>p</w:t>
      </w:r>
      <w:r w:rsidRPr="00C16409">
        <w:rPr>
          <w:color w:val="auto"/>
        </w:rPr>
        <w:t>oliklorirani</w:t>
      </w:r>
      <w:proofErr w:type="spellEnd"/>
      <w:r w:rsidRPr="00C16409">
        <w:rPr>
          <w:color w:val="auto"/>
        </w:rPr>
        <w:t xml:space="preserve"> </w:t>
      </w:r>
      <w:proofErr w:type="spellStart"/>
      <w:r w:rsidRPr="00C16409">
        <w:rPr>
          <w:color w:val="auto"/>
        </w:rPr>
        <w:t>terfenili</w:t>
      </w:r>
      <w:proofErr w:type="spellEnd"/>
      <w:r w:rsidRPr="00C16409">
        <w:rPr>
          <w:color w:val="auto"/>
        </w:rPr>
        <w:t xml:space="preserve"> </w:t>
      </w:r>
    </w:p>
    <w:p w14:paraId="71D9CEED" w14:textId="4AB2E9BB" w:rsidR="00C16409" w:rsidRPr="00C16409" w:rsidRDefault="00C16409" w:rsidP="00C16409">
      <w:pPr>
        <w:pStyle w:val="Default"/>
        <w:widowControl w:val="0"/>
        <w:numPr>
          <w:ilvl w:val="0"/>
          <w:numId w:val="31"/>
        </w:numPr>
        <w:rPr>
          <w:color w:val="auto"/>
        </w:rPr>
      </w:pPr>
      <w:proofErr w:type="spellStart"/>
      <w:r w:rsidRPr="00C16409">
        <w:t>PeCB</w:t>
      </w:r>
      <w:proofErr w:type="spellEnd"/>
      <w:r w:rsidRPr="00C16409">
        <w:t xml:space="preserve"> – </w:t>
      </w:r>
      <w:r w:rsidRPr="00C16409">
        <w:tab/>
      </w:r>
      <w:r w:rsidR="00101852">
        <w:tab/>
      </w:r>
      <w:r w:rsidR="00165DDD">
        <w:rPr>
          <w:color w:val="auto"/>
        </w:rPr>
        <w:t>p</w:t>
      </w:r>
      <w:r w:rsidRPr="00C16409">
        <w:rPr>
          <w:color w:val="auto"/>
        </w:rPr>
        <w:t xml:space="preserve">entaklorobenzen </w:t>
      </w:r>
    </w:p>
    <w:p w14:paraId="4BE4525B" w14:textId="33ACD49C" w:rsidR="00C16409" w:rsidRPr="00C16409" w:rsidRDefault="00C16409" w:rsidP="00C16409">
      <w:pPr>
        <w:pStyle w:val="Default"/>
        <w:widowControl w:val="0"/>
        <w:numPr>
          <w:ilvl w:val="0"/>
          <w:numId w:val="31"/>
        </w:numPr>
        <w:rPr>
          <w:color w:val="auto"/>
        </w:rPr>
      </w:pPr>
      <w:r w:rsidRPr="00C16409">
        <w:rPr>
          <w:color w:val="auto"/>
        </w:rPr>
        <w:t xml:space="preserve">PFOA </w:t>
      </w:r>
      <w:r w:rsidRPr="00C16409">
        <w:t xml:space="preserve">– </w:t>
      </w:r>
      <w:r w:rsidRPr="00C16409">
        <w:tab/>
      </w:r>
      <w:r w:rsidR="00101852">
        <w:tab/>
      </w:r>
      <w:proofErr w:type="spellStart"/>
      <w:r w:rsidRPr="00C16409">
        <w:rPr>
          <w:color w:val="auto"/>
        </w:rPr>
        <w:t>perfluorooktanska</w:t>
      </w:r>
      <w:proofErr w:type="spellEnd"/>
      <w:r w:rsidRPr="00C16409">
        <w:rPr>
          <w:color w:val="auto"/>
        </w:rPr>
        <w:t xml:space="preserve"> kiselina</w:t>
      </w:r>
    </w:p>
    <w:p w14:paraId="11385B6E" w14:textId="365085ED" w:rsidR="00C16409" w:rsidRPr="00C16409" w:rsidRDefault="00C16409" w:rsidP="00C16409">
      <w:pPr>
        <w:pStyle w:val="Default"/>
        <w:widowControl w:val="0"/>
        <w:numPr>
          <w:ilvl w:val="0"/>
          <w:numId w:val="31"/>
        </w:numPr>
        <w:rPr>
          <w:color w:val="auto"/>
        </w:rPr>
      </w:pPr>
      <w:r w:rsidRPr="00C16409">
        <w:t xml:space="preserve">PFOS – </w:t>
      </w:r>
      <w:r w:rsidRPr="00C16409">
        <w:tab/>
      </w:r>
      <w:r w:rsidR="00101852">
        <w:tab/>
      </w:r>
      <w:proofErr w:type="spellStart"/>
      <w:r w:rsidR="00165DDD">
        <w:rPr>
          <w:color w:val="auto"/>
        </w:rPr>
        <w:t>p</w:t>
      </w:r>
      <w:r w:rsidRPr="00C16409">
        <w:rPr>
          <w:color w:val="auto"/>
        </w:rPr>
        <w:t>erfluorooktan</w:t>
      </w:r>
      <w:proofErr w:type="spellEnd"/>
      <w:r w:rsidRPr="00C16409">
        <w:rPr>
          <w:color w:val="auto"/>
        </w:rPr>
        <w:t xml:space="preserve"> </w:t>
      </w:r>
      <w:proofErr w:type="spellStart"/>
      <w:r w:rsidRPr="00C16409">
        <w:rPr>
          <w:color w:val="auto"/>
        </w:rPr>
        <w:t>sulfonska</w:t>
      </w:r>
      <w:proofErr w:type="spellEnd"/>
      <w:r w:rsidRPr="00C16409">
        <w:rPr>
          <w:color w:val="auto"/>
        </w:rPr>
        <w:t xml:space="preserve"> kiselina </w:t>
      </w:r>
    </w:p>
    <w:p w14:paraId="3A1853CB" w14:textId="1DCF83DA" w:rsidR="00C16409" w:rsidRPr="00C16409" w:rsidRDefault="00C16409" w:rsidP="00C16409">
      <w:pPr>
        <w:pStyle w:val="Default"/>
        <w:widowControl w:val="0"/>
        <w:numPr>
          <w:ilvl w:val="0"/>
          <w:numId w:val="31"/>
        </w:numPr>
        <w:rPr>
          <w:color w:val="auto"/>
        </w:rPr>
      </w:pPr>
      <w:r w:rsidRPr="00C16409">
        <w:t xml:space="preserve">PFOSF – </w:t>
      </w:r>
      <w:r w:rsidRPr="00C16409">
        <w:tab/>
      </w:r>
      <w:r w:rsidR="00101852">
        <w:tab/>
      </w:r>
      <w:proofErr w:type="spellStart"/>
      <w:r w:rsidR="00165DDD">
        <w:rPr>
          <w:color w:val="auto"/>
        </w:rPr>
        <w:t>p</w:t>
      </w:r>
      <w:r w:rsidRPr="00C16409">
        <w:rPr>
          <w:color w:val="auto"/>
        </w:rPr>
        <w:t>erfluorooktan</w:t>
      </w:r>
      <w:proofErr w:type="spellEnd"/>
      <w:r w:rsidRPr="00C16409">
        <w:rPr>
          <w:color w:val="auto"/>
        </w:rPr>
        <w:t xml:space="preserve"> </w:t>
      </w:r>
      <w:proofErr w:type="spellStart"/>
      <w:r w:rsidRPr="00C16409">
        <w:rPr>
          <w:color w:val="auto"/>
        </w:rPr>
        <w:t>sulfonil</w:t>
      </w:r>
      <w:proofErr w:type="spellEnd"/>
      <w:r w:rsidRPr="00C16409">
        <w:rPr>
          <w:color w:val="auto"/>
        </w:rPr>
        <w:t xml:space="preserve"> fluorid </w:t>
      </w:r>
    </w:p>
    <w:p w14:paraId="52535B80" w14:textId="24BCFAF7" w:rsidR="00C16409" w:rsidRPr="00C16409" w:rsidRDefault="00C16409" w:rsidP="00C16409">
      <w:pPr>
        <w:pStyle w:val="Default"/>
        <w:widowControl w:val="0"/>
        <w:numPr>
          <w:ilvl w:val="0"/>
          <w:numId w:val="31"/>
        </w:numPr>
        <w:rPr>
          <w:color w:val="auto"/>
        </w:rPr>
      </w:pPr>
      <w:r w:rsidRPr="00C16409">
        <w:rPr>
          <w:color w:val="auto"/>
        </w:rPr>
        <w:t xml:space="preserve">PGK </w:t>
      </w:r>
      <w:r w:rsidR="00101852">
        <w:t xml:space="preserve">– </w:t>
      </w:r>
      <w:r w:rsidR="00101852">
        <w:tab/>
      </w:r>
      <w:r w:rsidR="00101852">
        <w:tab/>
      </w:r>
      <w:r w:rsidR="00165DDD">
        <w:rPr>
          <w:color w:val="auto"/>
        </w:rPr>
        <w:t>p</w:t>
      </w:r>
      <w:r w:rsidRPr="00C16409">
        <w:rPr>
          <w:color w:val="auto"/>
        </w:rPr>
        <w:t>rosječna godišnja koncentracija</w:t>
      </w:r>
    </w:p>
    <w:p w14:paraId="62EA25A6" w14:textId="5D13F4BD" w:rsidR="00C16409" w:rsidRPr="00101852" w:rsidRDefault="00C16409" w:rsidP="007D7B0D">
      <w:pPr>
        <w:pStyle w:val="Default"/>
        <w:widowControl w:val="0"/>
        <w:tabs>
          <w:tab w:val="left" w:pos="1843"/>
        </w:tabs>
        <w:ind w:left="2127" w:hanging="2127"/>
        <w:rPr>
          <w:color w:val="auto"/>
        </w:rPr>
      </w:pPr>
      <w:proofErr w:type="spellStart"/>
      <w:r w:rsidRPr="00C16409">
        <w:rPr>
          <w:color w:val="auto"/>
        </w:rPr>
        <w:lastRenderedPageBreak/>
        <w:t>POPs</w:t>
      </w:r>
      <w:proofErr w:type="spellEnd"/>
      <w:r w:rsidRPr="00C16409">
        <w:rPr>
          <w:color w:val="auto"/>
        </w:rPr>
        <w:t xml:space="preserve">  </w:t>
      </w:r>
      <w:r w:rsidRPr="00C16409">
        <w:t xml:space="preserve">– </w:t>
      </w:r>
      <w:r w:rsidRPr="00C16409">
        <w:tab/>
        <w:t xml:space="preserve"> </w:t>
      </w:r>
      <w:r w:rsidR="00101852">
        <w:tab/>
      </w:r>
      <w:r w:rsidRPr="00C16409">
        <w:rPr>
          <w:color w:val="auto"/>
        </w:rPr>
        <w:t>eng</w:t>
      </w:r>
      <w:r w:rsidR="00101852">
        <w:rPr>
          <w:color w:val="auto"/>
        </w:rPr>
        <w:t>l</w:t>
      </w:r>
      <w:r w:rsidRPr="00C16409">
        <w:rPr>
          <w:color w:val="auto"/>
        </w:rPr>
        <w:t xml:space="preserve">. </w:t>
      </w:r>
      <w:proofErr w:type="spellStart"/>
      <w:r w:rsidRPr="00101852">
        <w:rPr>
          <w:i/>
          <w:color w:val="auto"/>
        </w:rPr>
        <w:t>Persistent</w:t>
      </w:r>
      <w:proofErr w:type="spellEnd"/>
      <w:r w:rsidRPr="00101852">
        <w:rPr>
          <w:i/>
          <w:color w:val="auto"/>
        </w:rPr>
        <w:t xml:space="preserve"> </w:t>
      </w:r>
      <w:proofErr w:type="spellStart"/>
      <w:r w:rsidRPr="00101852">
        <w:rPr>
          <w:i/>
          <w:color w:val="auto"/>
        </w:rPr>
        <w:t>Organic</w:t>
      </w:r>
      <w:proofErr w:type="spellEnd"/>
      <w:r w:rsidRPr="00101852">
        <w:rPr>
          <w:i/>
          <w:color w:val="auto"/>
        </w:rPr>
        <w:t xml:space="preserve"> </w:t>
      </w:r>
      <w:proofErr w:type="spellStart"/>
      <w:r w:rsidRPr="00101852">
        <w:rPr>
          <w:i/>
          <w:color w:val="auto"/>
        </w:rPr>
        <w:t>Pollutants</w:t>
      </w:r>
      <w:proofErr w:type="spellEnd"/>
      <w:r w:rsidR="00101852">
        <w:rPr>
          <w:color w:val="auto"/>
        </w:rPr>
        <w:t xml:space="preserve">, </w:t>
      </w:r>
      <w:r w:rsidR="00101852" w:rsidRPr="00101852">
        <w:rPr>
          <w:color w:val="auto"/>
        </w:rPr>
        <w:t>hrv.</w:t>
      </w:r>
      <w:r w:rsidR="00101852">
        <w:rPr>
          <w:color w:val="auto"/>
        </w:rPr>
        <w:t xml:space="preserve"> postojane organske onečišćujuće tvari</w:t>
      </w:r>
    </w:p>
    <w:p w14:paraId="4BB33D93" w14:textId="604A5522" w:rsidR="00C16409" w:rsidRPr="00C16409" w:rsidRDefault="00C16409" w:rsidP="006D135E">
      <w:pPr>
        <w:pStyle w:val="Default"/>
        <w:widowControl w:val="0"/>
        <w:ind w:left="2124" w:hanging="2124"/>
        <w:rPr>
          <w:color w:val="auto"/>
        </w:rPr>
      </w:pPr>
      <w:proofErr w:type="spellStart"/>
      <w:r w:rsidRPr="00C16409">
        <w:rPr>
          <w:color w:val="auto"/>
        </w:rPr>
        <w:t>POPs</w:t>
      </w:r>
      <w:proofErr w:type="spellEnd"/>
      <w:r w:rsidRPr="00C16409">
        <w:rPr>
          <w:color w:val="auto"/>
        </w:rPr>
        <w:t xml:space="preserve"> Uredba</w:t>
      </w:r>
      <w:r w:rsidR="00101852">
        <w:rPr>
          <w:color w:val="auto"/>
        </w:rPr>
        <w:t xml:space="preserve"> </w:t>
      </w:r>
      <w:r w:rsidRPr="00C16409">
        <w:t xml:space="preserve">– </w:t>
      </w:r>
      <w:r w:rsidRPr="00C16409">
        <w:tab/>
        <w:t xml:space="preserve">Uredba (EZ) br. 850/2004 Europskog parlamenta i Vijeća od 29. travnja </w:t>
      </w:r>
      <w:r w:rsidR="007D7B0D">
        <w:t xml:space="preserve">    </w:t>
      </w:r>
      <w:r w:rsidRPr="00C16409">
        <w:t>2004. o postojanim organskim onečišćujućim tvarima</w:t>
      </w:r>
    </w:p>
    <w:p w14:paraId="364E1C4D" w14:textId="7108F732" w:rsidR="00C16409" w:rsidRPr="00C16409" w:rsidRDefault="00C16409" w:rsidP="00C16409">
      <w:pPr>
        <w:pStyle w:val="Default"/>
        <w:widowControl w:val="0"/>
        <w:numPr>
          <w:ilvl w:val="0"/>
          <w:numId w:val="31"/>
        </w:numPr>
        <w:rPr>
          <w:color w:val="auto"/>
        </w:rPr>
      </w:pPr>
      <w:r w:rsidRPr="00C16409">
        <w:t xml:space="preserve">POPRC – </w:t>
      </w:r>
      <w:r w:rsidRPr="00C16409">
        <w:tab/>
      </w:r>
      <w:r w:rsidR="006D135E">
        <w:tab/>
      </w:r>
      <w:r w:rsidRPr="00C16409">
        <w:rPr>
          <w:color w:val="auto"/>
        </w:rPr>
        <w:t xml:space="preserve">Povjerenstvo za razmatranje novih kemikalija/ </w:t>
      </w:r>
      <w:proofErr w:type="spellStart"/>
      <w:r w:rsidRPr="00C16409">
        <w:rPr>
          <w:color w:val="auto"/>
        </w:rPr>
        <w:t>POPs</w:t>
      </w:r>
      <w:proofErr w:type="spellEnd"/>
      <w:r w:rsidRPr="00C16409">
        <w:rPr>
          <w:color w:val="auto"/>
        </w:rPr>
        <w:t xml:space="preserve">-ova </w:t>
      </w:r>
    </w:p>
    <w:p w14:paraId="6DA07F06" w14:textId="5202BD47" w:rsidR="00C16409" w:rsidRPr="00C16409" w:rsidRDefault="00C16409" w:rsidP="006D135E">
      <w:pPr>
        <w:pStyle w:val="Default"/>
        <w:widowControl w:val="0"/>
        <w:ind w:left="2127" w:hanging="2127"/>
        <w:rPr>
          <w:color w:val="auto"/>
        </w:rPr>
      </w:pPr>
      <w:r w:rsidRPr="00C16409">
        <w:rPr>
          <w:color w:val="auto"/>
        </w:rPr>
        <w:t>REACH</w:t>
      </w:r>
      <w:r w:rsidR="007D7B0D">
        <w:rPr>
          <w:color w:val="auto"/>
        </w:rPr>
        <w:t xml:space="preserve"> </w:t>
      </w:r>
      <w:r w:rsidRPr="00C16409">
        <w:t xml:space="preserve">– </w:t>
      </w:r>
      <w:r w:rsidRPr="00C16409">
        <w:tab/>
        <w:t>Uredb</w:t>
      </w:r>
      <w:r w:rsidR="00143646">
        <w:t>a</w:t>
      </w:r>
      <w:r w:rsidRPr="00C16409">
        <w:t xml:space="preserve"> (EZ) br. 1907/2006 Europskog Parlamenta i Vijeća od 18. prosinca 2006. o registraciji, evaluaciji, autorizaciji i ograničavanju kemikalija  </w:t>
      </w:r>
    </w:p>
    <w:p w14:paraId="41360D34" w14:textId="77777777" w:rsidR="00C16409" w:rsidRPr="00C16409" w:rsidRDefault="00C16409" w:rsidP="00C16409">
      <w:pPr>
        <w:pStyle w:val="Default"/>
        <w:widowControl w:val="0"/>
        <w:numPr>
          <w:ilvl w:val="0"/>
          <w:numId w:val="31"/>
        </w:numPr>
        <w:rPr>
          <w:color w:val="auto"/>
        </w:rPr>
      </w:pPr>
      <w:r w:rsidRPr="00C16409">
        <w:t xml:space="preserve">ROO – </w:t>
      </w:r>
      <w:r w:rsidRPr="00C16409">
        <w:tab/>
      </w:r>
      <w:r w:rsidRPr="00C16409">
        <w:tab/>
      </w:r>
      <w:r w:rsidRPr="00C16409">
        <w:rPr>
          <w:color w:val="auto"/>
        </w:rPr>
        <w:t xml:space="preserve">Registar onečišćavanja okoliša </w:t>
      </w:r>
    </w:p>
    <w:p w14:paraId="51A55FD4" w14:textId="77777777" w:rsidR="00C16409" w:rsidRPr="00C16409" w:rsidRDefault="00C16409" w:rsidP="006D135E">
      <w:pPr>
        <w:pStyle w:val="Default"/>
        <w:widowControl w:val="0"/>
        <w:ind w:left="2127" w:hanging="2127"/>
        <w:rPr>
          <w:color w:val="auto"/>
        </w:rPr>
      </w:pPr>
      <w:r w:rsidRPr="00C16409">
        <w:t xml:space="preserve">RPOT/OPVN – </w:t>
      </w:r>
      <w:r w:rsidRPr="00C16409">
        <w:tab/>
      </w:r>
      <w:r w:rsidRPr="00C16409">
        <w:rPr>
          <w:color w:val="auto"/>
        </w:rPr>
        <w:t xml:space="preserve">Registar postrojenja u kojima su prisutne opasne tvari/Očevidnik prijavljenih velikih nesreća </w:t>
      </w:r>
    </w:p>
    <w:p w14:paraId="505A1CFC" w14:textId="021A6C19" w:rsidR="00C16409" w:rsidRPr="00C16409" w:rsidRDefault="00C16409" w:rsidP="00C16409">
      <w:pPr>
        <w:pStyle w:val="Default"/>
        <w:widowControl w:val="0"/>
        <w:numPr>
          <w:ilvl w:val="0"/>
          <w:numId w:val="31"/>
        </w:numPr>
        <w:rPr>
          <w:color w:val="auto"/>
        </w:rPr>
      </w:pPr>
      <w:r w:rsidRPr="00C16409">
        <w:rPr>
          <w:color w:val="auto"/>
        </w:rPr>
        <w:t xml:space="preserve">SAICM – </w:t>
      </w:r>
      <w:r w:rsidRPr="00C16409">
        <w:rPr>
          <w:color w:val="auto"/>
        </w:rPr>
        <w:tab/>
      </w:r>
      <w:r w:rsidR="006D135E">
        <w:rPr>
          <w:color w:val="auto"/>
        </w:rPr>
        <w:tab/>
      </w:r>
      <w:r w:rsidRPr="00C16409">
        <w:rPr>
          <w:color w:val="auto"/>
        </w:rPr>
        <w:t xml:space="preserve">Strateški pristup međunarodnog upravljanja kemikalijama </w:t>
      </w:r>
    </w:p>
    <w:p w14:paraId="2C16C8A3" w14:textId="2412C939" w:rsidR="00C16409" w:rsidRPr="00C16409" w:rsidRDefault="00C16409" w:rsidP="00C16409">
      <w:pPr>
        <w:pStyle w:val="Default"/>
        <w:widowControl w:val="0"/>
        <w:numPr>
          <w:ilvl w:val="0"/>
          <w:numId w:val="31"/>
        </w:numPr>
        <w:rPr>
          <w:color w:val="auto"/>
        </w:rPr>
      </w:pPr>
      <w:r w:rsidRPr="00C16409">
        <w:t xml:space="preserve">SCCP – </w:t>
      </w:r>
      <w:r w:rsidRPr="00C16409">
        <w:tab/>
      </w:r>
      <w:r w:rsidR="006D135E">
        <w:tab/>
      </w:r>
      <w:proofErr w:type="spellStart"/>
      <w:r w:rsidR="006D135E">
        <w:rPr>
          <w:color w:val="auto"/>
        </w:rPr>
        <w:t>k</w:t>
      </w:r>
      <w:r w:rsidRPr="00C16409">
        <w:rPr>
          <w:color w:val="auto"/>
        </w:rPr>
        <w:t>ratkolančani</w:t>
      </w:r>
      <w:proofErr w:type="spellEnd"/>
      <w:r w:rsidRPr="00C16409">
        <w:rPr>
          <w:color w:val="auto"/>
        </w:rPr>
        <w:t xml:space="preserve"> klorirani parafini </w:t>
      </w:r>
    </w:p>
    <w:p w14:paraId="011BEDEF" w14:textId="0EF2FFA8" w:rsidR="00C16409" w:rsidRDefault="00C16409" w:rsidP="00C16409">
      <w:pPr>
        <w:pStyle w:val="Default"/>
        <w:widowControl w:val="0"/>
        <w:numPr>
          <w:ilvl w:val="0"/>
          <w:numId w:val="31"/>
        </w:numPr>
        <w:rPr>
          <w:color w:val="auto"/>
        </w:rPr>
      </w:pPr>
      <w:r w:rsidRPr="00C16409">
        <w:rPr>
          <w:color w:val="auto"/>
        </w:rPr>
        <w:t>SKVO</w:t>
      </w:r>
      <w:r w:rsidRPr="00C16409">
        <w:t xml:space="preserve"> – </w:t>
      </w:r>
      <w:r w:rsidRPr="00C16409">
        <w:tab/>
      </w:r>
      <w:r w:rsidR="006D135E">
        <w:tab/>
      </w:r>
      <w:r w:rsidRPr="00C16409">
        <w:rPr>
          <w:color w:val="auto"/>
        </w:rPr>
        <w:t>standard kvalitete vodenog okoliša</w:t>
      </w:r>
    </w:p>
    <w:p w14:paraId="1B468442" w14:textId="0A08B7FE" w:rsidR="002941B4" w:rsidRPr="002941B4" w:rsidRDefault="002941B4" w:rsidP="002941B4">
      <w:pPr>
        <w:pStyle w:val="Default"/>
        <w:widowControl w:val="0"/>
        <w:numPr>
          <w:ilvl w:val="0"/>
          <w:numId w:val="31"/>
        </w:numPr>
        <w:rPr>
          <w:color w:val="auto"/>
        </w:rPr>
      </w:pPr>
      <w:r>
        <w:rPr>
          <w:color w:val="auto"/>
        </w:rPr>
        <w:t>SZB –</w:t>
      </w:r>
      <w:r w:rsidRPr="002941B4">
        <w:rPr>
          <w:color w:val="auto"/>
        </w:rPr>
        <w:tab/>
      </w:r>
      <w:r w:rsidRPr="002941B4">
        <w:rPr>
          <w:color w:val="auto"/>
        </w:rPr>
        <w:tab/>
      </w:r>
      <w:r>
        <w:rPr>
          <w:color w:val="auto"/>
        </w:rPr>
        <w:tab/>
      </w:r>
      <w:r w:rsidRPr="002941B4">
        <w:rPr>
          <w:color w:val="auto"/>
        </w:rPr>
        <w:t>sredstva za zaštitu bilja</w:t>
      </w:r>
    </w:p>
    <w:p w14:paraId="27839FB3" w14:textId="25A30A3B" w:rsidR="00C16409" w:rsidRPr="00C16409" w:rsidRDefault="00C16409" w:rsidP="00C16409">
      <w:pPr>
        <w:pStyle w:val="Default"/>
        <w:widowControl w:val="0"/>
        <w:numPr>
          <w:ilvl w:val="0"/>
          <w:numId w:val="31"/>
        </w:numPr>
        <w:rPr>
          <w:color w:val="auto"/>
        </w:rPr>
      </w:pPr>
      <w:r w:rsidRPr="00C16409">
        <w:t xml:space="preserve">TEQ – </w:t>
      </w:r>
      <w:r w:rsidRPr="00C16409">
        <w:tab/>
      </w:r>
      <w:r w:rsidRPr="00C16409">
        <w:tab/>
      </w:r>
      <w:r w:rsidR="006D135E">
        <w:tab/>
      </w:r>
      <w:r w:rsidR="00CB270F">
        <w:rPr>
          <w:color w:val="auto"/>
        </w:rPr>
        <w:t>t</w:t>
      </w:r>
      <w:r w:rsidRPr="00C16409">
        <w:rPr>
          <w:color w:val="auto"/>
        </w:rPr>
        <w:t xml:space="preserve">oksični ekvivalent </w:t>
      </w:r>
    </w:p>
    <w:p w14:paraId="7F926081" w14:textId="5BB36CEE" w:rsidR="00C16409" w:rsidRPr="00C16409" w:rsidRDefault="00C16409" w:rsidP="00334685">
      <w:pPr>
        <w:pStyle w:val="Default"/>
        <w:widowControl w:val="0"/>
        <w:ind w:left="2124" w:hanging="2124"/>
        <w:rPr>
          <w:color w:val="auto"/>
        </w:rPr>
      </w:pPr>
      <w:r w:rsidRPr="00C16409">
        <w:t xml:space="preserve">UNEP – </w:t>
      </w:r>
      <w:r w:rsidRPr="00C16409">
        <w:tab/>
      </w:r>
      <w:r w:rsidRPr="00C16409">
        <w:rPr>
          <w:color w:val="auto"/>
        </w:rPr>
        <w:t xml:space="preserve">engl. </w:t>
      </w:r>
      <w:r w:rsidRPr="00C16409">
        <w:rPr>
          <w:i/>
          <w:iCs/>
          <w:color w:val="auto"/>
        </w:rPr>
        <w:t xml:space="preserve">United Nations </w:t>
      </w:r>
      <w:proofErr w:type="spellStart"/>
      <w:r w:rsidRPr="00C16409">
        <w:rPr>
          <w:i/>
          <w:iCs/>
          <w:color w:val="auto"/>
        </w:rPr>
        <w:t>Environment</w:t>
      </w:r>
      <w:proofErr w:type="spellEnd"/>
      <w:r w:rsidRPr="00C16409">
        <w:rPr>
          <w:i/>
          <w:iCs/>
          <w:color w:val="auto"/>
        </w:rPr>
        <w:t xml:space="preserve"> </w:t>
      </w:r>
      <w:proofErr w:type="spellStart"/>
      <w:r w:rsidRPr="00C16409">
        <w:rPr>
          <w:i/>
          <w:iCs/>
          <w:color w:val="auto"/>
        </w:rPr>
        <w:t>Programme</w:t>
      </w:r>
      <w:proofErr w:type="spellEnd"/>
      <w:r w:rsidRPr="00C16409">
        <w:rPr>
          <w:color w:val="auto"/>
        </w:rPr>
        <w:t xml:space="preserve">, hrv. Program Ujedinjenih naroda za okoliš </w:t>
      </w:r>
    </w:p>
    <w:p w14:paraId="536FDB57" w14:textId="77777777" w:rsidR="00334685" w:rsidRDefault="00334685">
      <w:pPr>
        <w:spacing w:after="200" w:line="276" w:lineRule="auto"/>
        <w:rPr>
          <w:bCs/>
          <w:kern w:val="32"/>
        </w:rPr>
      </w:pPr>
    </w:p>
    <w:p w14:paraId="43FBDCB9" w14:textId="77777777" w:rsidR="00334685" w:rsidRPr="00742787" w:rsidRDefault="00334685">
      <w:pPr>
        <w:spacing w:after="200" w:line="276" w:lineRule="auto"/>
        <w:rPr>
          <w:bCs/>
          <w:kern w:val="32"/>
          <w:u w:val="single"/>
        </w:rPr>
      </w:pPr>
      <w:r w:rsidRPr="00742787">
        <w:rPr>
          <w:bCs/>
          <w:kern w:val="32"/>
          <w:u w:val="single"/>
        </w:rPr>
        <w:t>Napomene:</w:t>
      </w:r>
    </w:p>
    <w:p w14:paraId="68D8F97E" w14:textId="23E85EC4" w:rsidR="00334685" w:rsidRPr="00334685" w:rsidRDefault="00334685" w:rsidP="00334685">
      <w:pPr>
        <w:spacing w:after="200" w:line="276" w:lineRule="auto"/>
        <w:jc w:val="both"/>
        <w:rPr>
          <w:bCs/>
          <w:kern w:val="32"/>
        </w:rPr>
      </w:pPr>
      <w:r w:rsidRPr="00334685">
        <w:rPr>
          <w:bCs/>
          <w:kern w:val="32"/>
        </w:rPr>
        <w:t>Ministarstvo zaštite okoliša i prirode je u listopadu 2016. sukladno Zakonu o ustrojstvu i djelokrugu ministarstava i drugih središnjih tijela državne uprave (Narode novine, br. 93/16 i 104/16) promijenilo naziv u Ministarstvo zaštite okoliša i energetike.</w:t>
      </w:r>
    </w:p>
    <w:p w14:paraId="762A0F7B" w14:textId="287D160D" w:rsidR="00334685" w:rsidRDefault="00334685" w:rsidP="00334685">
      <w:pPr>
        <w:spacing w:after="200" w:line="276" w:lineRule="auto"/>
        <w:jc w:val="both"/>
        <w:rPr>
          <w:bCs/>
          <w:kern w:val="32"/>
        </w:rPr>
      </w:pPr>
      <w:r w:rsidRPr="00334685">
        <w:rPr>
          <w:bCs/>
          <w:kern w:val="32"/>
        </w:rPr>
        <w:t xml:space="preserve">Vlada Republike Hrvatske donijela je 24. lipnja 2015. godine, Uredbu o osnivanju Hrvatske agencije za okoliš i prirodu (Narodne novine, br. 72/15). Pravni prednici </w:t>
      </w:r>
      <w:r w:rsidR="004658EE">
        <w:rPr>
          <w:bCs/>
          <w:kern w:val="32"/>
        </w:rPr>
        <w:t>Hrvatske a</w:t>
      </w:r>
      <w:r w:rsidRPr="00334685">
        <w:rPr>
          <w:bCs/>
          <w:kern w:val="32"/>
        </w:rPr>
        <w:t>gencije</w:t>
      </w:r>
      <w:r w:rsidR="004658EE">
        <w:rPr>
          <w:bCs/>
          <w:kern w:val="32"/>
        </w:rPr>
        <w:t xml:space="preserve"> za okoliš i prirodu</w:t>
      </w:r>
      <w:r w:rsidRPr="00334685">
        <w:rPr>
          <w:bCs/>
          <w:kern w:val="32"/>
        </w:rPr>
        <w:t xml:space="preserve"> su Agencija za zaštitu okoliša i D</w:t>
      </w:r>
      <w:r w:rsidR="004658EE">
        <w:rPr>
          <w:bCs/>
          <w:kern w:val="32"/>
        </w:rPr>
        <w:t xml:space="preserve">ržavni zavod za zaštitu prirode, a </w:t>
      </w:r>
      <w:r w:rsidRPr="00334685">
        <w:rPr>
          <w:bCs/>
          <w:kern w:val="32"/>
        </w:rPr>
        <w:t>upisana</w:t>
      </w:r>
      <w:r w:rsidR="004658EE">
        <w:rPr>
          <w:bCs/>
          <w:kern w:val="32"/>
        </w:rPr>
        <w:t xml:space="preserve"> je</w:t>
      </w:r>
      <w:r w:rsidRPr="00334685">
        <w:rPr>
          <w:bCs/>
          <w:kern w:val="32"/>
        </w:rPr>
        <w:t xml:space="preserve"> u sudski registar Trgovačkog suda u Zagrebu </w:t>
      </w:r>
      <w:r w:rsidR="004658EE">
        <w:rPr>
          <w:bCs/>
          <w:kern w:val="32"/>
        </w:rPr>
        <w:t>te</w:t>
      </w:r>
      <w:r w:rsidRPr="00334685">
        <w:rPr>
          <w:bCs/>
          <w:kern w:val="32"/>
        </w:rPr>
        <w:t xml:space="preserve"> </w:t>
      </w:r>
      <w:r w:rsidR="004658EE">
        <w:rPr>
          <w:bCs/>
          <w:kern w:val="32"/>
        </w:rPr>
        <w:t>za</w:t>
      </w:r>
      <w:r w:rsidRPr="00334685">
        <w:rPr>
          <w:bCs/>
          <w:kern w:val="32"/>
        </w:rPr>
        <w:t>počela s radom dana 16. rujna 2015. godine.</w:t>
      </w:r>
    </w:p>
    <w:p w14:paraId="1D266D3E" w14:textId="2D4D9F1A" w:rsidR="00334685" w:rsidRPr="00334685" w:rsidRDefault="00334685" w:rsidP="00334685">
      <w:pPr>
        <w:spacing w:after="200" w:line="276" w:lineRule="auto"/>
        <w:jc w:val="both"/>
        <w:rPr>
          <w:bCs/>
          <w:kern w:val="32"/>
        </w:rPr>
      </w:pPr>
      <w:r w:rsidRPr="00334685">
        <w:rPr>
          <w:bCs/>
          <w:kern w:val="32"/>
        </w:rPr>
        <w:t>Sukladno članku 73. stavku 3. „Zakona o izmjeni i dopu</w:t>
      </w:r>
      <w:r w:rsidR="004658EE">
        <w:rPr>
          <w:bCs/>
          <w:kern w:val="32"/>
        </w:rPr>
        <w:t>ni Zakona o zaštiti okoliša“ (Narodne novine,</w:t>
      </w:r>
      <w:r w:rsidRPr="00334685">
        <w:rPr>
          <w:bCs/>
          <w:kern w:val="32"/>
        </w:rPr>
        <w:t xml:space="preserve"> </w:t>
      </w:r>
      <w:r w:rsidR="004658EE">
        <w:rPr>
          <w:bCs/>
          <w:kern w:val="32"/>
        </w:rPr>
        <w:t xml:space="preserve">broj </w:t>
      </w:r>
      <w:r w:rsidRPr="00334685">
        <w:rPr>
          <w:bCs/>
          <w:kern w:val="32"/>
        </w:rPr>
        <w:t>118/18 od 27. prosinca 2018.) te brisanjem Hrvatske agencije za okoliš i prirodu (HAOP) iz sudskog registra (17. siječnja 2019. godine) Ministarstvo zaštite okoliša i en</w:t>
      </w:r>
      <w:r w:rsidR="00742787">
        <w:rPr>
          <w:bCs/>
          <w:kern w:val="32"/>
        </w:rPr>
        <w:t>ergetike, Radnička cesta 80, 10</w:t>
      </w:r>
      <w:r w:rsidRPr="00334685">
        <w:rPr>
          <w:bCs/>
          <w:kern w:val="32"/>
        </w:rPr>
        <w:t xml:space="preserve">000 Zagreb, OIB: 19370100881 preuzelo je zaposlenike, poslove, prava i obveze </w:t>
      </w:r>
      <w:r w:rsidR="004658EE">
        <w:rPr>
          <w:bCs/>
          <w:kern w:val="32"/>
        </w:rPr>
        <w:t>HAOP-a</w:t>
      </w:r>
      <w:r w:rsidRPr="00334685">
        <w:rPr>
          <w:bCs/>
          <w:kern w:val="32"/>
        </w:rPr>
        <w:t>, kao i imovinu, opremu, pismohranu i drugu dokumentaciju. Slijedom navedenog, sve poslove i obveze u daljnjem tekstu koje se odnose na Hrvatsku agenciju za okoliš i prirodu od 1. siječnja 2019. godine preuzima Ministarstvo.</w:t>
      </w:r>
    </w:p>
    <w:p w14:paraId="2027A308" w14:textId="1C369CCC" w:rsidR="00C16409" w:rsidRPr="00C16409" w:rsidRDefault="00C16409" w:rsidP="00334685">
      <w:pPr>
        <w:spacing w:after="200" w:line="276" w:lineRule="auto"/>
        <w:jc w:val="both"/>
        <w:rPr>
          <w:bCs/>
          <w:kern w:val="32"/>
        </w:rPr>
      </w:pPr>
      <w:r w:rsidRPr="00C16409">
        <w:rPr>
          <w:bCs/>
          <w:kern w:val="32"/>
        </w:rPr>
        <w:br w:type="page"/>
      </w:r>
    </w:p>
    <w:p w14:paraId="4DF6C467" w14:textId="77777777" w:rsidR="00A02485" w:rsidRDefault="00A02485" w:rsidP="00D55E4A">
      <w:pPr>
        <w:pStyle w:val="Naslov1"/>
        <w:numPr>
          <w:ilvl w:val="0"/>
          <w:numId w:val="8"/>
        </w:numPr>
        <w:ind w:left="709" w:hanging="349"/>
        <w:jc w:val="center"/>
        <w:rPr>
          <w:rFonts w:ascii="Times New Roman" w:hAnsi="Times New Roman" w:cs="Times New Roman"/>
          <w:b w:val="0"/>
          <w:sz w:val="28"/>
          <w:szCs w:val="28"/>
        </w:rPr>
        <w:sectPr w:rsidR="00A02485" w:rsidSect="008A6693">
          <w:footerReference w:type="first" r:id="rId11"/>
          <w:pgSz w:w="11906" w:h="16838"/>
          <w:pgMar w:top="1134" w:right="1134" w:bottom="1134" w:left="1134" w:header="708" w:footer="708" w:gutter="0"/>
          <w:pgNumType w:start="0"/>
          <w:cols w:space="708"/>
          <w:titlePg/>
          <w:docGrid w:linePitch="360"/>
        </w:sectPr>
      </w:pPr>
      <w:bookmarkStart w:id="0" w:name="_Toc8637295"/>
      <w:bookmarkStart w:id="1" w:name="_GoBack"/>
      <w:bookmarkEnd w:id="1"/>
    </w:p>
    <w:p w14:paraId="7017E0F2" w14:textId="4C0A9B5B" w:rsidR="00317EE7" w:rsidRPr="00D55E4A" w:rsidRDefault="00317EE7" w:rsidP="00D55E4A">
      <w:pPr>
        <w:pStyle w:val="Naslov1"/>
        <w:numPr>
          <w:ilvl w:val="0"/>
          <w:numId w:val="8"/>
        </w:numPr>
        <w:ind w:left="709" w:hanging="349"/>
        <w:jc w:val="center"/>
        <w:rPr>
          <w:rFonts w:ascii="Times New Roman" w:hAnsi="Times New Roman" w:cs="Times New Roman"/>
          <w:b w:val="0"/>
          <w:sz w:val="28"/>
          <w:szCs w:val="28"/>
        </w:rPr>
      </w:pPr>
      <w:r w:rsidRPr="00D55E4A">
        <w:rPr>
          <w:rFonts w:ascii="Times New Roman" w:hAnsi="Times New Roman" w:cs="Times New Roman"/>
          <w:b w:val="0"/>
          <w:sz w:val="28"/>
          <w:szCs w:val="28"/>
        </w:rPr>
        <w:lastRenderedPageBreak/>
        <w:t>UVOD</w:t>
      </w:r>
      <w:bookmarkEnd w:id="0"/>
    </w:p>
    <w:p w14:paraId="6AF4A8F7" w14:textId="77777777" w:rsidR="00CF5476" w:rsidRPr="00CF5476" w:rsidRDefault="00CF5476" w:rsidP="00CF5476"/>
    <w:p w14:paraId="5F1D9940" w14:textId="66E92104" w:rsidR="00317EE7" w:rsidRDefault="00317EE7" w:rsidP="00D55E4A">
      <w:pPr>
        <w:spacing w:after="120"/>
        <w:jc w:val="both"/>
      </w:pPr>
      <w:r w:rsidRPr="00CB4024">
        <w:t xml:space="preserve">Države svijeta usvojile su </w:t>
      </w:r>
      <w:proofErr w:type="spellStart"/>
      <w:r w:rsidRPr="00CB4024">
        <w:t>Stockholmsku</w:t>
      </w:r>
      <w:proofErr w:type="spellEnd"/>
      <w:r w:rsidRPr="00CB4024">
        <w:t xml:space="preserve"> konvenciju o postojanim organskim onečišćujućim tvarima 2001. godine u Stockholmu (u daljnjem tekstu: </w:t>
      </w:r>
      <w:r w:rsidRPr="004C192E">
        <w:t>Konvencija</w:t>
      </w:r>
      <w:r w:rsidRPr="00CB4024">
        <w:t>). Konvencija je stupila na snagu 17. veljače 2004. godine.</w:t>
      </w:r>
    </w:p>
    <w:p w14:paraId="0D8D177A" w14:textId="71C29315" w:rsidR="00317EE7" w:rsidRPr="00CB4024" w:rsidRDefault="00317EE7" w:rsidP="00D55E4A">
      <w:pPr>
        <w:spacing w:after="120"/>
        <w:jc w:val="both"/>
      </w:pPr>
      <w:r w:rsidRPr="00CB4024">
        <w:t>Republika Hrvatska potpisala je Konvenciju u svibnju 2001. godine, a Hrvatski sabor je na sjednici održanoj 30. studenoga 2006. godine donio odluku o proglašenju Zakona o potvrđivanju Stockholmske konvencije o postojanim organskim onečišćujućim tvarima (Narodne novine</w:t>
      </w:r>
      <w:r w:rsidR="004B1B4A">
        <w:t xml:space="preserve"> – </w:t>
      </w:r>
      <w:r w:rsidRPr="00CB4024">
        <w:t>Međunarodni ugovori, broj 11/06). Konvencija je stupila na snagu u odnosu na Republiku Hrvatsku 30. travnja 2007. godine (</w:t>
      </w:r>
      <w:r w:rsidR="00355500">
        <w:t>Narodne novine</w:t>
      </w:r>
      <w:r w:rsidR="004B1B4A">
        <w:t xml:space="preserve"> – </w:t>
      </w:r>
      <w:r w:rsidR="00355500">
        <w:t>Međunarodni ugovori</w:t>
      </w:r>
      <w:r w:rsidRPr="00CB4024">
        <w:t>, broj 2/07).</w:t>
      </w:r>
    </w:p>
    <w:p w14:paraId="78CA5405" w14:textId="52D510C4" w:rsidR="00317EE7" w:rsidRDefault="00317EE7" w:rsidP="00D55E4A">
      <w:pPr>
        <w:spacing w:after="120"/>
        <w:jc w:val="both"/>
      </w:pPr>
      <w:r w:rsidRPr="00CB4024">
        <w:t>Postojane organske onečišćujuće tvari (</w:t>
      </w:r>
      <w:proofErr w:type="spellStart"/>
      <w:r w:rsidRPr="00CB4024">
        <w:t>POPs</w:t>
      </w:r>
      <w:proofErr w:type="spellEnd"/>
      <w:r w:rsidRPr="00CB4024">
        <w:t>-ovi</w:t>
      </w:r>
      <w:r>
        <w:t xml:space="preserve">, </w:t>
      </w:r>
      <w:proofErr w:type="spellStart"/>
      <w:r>
        <w:t>eng</w:t>
      </w:r>
      <w:proofErr w:type="spellEnd"/>
      <w:r w:rsidRPr="00CB4024">
        <w:t xml:space="preserve">. </w:t>
      </w:r>
      <w:proofErr w:type="spellStart"/>
      <w:r w:rsidRPr="00CB4024">
        <w:rPr>
          <w:i/>
          <w:iCs/>
        </w:rPr>
        <w:t>Persistent</w:t>
      </w:r>
      <w:proofErr w:type="spellEnd"/>
      <w:r w:rsidRPr="00CB4024">
        <w:rPr>
          <w:i/>
          <w:iCs/>
        </w:rPr>
        <w:t xml:space="preserve"> </w:t>
      </w:r>
      <w:proofErr w:type="spellStart"/>
      <w:r w:rsidRPr="00CB4024">
        <w:rPr>
          <w:i/>
          <w:iCs/>
        </w:rPr>
        <w:t>Organic</w:t>
      </w:r>
      <w:proofErr w:type="spellEnd"/>
      <w:r w:rsidRPr="00CB4024">
        <w:rPr>
          <w:i/>
          <w:iCs/>
        </w:rPr>
        <w:t xml:space="preserve"> </w:t>
      </w:r>
      <w:proofErr w:type="spellStart"/>
      <w:r w:rsidRPr="00CB4024">
        <w:rPr>
          <w:i/>
          <w:iCs/>
        </w:rPr>
        <w:t>Pollutants</w:t>
      </w:r>
      <w:proofErr w:type="spellEnd"/>
      <w:r w:rsidRPr="00CB4024">
        <w:t xml:space="preserve">) obuhvaćaju izuzetno veliki broj spojeva koji se mogu svrstati u </w:t>
      </w:r>
      <w:r w:rsidR="00DD2BED" w:rsidRPr="00CB4024">
        <w:t>skupin</w:t>
      </w:r>
      <w:r w:rsidR="00DD2BED">
        <w:t>e</w:t>
      </w:r>
      <w:r w:rsidR="00154968">
        <w:t>:</w:t>
      </w:r>
    </w:p>
    <w:p w14:paraId="05064692" w14:textId="7D5E17FE" w:rsidR="00317EE7" w:rsidRPr="00CB4024" w:rsidRDefault="00317EE7" w:rsidP="00D55E4A">
      <w:pPr>
        <w:pStyle w:val="Odlomakpopisa"/>
        <w:numPr>
          <w:ilvl w:val="0"/>
          <w:numId w:val="22"/>
        </w:numPr>
        <w:spacing w:after="120"/>
        <w:contextualSpacing w:val="0"/>
        <w:jc w:val="both"/>
      </w:pPr>
      <w:r w:rsidRPr="00CB4024">
        <w:t>pesticid</w:t>
      </w:r>
      <w:r w:rsidR="00131A44">
        <w:t>i</w:t>
      </w:r>
      <w:r w:rsidRPr="00CB4024">
        <w:t xml:space="preserve"> </w:t>
      </w:r>
      <w:r w:rsidR="003D3BAA">
        <w:t>–</w:t>
      </w:r>
      <w:r w:rsidRPr="00CB4024">
        <w:t xml:space="preserve"> sredstva koja se koriste za zaštitu bilja od štetočina, suzbijanje nametnika na ljudima i životinjama te štetnicima u urbanom okruženju, za zaštitu drva</w:t>
      </w:r>
      <w:r>
        <w:t>,</w:t>
      </w:r>
      <w:r w:rsidRPr="00CB4024">
        <w:t xml:space="preserve"> tekstila i</w:t>
      </w:r>
      <w:r>
        <w:t xml:space="preserve"> sl</w:t>
      </w:r>
      <w:r w:rsidR="00421665">
        <w:t>ično</w:t>
      </w:r>
    </w:p>
    <w:p w14:paraId="5CCE012A" w14:textId="1DE0BE2D" w:rsidR="00317EE7" w:rsidRPr="00CB4024" w:rsidRDefault="00317EE7" w:rsidP="00D55E4A">
      <w:pPr>
        <w:pStyle w:val="Odlomakpopisa"/>
        <w:numPr>
          <w:ilvl w:val="0"/>
          <w:numId w:val="22"/>
        </w:numPr>
        <w:spacing w:after="120"/>
        <w:contextualSpacing w:val="0"/>
        <w:jc w:val="both"/>
      </w:pPr>
      <w:r>
        <w:t>industrijsk</w:t>
      </w:r>
      <w:r w:rsidR="00131A44">
        <w:t>e</w:t>
      </w:r>
      <w:r>
        <w:t xml:space="preserve"> kemikalij</w:t>
      </w:r>
      <w:r w:rsidR="00131A44">
        <w:t>e</w:t>
      </w:r>
      <w:r>
        <w:t xml:space="preserve"> </w:t>
      </w:r>
      <w:r w:rsidR="003D3BAA">
        <w:t>–</w:t>
      </w:r>
      <w:r w:rsidRPr="00CB4024">
        <w:t xml:space="preserve"> sredstva koja se koriste za čišćenje i odmašćivanje u metalnoj, metaloprerađivačkoj i tekstilnoj industriji,</w:t>
      </w:r>
      <w:r>
        <w:t xml:space="preserve"> usporivači go</w:t>
      </w:r>
      <w:r w:rsidR="00421665">
        <w:t>renja, površinski aktivne tvari i drugo</w:t>
      </w:r>
    </w:p>
    <w:p w14:paraId="660F95F3" w14:textId="33DC5F30" w:rsidR="00317EE7" w:rsidRPr="00CB4024" w:rsidRDefault="00317EE7" w:rsidP="00D55E4A">
      <w:pPr>
        <w:pStyle w:val="Odlomakpopisa"/>
        <w:numPr>
          <w:ilvl w:val="0"/>
          <w:numId w:val="22"/>
        </w:numPr>
        <w:spacing w:after="120"/>
        <w:contextualSpacing w:val="0"/>
        <w:jc w:val="both"/>
      </w:pPr>
      <w:r>
        <w:t>nenamjerno nastali</w:t>
      </w:r>
      <w:r w:rsidR="00891D64">
        <w:t>h</w:t>
      </w:r>
      <w:r>
        <w:t>/proizvedeni</w:t>
      </w:r>
      <w:r w:rsidR="00891D64">
        <w:t>h</w:t>
      </w:r>
      <w:r>
        <w:t xml:space="preserve"> (nusprodukti)</w:t>
      </w:r>
      <w:r w:rsidR="00702EEB">
        <w:t xml:space="preserve"> </w:t>
      </w:r>
      <w:r w:rsidR="003D3BAA">
        <w:t>–</w:t>
      </w:r>
      <w:r w:rsidRPr="00CB4024">
        <w:t xml:space="preserve"> ispuštaju </w:t>
      </w:r>
      <w:r>
        <w:t xml:space="preserve">se </w:t>
      </w:r>
      <w:r w:rsidRPr="00CB4024">
        <w:t>u atmosferu</w:t>
      </w:r>
      <w:r>
        <w:t xml:space="preserve"> iz procesa izgaranja goriva, </w:t>
      </w:r>
      <w:r w:rsidRPr="00CB4024">
        <w:t>ispuštaju</w:t>
      </w:r>
      <w:r w:rsidR="0096205E">
        <w:t xml:space="preserve"> se</w:t>
      </w:r>
      <w:r w:rsidRPr="00CB4024">
        <w:t xml:space="preserve"> u atmosferu pri nepotpunom izgaranju goriva iz nepokretnih ili mobilnih izvora, te pri termičkoj obradi otpada.</w:t>
      </w:r>
    </w:p>
    <w:p w14:paraId="1F98C488" w14:textId="71410794" w:rsidR="00317EE7" w:rsidRPr="00CB4024" w:rsidRDefault="00317EE7" w:rsidP="00D55E4A">
      <w:pPr>
        <w:spacing w:after="120"/>
        <w:jc w:val="both"/>
      </w:pPr>
      <w:r w:rsidRPr="00CB4024">
        <w:t xml:space="preserve">Konvencijom se uređuje zaštita zdravlja ljudi i okoliša putem mjera kojima će se smanjiti ili ukloniti ispuštanje </w:t>
      </w:r>
      <w:proofErr w:type="spellStart"/>
      <w:r w:rsidRPr="00CB4024">
        <w:t>POP</w:t>
      </w:r>
      <w:r w:rsidR="000C11B0">
        <w:t>s</w:t>
      </w:r>
      <w:proofErr w:type="spellEnd"/>
      <w:r w:rsidR="000C11B0">
        <w:t xml:space="preserve">-ova, </w:t>
      </w:r>
      <w:r w:rsidRPr="00CB4024">
        <w:t xml:space="preserve">odnosno kemikalija navedenih u Dodacima A, B i C Konvencije. </w:t>
      </w:r>
    </w:p>
    <w:p w14:paraId="42B853F9" w14:textId="25345C84" w:rsidR="00317EE7" w:rsidRPr="00CB4024" w:rsidRDefault="00317EE7" w:rsidP="00D55E4A">
      <w:pPr>
        <w:spacing w:after="120"/>
        <w:jc w:val="both"/>
      </w:pPr>
      <w:r w:rsidRPr="00CB4024">
        <w:t>Konvencija propisuje mjere koje obuhvaćaju zabranu proizvodnje i potrošnje, odnosno ograničenje stavljanja u promet za pojedine vrste kemikalija pre</w:t>
      </w:r>
      <w:r w:rsidR="00143646">
        <w:t>ma Dodacima A, B i C Konvencije</w:t>
      </w:r>
      <w:r w:rsidRPr="00CB4024">
        <w:t xml:space="preserve"> te njihovo odlaganje na okolišno prihvatljiv način budući se radi o opasnom otpadu.</w:t>
      </w:r>
    </w:p>
    <w:p w14:paraId="347A44A2" w14:textId="08C5EB02" w:rsidR="00317EE7" w:rsidRDefault="00317EE7" w:rsidP="00D55E4A">
      <w:pPr>
        <w:spacing w:after="120"/>
        <w:jc w:val="both"/>
      </w:pPr>
      <w:r w:rsidRPr="00CB4024">
        <w:t>Sukladno članku 7. Konvencije, Republika Hrvatska je izradila Nacionalni plan za provedbu Stockholmske konvencije o postojanim organskim onečišćujućim tvarima kojeg je Vlada Republike Hrvatske Odlukom prihvatila na sjednici održanoj 5. prosinca 2008. godine (Narodne novine, broj 145/08)</w:t>
      </w:r>
      <w:r w:rsidR="004B1B4A">
        <w:t>,</w:t>
      </w:r>
      <w:r w:rsidRPr="00CB4024">
        <w:t xml:space="preserve"> u daljnjem tekstu: </w:t>
      </w:r>
      <w:r w:rsidRPr="004C192E">
        <w:t>NIP</w:t>
      </w:r>
      <w:r w:rsidRPr="00CB4024">
        <w:t xml:space="preserve">. </w:t>
      </w:r>
    </w:p>
    <w:p w14:paraId="51A7D823" w14:textId="688BDDF0" w:rsidR="00317EE7" w:rsidRPr="00CB4024" w:rsidRDefault="00317EE7" w:rsidP="00D55E4A">
      <w:pPr>
        <w:spacing w:after="120"/>
        <w:jc w:val="both"/>
      </w:pPr>
      <w:r w:rsidRPr="00CB4024">
        <w:t xml:space="preserve">Tadašnje Ministarstvo zaštite okoliša, prostornog uređenja i graditeljstva kao </w:t>
      </w:r>
      <w:r w:rsidR="006F1DF9">
        <w:t xml:space="preserve">imenovana </w:t>
      </w:r>
      <w:r w:rsidRPr="00CB4024">
        <w:t xml:space="preserve">kontaktna točka za </w:t>
      </w:r>
      <w:r w:rsidR="006F1DF9">
        <w:t>razmjenu informacija s Tajništvom konvencije</w:t>
      </w:r>
      <w:r w:rsidR="00891D64">
        <w:t>,</w:t>
      </w:r>
      <w:r w:rsidR="006F1DF9">
        <w:t xml:space="preserve"> </w:t>
      </w:r>
      <w:r w:rsidR="000A2619">
        <w:t xml:space="preserve">dostavilo </w:t>
      </w:r>
      <w:r w:rsidRPr="00CB4024">
        <w:t>je NIP u ožujku 2009. godine</w:t>
      </w:r>
      <w:r w:rsidR="000A2619" w:rsidRPr="000A2619">
        <w:t xml:space="preserve"> Tajništvu Konvencije</w:t>
      </w:r>
      <w:r w:rsidRPr="000A2619">
        <w:t>.</w:t>
      </w:r>
      <w:r w:rsidRPr="00CB4024">
        <w:t xml:space="preserve"> NIP sadrži ocjenu stanja vezano uz uporabu </w:t>
      </w:r>
      <w:proofErr w:type="spellStart"/>
      <w:r>
        <w:t>POPs</w:t>
      </w:r>
      <w:proofErr w:type="spellEnd"/>
      <w:r>
        <w:t>-ova</w:t>
      </w:r>
      <w:r w:rsidRPr="00CB4024">
        <w:t>, uloge i odgovornosti središnjih tijela državne uprave, agencija i drugih vladinih institucija</w:t>
      </w:r>
      <w:r w:rsidR="000A2619">
        <w:t xml:space="preserve"> vezano uz gospodarenje </w:t>
      </w:r>
      <w:proofErr w:type="spellStart"/>
      <w:r>
        <w:t>POPs</w:t>
      </w:r>
      <w:proofErr w:type="spellEnd"/>
      <w:r>
        <w:t>-</w:t>
      </w:r>
      <w:r w:rsidR="004B1B4A">
        <w:t>ovima</w:t>
      </w:r>
      <w:r w:rsidRPr="00CB4024">
        <w:t>, institucionalni i zakonodavni ok</w:t>
      </w:r>
      <w:r>
        <w:t>vir</w:t>
      </w:r>
      <w:r w:rsidR="00131A44">
        <w:t>,</w:t>
      </w:r>
      <w:r>
        <w:t xml:space="preserve"> postojeć</w:t>
      </w:r>
      <w:r w:rsidR="000A2619">
        <w:t xml:space="preserve">i sustav praćenja </w:t>
      </w:r>
      <w:proofErr w:type="spellStart"/>
      <w:r>
        <w:t>POP</w:t>
      </w:r>
      <w:r w:rsidRPr="00CB4024">
        <w:t>s</w:t>
      </w:r>
      <w:proofErr w:type="spellEnd"/>
      <w:r>
        <w:t>-</w:t>
      </w:r>
      <w:r w:rsidRPr="00CB4024">
        <w:t>ova u okolišu</w:t>
      </w:r>
      <w:r w:rsidR="000A2619">
        <w:t xml:space="preserve"> </w:t>
      </w:r>
      <w:r w:rsidR="004B1B4A">
        <w:t xml:space="preserve">i </w:t>
      </w:r>
      <w:r w:rsidR="000A2619">
        <w:t xml:space="preserve">rezultate određenih istraživanja. </w:t>
      </w:r>
    </w:p>
    <w:p w14:paraId="2F1B9606" w14:textId="6E6926BD" w:rsidR="00317EE7" w:rsidRPr="00CB4024" w:rsidRDefault="000A2619" w:rsidP="00D55E4A">
      <w:pPr>
        <w:spacing w:after="120"/>
        <w:jc w:val="both"/>
      </w:pPr>
      <w:r>
        <w:t xml:space="preserve">Na temelju </w:t>
      </w:r>
      <w:r w:rsidR="000237AF">
        <w:t xml:space="preserve">točke II. </w:t>
      </w:r>
      <w:r w:rsidR="00317EE7" w:rsidRPr="00CB4024">
        <w:t>Odluk</w:t>
      </w:r>
      <w:r w:rsidR="000237AF">
        <w:t xml:space="preserve">e o prihvaćanju </w:t>
      </w:r>
      <w:r w:rsidR="002E563D">
        <w:t>NIP-a</w:t>
      </w:r>
      <w:r w:rsidR="000237AF">
        <w:t xml:space="preserve">, </w:t>
      </w:r>
      <w:r w:rsidR="00317EE7" w:rsidRPr="00CB4024">
        <w:t xml:space="preserve">tadašnje Ministarstvo zaštite okoliša, prostornog uređenja i graditeljstva je u suradnji s tadašnjim Ministarstvom poljoprivrede, ribarstva i ruralnog razvoja, Ministarstvom regionalnog razvoja, šumarstva i vodnoga gospodarstva, Ministarstvom zdravstva i socijalne skrbi i Ministarstvom gospodarstva, rada i poduzetništva osnovalo radnu skupinu </w:t>
      </w:r>
      <w:r w:rsidR="000237AF">
        <w:t xml:space="preserve">s ciljem </w:t>
      </w:r>
      <w:r w:rsidR="00317EE7" w:rsidRPr="00CB4024">
        <w:t>praćenj</w:t>
      </w:r>
      <w:r w:rsidR="000237AF">
        <w:t>a</w:t>
      </w:r>
      <w:r w:rsidR="00317EE7" w:rsidRPr="00CB4024">
        <w:t xml:space="preserve"> ispunjavanja obveza iz NIP-a </w:t>
      </w:r>
      <w:r w:rsidR="000237AF">
        <w:t xml:space="preserve">te </w:t>
      </w:r>
      <w:r w:rsidR="00317EE7" w:rsidRPr="00CB4024">
        <w:t xml:space="preserve">dvogodišnje izvješćivanje Vlade Republike Hrvatske o samoj provedbi. </w:t>
      </w:r>
    </w:p>
    <w:p w14:paraId="50573FD1" w14:textId="2C97E781" w:rsidR="00317EE7" w:rsidRPr="00CB4024" w:rsidRDefault="00317EE7" w:rsidP="00D55E4A">
      <w:pPr>
        <w:spacing w:after="120"/>
        <w:jc w:val="both"/>
      </w:pPr>
      <w:r w:rsidRPr="00CB4024">
        <w:t>U Prvom izvješću o provedbi Stockholmske konvencije o postojanim organskim onečišćujućim tvarima u Republici Hrvatskoj za razdoblje od siječnja 2009. do prosinca 2010. godine, kojeg</w:t>
      </w:r>
      <w:r w:rsidR="002E563D">
        <w:t>a</w:t>
      </w:r>
      <w:r w:rsidRPr="00CB4024">
        <w:t xml:space="preserve"> je Vlada Republike Hrvatske prihvatila na sjednici u studenome 2011. godine, prikazano je novo stanje opreme koja sadrži </w:t>
      </w:r>
      <w:proofErr w:type="spellStart"/>
      <w:r w:rsidR="00C5096D">
        <w:t>poliklorirane</w:t>
      </w:r>
      <w:proofErr w:type="spellEnd"/>
      <w:r w:rsidR="00C5096D">
        <w:t xml:space="preserve"> </w:t>
      </w:r>
      <w:proofErr w:type="spellStart"/>
      <w:r w:rsidR="00C5096D">
        <w:t>bifenile</w:t>
      </w:r>
      <w:proofErr w:type="spellEnd"/>
      <w:r w:rsidR="00C5096D">
        <w:t xml:space="preserve"> (</w:t>
      </w:r>
      <w:r w:rsidRPr="00CB4024">
        <w:t>PCB</w:t>
      </w:r>
      <w:r w:rsidR="00C5096D">
        <w:t>)</w:t>
      </w:r>
      <w:r w:rsidRPr="00CB4024">
        <w:t xml:space="preserve"> u odnosu na podatke navedene u N</w:t>
      </w:r>
      <w:r w:rsidR="00741D15">
        <w:t>IP-u</w:t>
      </w:r>
      <w:r>
        <w:t xml:space="preserve"> te rezultati praćenja </w:t>
      </w:r>
      <w:proofErr w:type="spellStart"/>
      <w:r>
        <w:t>POP</w:t>
      </w:r>
      <w:r w:rsidRPr="00CB4024">
        <w:t>s</w:t>
      </w:r>
      <w:proofErr w:type="spellEnd"/>
      <w:r>
        <w:t>-</w:t>
      </w:r>
      <w:r w:rsidRPr="00CB4024">
        <w:t>ova u vodama, moru, poljoprivredi</w:t>
      </w:r>
      <w:r w:rsidR="00721A33">
        <w:t>/poljoprivrednom zemljištu</w:t>
      </w:r>
      <w:r w:rsidRPr="00CB4024">
        <w:t xml:space="preserve"> i zraku</w:t>
      </w:r>
      <w:r w:rsidR="00741D15">
        <w:t>. N</w:t>
      </w:r>
      <w:r w:rsidRPr="00CB4024">
        <w:t xml:space="preserve">aglašeno je </w:t>
      </w:r>
      <w:r w:rsidRPr="00CB4024">
        <w:lastRenderedPageBreak/>
        <w:t>kako u Republici Hrvatskoj nema proizvodnje ni</w:t>
      </w:r>
      <w:r w:rsidR="002E563D">
        <w:t>ti</w:t>
      </w:r>
      <w:r w:rsidRPr="00CB4024">
        <w:t xml:space="preserve"> korištenja </w:t>
      </w:r>
      <w:proofErr w:type="spellStart"/>
      <w:r>
        <w:t>POPs</w:t>
      </w:r>
      <w:proofErr w:type="spellEnd"/>
      <w:r>
        <w:t>-ova</w:t>
      </w:r>
      <w:r w:rsidRPr="00CB4024">
        <w:t>, osim uporabe PCB-a u postojećim zatvorenim sustavima (transformatori i kondenzatori).</w:t>
      </w:r>
    </w:p>
    <w:p w14:paraId="3DA8913D" w14:textId="665854E4" w:rsidR="008220A3" w:rsidRDefault="00317EE7" w:rsidP="00D55E4A">
      <w:pPr>
        <w:tabs>
          <w:tab w:val="left" w:pos="3119"/>
        </w:tabs>
        <w:spacing w:after="120" w:line="300" w:lineRule="exact"/>
        <w:jc w:val="both"/>
        <w:rPr>
          <w:rFonts w:eastAsiaTheme="minorHAnsi"/>
          <w:lang w:eastAsia="en-US"/>
        </w:rPr>
      </w:pPr>
      <w:r w:rsidRPr="00CB4024">
        <w:rPr>
          <w:rFonts w:eastAsiaTheme="minorHAnsi"/>
          <w:lang w:eastAsia="en-US"/>
        </w:rPr>
        <w:t>K</w:t>
      </w:r>
      <w:r w:rsidRPr="000C521D">
        <w:rPr>
          <w:rFonts w:eastAsiaTheme="minorHAnsi"/>
          <w:lang w:eastAsia="en-US"/>
        </w:rPr>
        <w:t xml:space="preserve">onvencija se prvobitno odnosila na 12 </w:t>
      </w:r>
      <w:proofErr w:type="spellStart"/>
      <w:r w:rsidR="00721A33">
        <w:rPr>
          <w:rFonts w:eastAsiaTheme="minorHAnsi"/>
          <w:lang w:eastAsia="en-US"/>
        </w:rPr>
        <w:t>POPs</w:t>
      </w:r>
      <w:proofErr w:type="spellEnd"/>
      <w:r w:rsidR="00721A33">
        <w:rPr>
          <w:rFonts w:eastAsiaTheme="minorHAnsi"/>
          <w:lang w:eastAsia="en-US"/>
        </w:rPr>
        <w:t>-ova</w:t>
      </w:r>
      <w:r w:rsidRPr="000C521D">
        <w:rPr>
          <w:rFonts w:eastAsiaTheme="minorHAnsi"/>
          <w:lang w:eastAsia="en-US"/>
        </w:rPr>
        <w:t xml:space="preserve">, no prihvaćanjem Odluka o izmjenama i dopunama dodataka A, B i C Stockholmske konvencije 2009., 2011. i 2013. godine na četvrtoj, petoj i šestoj konferenciji stranaka, </w:t>
      </w:r>
      <w:r w:rsidR="004B44BB">
        <w:rPr>
          <w:rFonts w:eastAsiaTheme="minorHAnsi"/>
          <w:lang w:eastAsia="en-US"/>
        </w:rPr>
        <w:t>K</w:t>
      </w:r>
      <w:r w:rsidRPr="000C521D">
        <w:rPr>
          <w:rFonts w:eastAsiaTheme="minorHAnsi"/>
          <w:lang w:eastAsia="en-US"/>
        </w:rPr>
        <w:t>onvencija je nadopunjena s još 11 novih. Izmjene i dopune Dodataka A, B, i C stupile su na snagu u kol</w:t>
      </w:r>
      <w:r w:rsidR="00CF5476">
        <w:rPr>
          <w:rFonts w:eastAsiaTheme="minorHAnsi"/>
          <w:lang w:eastAsia="en-US"/>
        </w:rPr>
        <w:t>o</w:t>
      </w:r>
      <w:r w:rsidRPr="000C521D">
        <w:rPr>
          <w:rFonts w:eastAsiaTheme="minorHAnsi"/>
          <w:lang w:eastAsia="en-US"/>
        </w:rPr>
        <w:t xml:space="preserve">vozu 2010. godine za 9 </w:t>
      </w:r>
      <w:proofErr w:type="spellStart"/>
      <w:r w:rsidRPr="000C521D">
        <w:rPr>
          <w:rFonts w:eastAsiaTheme="minorHAnsi"/>
          <w:lang w:eastAsia="en-US"/>
        </w:rPr>
        <w:t>POPs</w:t>
      </w:r>
      <w:proofErr w:type="spellEnd"/>
      <w:r w:rsidRPr="000C521D">
        <w:rPr>
          <w:rFonts w:eastAsiaTheme="minorHAnsi"/>
          <w:lang w:eastAsia="en-US"/>
        </w:rPr>
        <w:t>-ova</w:t>
      </w:r>
      <w:r w:rsidR="00891D64">
        <w:rPr>
          <w:rFonts w:eastAsiaTheme="minorHAnsi"/>
          <w:lang w:eastAsia="en-US"/>
        </w:rPr>
        <w:t>:</w:t>
      </w:r>
      <w:r w:rsidRPr="000C521D">
        <w:rPr>
          <w:rFonts w:eastAsiaTheme="minorHAnsi"/>
          <w:lang w:eastAsia="en-US"/>
        </w:rPr>
        <w:t xml:space="preserve"> </w:t>
      </w:r>
      <w:r w:rsidR="001C4970">
        <w:rPr>
          <w:rFonts w:eastAsiaTheme="minorHAnsi"/>
          <w:lang w:eastAsia="en-US"/>
        </w:rPr>
        <w:t xml:space="preserve">– </w:t>
      </w:r>
      <w:r w:rsidRPr="000C521D">
        <w:rPr>
          <w:rFonts w:eastAsiaTheme="minorHAnsi"/>
          <w:lang w:eastAsia="en-US"/>
        </w:rPr>
        <w:t xml:space="preserve">alfa i beta </w:t>
      </w:r>
      <w:proofErr w:type="spellStart"/>
      <w:r w:rsidRPr="000C521D">
        <w:rPr>
          <w:rFonts w:eastAsiaTheme="minorHAnsi"/>
          <w:lang w:eastAsia="en-US"/>
        </w:rPr>
        <w:t>heksaklorocikloheksan</w:t>
      </w:r>
      <w:proofErr w:type="spellEnd"/>
      <w:r w:rsidR="00B13D0F">
        <w:rPr>
          <w:rFonts w:eastAsiaTheme="minorHAnsi"/>
          <w:lang w:eastAsia="en-US"/>
        </w:rPr>
        <w:t xml:space="preserve"> (HCH)</w:t>
      </w:r>
      <w:r w:rsidRPr="000C521D">
        <w:rPr>
          <w:rFonts w:eastAsiaTheme="minorHAnsi"/>
          <w:lang w:eastAsia="en-US"/>
        </w:rPr>
        <w:t xml:space="preserve">, </w:t>
      </w:r>
      <w:proofErr w:type="spellStart"/>
      <w:r w:rsidRPr="000C521D">
        <w:rPr>
          <w:rFonts w:eastAsiaTheme="minorHAnsi"/>
          <w:lang w:eastAsia="en-US"/>
        </w:rPr>
        <w:t>klordekon</w:t>
      </w:r>
      <w:proofErr w:type="spellEnd"/>
      <w:r w:rsidRPr="000C521D">
        <w:rPr>
          <w:rFonts w:eastAsiaTheme="minorHAnsi"/>
          <w:lang w:eastAsia="en-US"/>
        </w:rPr>
        <w:t xml:space="preserve">, </w:t>
      </w:r>
      <w:proofErr w:type="spellStart"/>
      <w:r w:rsidRPr="000C521D">
        <w:rPr>
          <w:rFonts w:eastAsiaTheme="minorHAnsi"/>
          <w:lang w:eastAsia="en-US"/>
        </w:rPr>
        <w:t>heksabromo</w:t>
      </w:r>
      <w:r w:rsidR="008A6693">
        <w:rPr>
          <w:rFonts w:eastAsiaTheme="minorHAnsi"/>
          <w:lang w:eastAsia="en-US"/>
        </w:rPr>
        <w:t>b</w:t>
      </w:r>
      <w:r w:rsidRPr="000C521D">
        <w:rPr>
          <w:rFonts w:eastAsiaTheme="minorHAnsi"/>
          <w:lang w:eastAsia="en-US"/>
        </w:rPr>
        <w:t>ifenil</w:t>
      </w:r>
      <w:proofErr w:type="spellEnd"/>
      <w:r w:rsidRPr="000C521D">
        <w:rPr>
          <w:rFonts w:eastAsiaTheme="minorHAnsi"/>
          <w:lang w:eastAsia="en-US"/>
        </w:rPr>
        <w:t xml:space="preserve">, </w:t>
      </w:r>
      <w:proofErr w:type="spellStart"/>
      <w:r w:rsidRPr="000C521D">
        <w:rPr>
          <w:rFonts w:eastAsiaTheme="minorHAnsi"/>
          <w:lang w:eastAsia="en-US"/>
        </w:rPr>
        <w:t>lindan</w:t>
      </w:r>
      <w:proofErr w:type="spellEnd"/>
      <w:r w:rsidRPr="000C521D">
        <w:rPr>
          <w:rFonts w:eastAsiaTheme="minorHAnsi"/>
          <w:lang w:eastAsia="en-US"/>
        </w:rPr>
        <w:t>, pentaklor</w:t>
      </w:r>
      <w:r w:rsidR="00CF5476">
        <w:rPr>
          <w:rFonts w:eastAsiaTheme="minorHAnsi"/>
          <w:lang w:eastAsia="en-US"/>
        </w:rPr>
        <w:t>o</w:t>
      </w:r>
      <w:r w:rsidRPr="000C521D">
        <w:rPr>
          <w:rFonts w:eastAsiaTheme="minorHAnsi"/>
          <w:lang w:eastAsia="en-US"/>
        </w:rPr>
        <w:t>benzen</w:t>
      </w:r>
      <w:r w:rsidR="00B13D0F">
        <w:rPr>
          <w:rFonts w:eastAsiaTheme="minorHAnsi"/>
          <w:lang w:eastAsia="en-US"/>
        </w:rPr>
        <w:t xml:space="preserve"> (</w:t>
      </w:r>
      <w:proofErr w:type="spellStart"/>
      <w:r w:rsidR="00B13D0F">
        <w:rPr>
          <w:rFonts w:eastAsiaTheme="minorHAnsi"/>
          <w:lang w:eastAsia="en-US"/>
        </w:rPr>
        <w:t>PeCB</w:t>
      </w:r>
      <w:proofErr w:type="spellEnd"/>
      <w:r w:rsidR="00B13D0F">
        <w:rPr>
          <w:rFonts w:eastAsiaTheme="minorHAnsi"/>
          <w:lang w:eastAsia="en-US"/>
        </w:rPr>
        <w:t>)</w:t>
      </w:r>
      <w:r w:rsidRPr="000C521D">
        <w:rPr>
          <w:rFonts w:eastAsiaTheme="minorHAnsi"/>
          <w:lang w:eastAsia="en-US"/>
        </w:rPr>
        <w:t xml:space="preserve">, </w:t>
      </w:r>
      <w:proofErr w:type="spellStart"/>
      <w:r w:rsidRPr="000C521D">
        <w:rPr>
          <w:rFonts w:eastAsiaTheme="minorHAnsi"/>
          <w:lang w:eastAsia="en-US"/>
        </w:rPr>
        <w:t>perfluorooktansulfonska</w:t>
      </w:r>
      <w:proofErr w:type="spellEnd"/>
      <w:r w:rsidRPr="000C521D">
        <w:rPr>
          <w:rFonts w:eastAsiaTheme="minorHAnsi"/>
          <w:lang w:eastAsia="en-US"/>
        </w:rPr>
        <w:t xml:space="preserve"> kiselina (PFOS) i njezine soli i </w:t>
      </w:r>
      <w:proofErr w:type="spellStart"/>
      <w:r w:rsidRPr="000C521D">
        <w:rPr>
          <w:rFonts w:eastAsiaTheme="minorHAnsi"/>
          <w:lang w:eastAsia="en-US"/>
        </w:rPr>
        <w:t>perfluoroktan</w:t>
      </w:r>
      <w:proofErr w:type="spellEnd"/>
      <w:r w:rsidRPr="000C521D">
        <w:rPr>
          <w:rFonts w:eastAsiaTheme="minorHAnsi"/>
          <w:lang w:eastAsia="en-US"/>
        </w:rPr>
        <w:t xml:space="preserve"> </w:t>
      </w:r>
      <w:proofErr w:type="spellStart"/>
      <w:r w:rsidRPr="000C521D">
        <w:rPr>
          <w:rFonts w:eastAsiaTheme="minorHAnsi"/>
          <w:lang w:eastAsia="en-US"/>
        </w:rPr>
        <w:t>sulfonil</w:t>
      </w:r>
      <w:proofErr w:type="spellEnd"/>
      <w:r w:rsidRPr="000C521D">
        <w:rPr>
          <w:rFonts w:eastAsiaTheme="minorHAnsi"/>
          <w:lang w:eastAsia="en-US"/>
        </w:rPr>
        <w:t xml:space="preserve"> fluorid (PFOSF), </w:t>
      </w:r>
      <w:proofErr w:type="spellStart"/>
      <w:r w:rsidRPr="000C521D">
        <w:rPr>
          <w:rFonts w:eastAsiaTheme="minorHAnsi"/>
          <w:lang w:eastAsia="en-US"/>
        </w:rPr>
        <w:t>tetra</w:t>
      </w:r>
      <w:r w:rsidR="00E51121">
        <w:rPr>
          <w:rFonts w:eastAsiaTheme="minorHAnsi"/>
          <w:lang w:eastAsia="en-US"/>
        </w:rPr>
        <w:t>bromodifenil</w:t>
      </w:r>
      <w:proofErr w:type="spellEnd"/>
      <w:r w:rsidR="00E51121">
        <w:rPr>
          <w:rFonts w:eastAsiaTheme="minorHAnsi"/>
          <w:lang w:eastAsia="en-US"/>
        </w:rPr>
        <w:t xml:space="preserve"> eter i </w:t>
      </w:r>
      <w:proofErr w:type="spellStart"/>
      <w:r w:rsidR="00E51121">
        <w:rPr>
          <w:rFonts w:eastAsiaTheme="minorHAnsi"/>
          <w:lang w:eastAsia="en-US"/>
        </w:rPr>
        <w:t>pentabromo</w:t>
      </w:r>
      <w:r w:rsidRPr="000C521D">
        <w:rPr>
          <w:rFonts w:eastAsiaTheme="minorHAnsi"/>
          <w:lang w:eastAsia="en-US"/>
        </w:rPr>
        <w:t>difenileter</w:t>
      </w:r>
      <w:proofErr w:type="spellEnd"/>
      <w:r w:rsidR="00E51121">
        <w:rPr>
          <w:rFonts w:eastAsiaTheme="minorHAnsi"/>
          <w:lang w:eastAsia="en-US"/>
        </w:rPr>
        <w:t xml:space="preserve"> (</w:t>
      </w:r>
      <w:r w:rsidR="00B13D0F">
        <w:rPr>
          <w:rFonts w:eastAsiaTheme="minorHAnsi"/>
          <w:lang w:eastAsia="en-US"/>
        </w:rPr>
        <w:t>PBDE</w:t>
      </w:r>
      <w:r w:rsidR="00E51121">
        <w:rPr>
          <w:rFonts w:eastAsiaTheme="minorHAnsi"/>
          <w:lang w:eastAsia="en-US"/>
        </w:rPr>
        <w:t>-i)</w:t>
      </w:r>
      <w:r w:rsidRPr="000C521D">
        <w:rPr>
          <w:rFonts w:eastAsiaTheme="minorHAnsi"/>
          <w:lang w:eastAsia="en-US"/>
        </w:rPr>
        <w:t xml:space="preserve">. Dodatne izmjene i dopune Dodatka A, uz uključivanje tehničkog </w:t>
      </w:r>
      <w:proofErr w:type="spellStart"/>
      <w:r w:rsidRPr="000C521D">
        <w:rPr>
          <w:rFonts w:eastAsiaTheme="minorHAnsi"/>
          <w:lang w:eastAsia="en-US"/>
        </w:rPr>
        <w:t>endosulfana</w:t>
      </w:r>
      <w:proofErr w:type="spellEnd"/>
      <w:r w:rsidRPr="000C521D">
        <w:rPr>
          <w:rFonts w:eastAsiaTheme="minorHAnsi"/>
          <w:lang w:eastAsia="en-US"/>
        </w:rPr>
        <w:t xml:space="preserve"> stupile su na snagu u listopadu 2012. godine, sukladno članku 22. stavku 3(c) </w:t>
      </w:r>
      <w:r w:rsidR="00CF5476">
        <w:rPr>
          <w:rFonts w:eastAsiaTheme="minorHAnsi"/>
          <w:lang w:eastAsia="en-US"/>
        </w:rPr>
        <w:t>K</w:t>
      </w:r>
      <w:r w:rsidRPr="000C521D">
        <w:rPr>
          <w:rFonts w:eastAsiaTheme="minorHAnsi"/>
          <w:lang w:eastAsia="en-US"/>
        </w:rPr>
        <w:t xml:space="preserve">onvencije. </w:t>
      </w:r>
    </w:p>
    <w:p w14:paraId="718A5F85" w14:textId="5B80B86B" w:rsidR="00A449D2" w:rsidRPr="004C192E" w:rsidRDefault="00A449D2" w:rsidP="00A449D2">
      <w:pPr>
        <w:rPr>
          <w:i/>
        </w:rPr>
      </w:pPr>
      <w:r w:rsidRPr="004C192E">
        <w:rPr>
          <w:i/>
        </w:rPr>
        <w:t>Tablica 1</w:t>
      </w:r>
      <w:r w:rsidR="00C26CFF" w:rsidRPr="004C192E">
        <w:rPr>
          <w:i/>
        </w:rPr>
        <w:t>-1</w:t>
      </w:r>
      <w:r w:rsidRPr="004C192E">
        <w:rPr>
          <w:i/>
        </w:rPr>
        <w:t xml:space="preserve">: Popis </w:t>
      </w:r>
      <w:proofErr w:type="spellStart"/>
      <w:r w:rsidRPr="004C192E">
        <w:rPr>
          <w:i/>
        </w:rPr>
        <w:t>POPs</w:t>
      </w:r>
      <w:proofErr w:type="spellEnd"/>
      <w:r w:rsidRPr="004C192E">
        <w:rPr>
          <w:i/>
        </w:rPr>
        <w:t>-ova uvrštenih u dodatke Konvencije</w:t>
      </w:r>
    </w:p>
    <w:p w14:paraId="62040760" w14:textId="77777777" w:rsidR="001C4970" w:rsidRPr="00240102" w:rsidRDefault="001C4970" w:rsidP="00A449D2">
      <w:pPr>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3402"/>
        <w:gridCol w:w="1329"/>
        <w:gridCol w:w="1560"/>
        <w:gridCol w:w="1559"/>
      </w:tblGrid>
      <w:tr w:rsidR="00A449D2" w:rsidRPr="00E16E60" w14:paraId="6C5861FF" w14:textId="77777777" w:rsidTr="000F1ADC">
        <w:trPr>
          <w:jc w:val="center"/>
        </w:trPr>
        <w:tc>
          <w:tcPr>
            <w:tcW w:w="1531" w:type="dxa"/>
            <w:shd w:val="pct10" w:color="auto" w:fill="auto"/>
            <w:vAlign w:val="center"/>
          </w:tcPr>
          <w:p w14:paraId="647F7051" w14:textId="77777777" w:rsidR="00A449D2" w:rsidRPr="00E16E60" w:rsidRDefault="00A449D2" w:rsidP="000F1ADC">
            <w:pPr>
              <w:jc w:val="center"/>
              <w:rPr>
                <w:b/>
              </w:rPr>
            </w:pPr>
            <w:r w:rsidRPr="00E16E60">
              <w:rPr>
                <w:b/>
              </w:rPr>
              <w:t>Dodatak</w:t>
            </w:r>
          </w:p>
        </w:tc>
        <w:tc>
          <w:tcPr>
            <w:tcW w:w="3402" w:type="dxa"/>
            <w:shd w:val="pct10" w:color="auto" w:fill="auto"/>
            <w:vAlign w:val="center"/>
          </w:tcPr>
          <w:p w14:paraId="0804CF23" w14:textId="77777777" w:rsidR="00A449D2" w:rsidRPr="00E16E60" w:rsidRDefault="00A449D2" w:rsidP="000F1ADC">
            <w:pPr>
              <w:jc w:val="center"/>
              <w:rPr>
                <w:b/>
              </w:rPr>
            </w:pPr>
            <w:r w:rsidRPr="00E16E60">
              <w:rPr>
                <w:b/>
              </w:rPr>
              <w:t>Tvar</w:t>
            </w:r>
          </w:p>
        </w:tc>
        <w:tc>
          <w:tcPr>
            <w:tcW w:w="1329" w:type="dxa"/>
            <w:shd w:val="pct10" w:color="auto" w:fill="auto"/>
            <w:vAlign w:val="center"/>
          </w:tcPr>
          <w:p w14:paraId="3B8B20EC" w14:textId="77777777" w:rsidR="00A449D2" w:rsidRPr="00E16E60" w:rsidRDefault="00A449D2" w:rsidP="000F1ADC">
            <w:pPr>
              <w:jc w:val="center"/>
              <w:rPr>
                <w:b/>
              </w:rPr>
            </w:pPr>
            <w:r w:rsidRPr="00E16E60">
              <w:rPr>
                <w:b/>
              </w:rPr>
              <w:t>Pesticid</w:t>
            </w:r>
          </w:p>
        </w:tc>
        <w:tc>
          <w:tcPr>
            <w:tcW w:w="1560" w:type="dxa"/>
            <w:shd w:val="pct10" w:color="auto" w:fill="auto"/>
            <w:vAlign w:val="center"/>
          </w:tcPr>
          <w:p w14:paraId="637AC1D8" w14:textId="77777777" w:rsidR="00A449D2" w:rsidRPr="00E16E60" w:rsidRDefault="00A449D2" w:rsidP="000F1ADC">
            <w:pPr>
              <w:jc w:val="center"/>
              <w:rPr>
                <w:b/>
              </w:rPr>
            </w:pPr>
            <w:r w:rsidRPr="00E16E60">
              <w:rPr>
                <w:b/>
              </w:rPr>
              <w:t>Industrijska kemikalija</w:t>
            </w:r>
          </w:p>
        </w:tc>
        <w:tc>
          <w:tcPr>
            <w:tcW w:w="1559" w:type="dxa"/>
            <w:shd w:val="pct10" w:color="auto" w:fill="auto"/>
            <w:vAlign w:val="center"/>
          </w:tcPr>
          <w:p w14:paraId="776B5993" w14:textId="77777777" w:rsidR="00A449D2" w:rsidRPr="00E16E60" w:rsidRDefault="00A449D2" w:rsidP="000F1ADC">
            <w:pPr>
              <w:jc w:val="center"/>
              <w:rPr>
                <w:b/>
              </w:rPr>
            </w:pPr>
            <w:r w:rsidRPr="00E16E60">
              <w:rPr>
                <w:b/>
              </w:rPr>
              <w:t>Nenamjerna proizvodnja</w:t>
            </w:r>
          </w:p>
        </w:tc>
      </w:tr>
      <w:tr w:rsidR="001D6A1B" w:rsidRPr="00E16E60" w14:paraId="191908A7" w14:textId="77777777" w:rsidTr="000F1ADC">
        <w:trPr>
          <w:jc w:val="center"/>
        </w:trPr>
        <w:tc>
          <w:tcPr>
            <w:tcW w:w="1531" w:type="dxa"/>
            <w:vMerge w:val="restart"/>
            <w:vAlign w:val="center"/>
          </w:tcPr>
          <w:p w14:paraId="15B46EBF" w14:textId="77777777" w:rsidR="001D6A1B" w:rsidRPr="00E16E60" w:rsidRDefault="001D6A1B" w:rsidP="000F1ADC">
            <w:pPr>
              <w:jc w:val="center"/>
              <w:rPr>
                <w:b/>
              </w:rPr>
            </w:pPr>
            <w:r w:rsidRPr="00E16E60">
              <w:rPr>
                <w:b/>
              </w:rPr>
              <w:t>Dodatak A: Uklanjanje</w:t>
            </w:r>
          </w:p>
        </w:tc>
        <w:tc>
          <w:tcPr>
            <w:tcW w:w="3402" w:type="dxa"/>
          </w:tcPr>
          <w:p w14:paraId="460959A5" w14:textId="77777777" w:rsidR="001D6A1B" w:rsidRPr="00E16E60" w:rsidRDefault="001D6A1B" w:rsidP="000F1ADC">
            <w:proofErr w:type="spellStart"/>
            <w:r>
              <w:rPr>
                <w:color w:val="000000"/>
              </w:rPr>
              <w:t>a</w:t>
            </w:r>
            <w:r w:rsidRPr="00E16E60">
              <w:rPr>
                <w:color w:val="000000"/>
              </w:rPr>
              <w:t>ldrin</w:t>
            </w:r>
            <w:proofErr w:type="spellEnd"/>
          </w:p>
        </w:tc>
        <w:tc>
          <w:tcPr>
            <w:tcW w:w="1329" w:type="dxa"/>
          </w:tcPr>
          <w:p w14:paraId="6FC0FAFC" w14:textId="77777777" w:rsidR="001D6A1B" w:rsidRPr="00E16E60" w:rsidRDefault="001D6A1B" w:rsidP="000F1ADC">
            <w:pPr>
              <w:jc w:val="center"/>
            </w:pPr>
            <w:r w:rsidRPr="00E16E60">
              <w:t>x</w:t>
            </w:r>
          </w:p>
        </w:tc>
        <w:tc>
          <w:tcPr>
            <w:tcW w:w="1560" w:type="dxa"/>
          </w:tcPr>
          <w:p w14:paraId="596992E7" w14:textId="77777777" w:rsidR="001D6A1B" w:rsidRPr="00E16E60" w:rsidRDefault="001D6A1B" w:rsidP="000F1ADC">
            <w:pPr>
              <w:jc w:val="center"/>
            </w:pPr>
          </w:p>
        </w:tc>
        <w:tc>
          <w:tcPr>
            <w:tcW w:w="1559" w:type="dxa"/>
          </w:tcPr>
          <w:p w14:paraId="42357D69" w14:textId="77777777" w:rsidR="001D6A1B" w:rsidRPr="00E16E60" w:rsidRDefault="001D6A1B" w:rsidP="000F1ADC">
            <w:pPr>
              <w:jc w:val="center"/>
            </w:pPr>
          </w:p>
        </w:tc>
      </w:tr>
      <w:tr w:rsidR="001D6A1B" w:rsidRPr="00E16E60" w14:paraId="436FE2EE" w14:textId="77777777" w:rsidTr="000F1ADC">
        <w:trPr>
          <w:jc w:val="center"/>
        </w:trPr>
        <w:tc>
          <w:tcPr>
            <w:tcW w:w="1531" w:type="dxa"/>
            <w:vMerge/>
            <w:vAlign w:val="center"/>
          </w:tcPr>
          <w:p w14:paraId="706DAA88" w14:textId="77777777" w:rsidR="001D6A1B" w:rsidRPr="00E16E60" w:rsidRDefault="001D6A1B" w:rsidP="000F1ADC">
            <w:pPr>
              <w:jc w:val="center"/>
              <w:rPr>
                <w:b/>
              </w:rPr>
            </w:pPr>
          </w:p>
        </w:tc>
        <w:tc>
          <w:tcPr>
            <w:tcW w:w="3402" w:type="dxa"/>
          </w:tcPr>
          <w:p w14:paraId="3A3428A1" w14:textId="77777777" w:rsidR="001D6A1B" w:rsidRPr="00E16E60" w:rsidRDefault="001D6A1B" w:rsidP="000F1ADC">
            <w:proofErr w:type="spellStart"/>
            <w:r>
              <w:rPr>
                <w:color w:val="000000"/>
              </w:rPr>
              <w:t>k</w:t>
            </w:r>
            <w:r w:rsidRPr="00E16E60">
              <w:rPr>
                <w:color w:val="000000"/>
              </w:rPr>
              <w:t>lordan</w:t>
            </w:r>
            <w:proofErr w:type="spellEnd"/>
          </w:p>
        </w:tc>
        <w:tc>
          <w:tcPr>
            <w:tcW w:w="1329" w:type="dxa"/>
          </w:tcPr>
          <w:p w14:paraId="7E0780D3" w14:textId="77777777" w:rsidR="001D6A1B" w:rsidRPr="00E16E60" w:rsidRDefault="001D6A1B" w:rsidP="000F1ADC">
            <w:pPr>
              <w:jc w:val="center"/>
            </w:pPr>
            <w:r w:rsidRPr="00E16E60">
              <w:t>x</w:t>
            </w:r>
          </w:p>
        </w:tc>
        <w:tc>
          <w:tcPr>
            <w:tcW w:w="1560" w:type="dxa"/>
          </w:tcPr>
          <w:p w14:paraId="00E624C7" w14:textId="77777777" w:rsidR="001D6A1B" w:rsidRPr="00E16E60" w:rsidRDefault="001D6A1B" w:rsidP="000F1ADC">
            <w:pPr>
              <w:jc w:val="center"/>
            </w:pPr>
          </w:p>
        </w:tc>
        <w:tc>
          <w:tcPr>
            <w:tcW w:w="1559" w:type="dxa"/>
          </w:tcPr>
          <w:p w14:paraId="181D9F2B" w14:textId="77777777" w:rsidR="001D6A1B" w:rsidRPr="00E16E60" w:rsidRDefault="001D6A1B" w:rsidP="000F1ADC">
            <w:pPr>
              <w:jc w:val="center"/>
            </w:pPr>
          </w:p>
        </w:tc>
      </w:tr>
      <w:tr w:rsidR="001D6A1B" w:rsidRPr="00E16E60" w14:paraId="6F5BC1DA" w14:textId="77777777" w:rsidTr="000F1ADC">
        <w:trPr>
          <w:jc w:val="center"/>
        </w:trPr>
        <w:tc>
          <w:tcPr>
            <w:tcW w:w="1531" w:type="dxa"/>
            <w:vMerge/>
            <w:vAlign w:val="center"/>
          </w:tcPr>
          <w:p w14:paraId="36618D2E" w14:textId="77777777" w:rsidR="001D6A1B" w:rsidRPr="00E16E60" w:rsidRDefault="001D6A1B" w:rsidP="000F1ADC">
            <w:pPr>
              <w:jc w:val="center"/>
              <w:rPr>
                <w:b/>
              </w:rPr>
            </w:pPr>
          </w:p>
        </w:tc>
        <w:tc>
          <w:tcPr>
            <w:tcW w:w="3402" w:type="dxa"/>
          </w:tcPr>
          <w:p w14:paraId="5771EF3B" w14:textId="77777777" w:rsidR="001D6A1B" w:rsidRPr="00E16E60" w:rsidRDefault="001D6A1B" w:rsidP="000F1ADC">
            <w:proofErr w:type="spellStart"/>
            <w:r>
              <w:rPr>
                <w:lang w:eastAsia="de-DE"/>
              </w:rPr>
              <w:t>d</w:t>
            </w:r>
            <w:r w:rsidRPr="00E16E60">
              <w:rPr>
                <w:lang w:eastAsia="de-DE"/>
              </w:rPr>
              <w:t>ieldrin</w:t>
            </w:r>
            <w:proofErr w:type="spellEnd"/>
          </w:p>
        </w:tc>
        <w:tc>
          <w:tcPr>
            <w:tcW w:w="1329" w:type="dxa"/>
          </w:tcPr>
          <w:p w14:paraId="48F39C40" w14:textId="77777777" w:rsidR="001D6A1B" w:rsidRPr="00E16E60" w:rsidRDefault="001D6A1B" w:rsidP="000F1ADC">
            <w:pPr>
              <w:jc w:val="center"/>
            </w:pPr>
            <w:r w:rsidRPr="00E16E60">
              <w:t>x</w:t>
            </w:r>
          </w:p>
        </w:tc>
        <w:tc>
          <w:tcPr>
            <w:tcW w:w="1560" w:type="dxa"/>
          </w:tcPr>
          <w:p w14:paraId="44BE19B8" w14:textId="77777777" w:rsidR="001D6A1B" w:rsidRPr="00E16E60" w:rsidRDefault="001D6A1B" w:rsidP="000F1ADC">
            <w:pPr>
              <w:jc w:val="center"/>
            </w:pPr>
          </w:p>
        </w:tc>
        <w:tc>
          <w:tcPr>
            <w:tcW w:w="1559" w:type="dxa"/>
          </w:tcPr>
          <w:p w14:paraId="4BED72D9" w14:textId="77777777" w:rsidR="001D6A1B" w:rsidRPr="00E16E60" w:rsidRDefault="001D6A1B" w:rsidP="000F1ADC">
            <w:pPr>
              <w:jc w:val="center"/>
            </w:pPr>
          </w:p>
        </w:tc>
      </w:tr>
      <w:tr w:rsidR="001D6A1B" w:rsidRPr="00E16E60" w14:paraId="3671F5DC" w14:textId="77777777" w:rsidTr="000F1ADC">
        <w:trPr>
          <w:jc w:val="center"/>
        </w:trPr>
        <w:tc>
          <w:tcPr>
            <w:tcW w:w="1531" w:type="dxa"/>
            <w:vMerge/>
            <w:vAlign w:val="center"/>
          </w:tcPr>
          <w:p w14:paraId="2E28ABED" w14:textId="77777777" w:rsidR="001D6A1B" w:rsidRPr="00E16E60" w:rsidRDefault="001D6A1B" w:rsidP="000F1ADC">
            <w:pPr>
              <w:jc w:val="center"/>
              <w:rPr>
                <w:b/>
              </w:rPr>
            </w:pPr>
          </w:p>
        </w:tc>
        <w:tc>
          <w:tcPr>
            <w:tcW w:w="3402" w:type="dxa"/>
          </w:tcPr>
          <w:p w14:paraId="695873F1" w14:textId="77777777" w:rsidR="001D6A1B" w:rsidRPr="00E16E60" w:rsidRDefault="001D6A1B" w:rsidP="000F1ADC">
            <w:proofErr w:type="spellStart"/>
            <w:r>
              <w:rPr>
                <w:color w:val="000000"/>
              </w:rPr>
              <w:t>e</w:t>
            </w:r>
            <w:r w:rsidRPr="00E16E60">
              <w:rPr>
                <w:color w:val="000000"/>
              </w:rPr>
              <w:t>ndrin</w:t>
            </w:r>
            <w:proofErr w:type="spellEnd"/>
          </w:p>
        </w:tc>
        <w:tc>
          <w:tcPr>
            <w:tcW w:w="1329" w:type="dxa"/>
          </w:tcPr>
          <w:p w14:paraId="0164E462" w14:textId="77777777" w:rsidR="001D6A1B" w:rsidRPr="00E16E60" w:rsidRDefault="001D6A1B" w:rsidP="000F1ADC">
            <w:pPr>
              <w:jc w:val="center"/>
            </w:pPr>
            <w:r w:rsidRPr="00E16E60">
              <w:t>x</w:t>
            </w:r>
          </w:p>
        </w:tc>
        <w:tc>
          <w:tcPr>
            <w:tcW w:w="1560" w:type="dxa"/>
          </w:tcPr>
          <w:p w14:paraId="169A326F" w14:textId="77777777" w:rsidR="001D6A1B" w:rsidRPr="00E16E60" w:rsidRDefault="001D6A1B" w:rsidP="000F1ADC">
            <w:pPr>
              <w:jc w:val="center"/>
            </w:pPr>
          </w:p>
        </w:tc>
        <w:tc>
          <w:tcPr>
            <w:tcW w:w="1559" w:type="dxa"/>
          </w:tcPr>
          <w:p w14:paraId="348D93F5" w14:textId="77777777" w:rsidR="001D6A1B" w:rsidRPr="00E16E60" w:rsidRDefault="001D6A1B" w:rsidP="000F1ADC">
            <w:pPr>
              <w:jc w:val="center"/>
            </w:pPr>
          </w:p>
        </w:tc>
      </w:tr>
      <w:tr w:rsidR="001D6A1B" w:rsidRPr="00E16E60" w14:paraId="26DBD674" w14:textId="77777777" w:rsidTr="000F1ADC">
        <w:trPr>
          <w:jc w:val="center"/>
        </w:trPr>
        <w:tc>
          <w:tcPr>
            <w:tcW w:w="1531" w:type="dxa"/>
            <w:vMerge/>
            <w:vAlign w:val="center"/>
          </w:tcPr>
          <w:p w14:paraId="4CF1BE91" w14:textId="77777777" w:rsidR="001D6A1B" w:rsidRPr="00E16E60" w:rsidRDefault="001D6A1B" w:rsidP="000F1ADC">
            <w:pPr>
              <w:jc w:val="center"/>
              <w:rPr>
                <w:b/>
              </w:rPr>
            </w:pPr>
          </w:p>
        </w:tc>
        <w:tc>
          <w:tcPr>
            <w:tcW w:w="3402" w:type="dxa"/>
          </w:tcPr>
          <w:p w14:paraId="7128A753" w14:textId="77777777" w:rsidR="001D6A1B" w:rsidRPr="00E16E60" w:rsidRDefault="001D6A1B" w:rsidP="000F1ADC">
            <w:proofErr w:type="spellStart"/>
            <w:r>
              <w:rPr>
                <w:color w:val="000000"/>
              </w:rPr>
              <w:t>h</w:t>
            </w:r>
            <w:r w:rsidRPr="00E16E60">
              <w:rPr>
                <w:color w:val="000000"/>
              </w:rPr>
              <w:t>eptaklor</w:t>
            </w:r>
            <w:proofErr w:type="spellEnd"/>
          </w:p>
        </w:tc>
        <w:tc>
          <w:tcPr>
            <w:tcW w:w="1329" w:type="dxa"/>
          </w:tcPr>
          <w:p w14:paraId="3FA81583" w14:textId="77777777" w:rsidR="001D6A1B" w:rsidRPr="00E16E60" w:rsidRDefault="001D6A1B" w:rsidP="000F1ADC">
            <w:pPr>
              <w:jc w:val="center"/>
            </w:pPr>
            <w:r w:rsidRPr="00E16E60">
              <w:t>x</w:t>
            </w:r>
          </w:p>
        </w:tc>
        <w:tc>
          <w:tcPr>
            <w:tcW w:w="1560" w:type="dxa"/>
          </w:tcPr>
          <w:p w14:paraId="2E4E0DE5" w14:textId="77777777" w:rsidR="001D6A1B" w:rsidRPr="00E16E60" w:rsidRDefault="001D6A1B" w:rsidP="000F1ADC">
            <w:pPr>
              <w:jc w:val="center"/>
            </w:pPr>
          </w:p>
        </w:tc>
        <w:tc>
          <w:tcPr>
            <w:tcW w:w="1559" w:type="dxa"/>
          </w:tcPr>
          <w:p w14:paraId="0377D2BA" w14:textId="77777777" w:rsidR="001D6A1B" w:rsidRPr="00E16E60" w:rsidRDefault="001D6A1B" w:rsidP="000F1ADC">
            <w:pPr>
              <w:jc w:val="center"/>
            </w:pPr>
          </w:p>
        </w:tc>
      </w:tr>
      <w:tr w:rsidR="001D6A1B" w:rsidRPr="00E16E60" w14:paraId="330230B2" w14:textId="77777777" w:rsidTr="000F1ADC">
        <w:trPr>
          <w:jc w:val="center"/>
        </w:trPr>
        <w:tc>
          <w:tcPr>
            <w:tcW w:w="1531" w:type="dxa"/>
            <w:vMerge/>
            <w:vAlign w:val="center"/>
          </w:tcPr>
          <w:p w14:paraId="5ABEF269" w14:textId="77777777" w:rsidR="001D6A1B" w:rsidRPr="00E16E60" w:rsidRDefault="001D6A1B" w:rsidP="000F1ADC">
            <w:pPr>
              <w:jc w:val="center"/>
              <w:rPr>
                <w:b/>
              </w:rPr>
            </w:pPr>
          </w:p>
        </w:tc>
        <w:tc>
          <w:tcPr>
            <w:tcW w:w="3402" w:type="dxa"/>
          </w:tcPr>
          <w:p w14:paraId="6A6690EA" w14:textId="5A10EE9B" w:rsidR="001D6A1B" w:rsidRPr="00E16E60" w:rsidRDefault="001D6A1B" w:rsidP="000F1ADC">
            <w:pPr>
              <w:rPr>
                <w:color w:val="000000"/>
              </w:rPr>
            </w:pPr>
            <w:proofErr w:type="spellStart"/>
            <w:r>
              <w:rPr>
                <w:color w:val="000000"/>
              </w:rPr>
              <w:t>h</w:t>
            </w:r>
            <w:r w:rsidRPr="00E16E60">
              <w:rPr>
                <w:color w:val="000000"/>
              </w:rPr>
              <w:t>eksaklorobenzen</w:t>
            </w:r>
            <w:proofErr w:type="spellEnd"/>
            <w:r>
              <w:rPr>
                <w:color w:val="000000"/>
              </w:rPr>
              <w:t xml:space="preserve"> </w:t>
            </w:r>
            <w:r w:rsidRPr="00091E25">
              <w:rPr>
                <w:color w:val="000000"/>
              </w:rPr>
              <w:t>(HCB)</w:t>
            </w:r>
          </w:p>
        </w:tc>
        <w:tc>
          <w:tcPr>
            <w:tcW w:w="1329" w:type="dxa"/>
          </w:tcPr>
          <w:p w14:paraId="7BD25AFD" w14:textId="77777777" w:rsidR="001D6A1B" w:rsidRPr="00E16E60" w:rsidRDefault="001D6A1B" w:rsidP="000F1ADC">
            <w:pPr>
              <w:jc w:val="center"/>
            </w:pPr>
            <w:r w:rsidRPr="00E16E60">
              <w:t>x</w:t>
            </w:r>
          </w:p>
        </w:tc>
        <w:tc>
          <w:tcPr>
            <w:tcW w:w="1560" w:type="dxa"/>
          </w:tcPr>
          <w:p w14:paraId="4FF99106" w14:textId="77777777" w:rsidR="001D6A1B" w:rsidRPr="00E16E60" w:rsidRDefault="001D6A1B" w:rsidP="000F1ADC">
            <w:pPr>
              <w:jc w:val="center"/>
            </w:pPr>
            <w:r w:rsidRPr="00E16E60">
              <w:t>x</w:t>
            </w:r>
          </w:p>
        </w:tc>
        <w:tc>
          <w:tcPr>
            <w:tcW w:w="1559" w:type="dxa"/>
          </w:tcPr>
          <w:p w14:paraId="343D696C" w14:textId="77777777" w:rsidR="001D6A1B" w:rsidRPr="00E16E60" w:rsidRDefault="001D6A1B" w:rsidP="000F1ADC">
            <w:pPr>
              <w:jc w:val="center"/>
            </w:pPr>
          </w:p>
        </w:tc>
      </w:tr>
      <w:tr w:rsidR="001D6A1B" w:rsidRPr="00E16E60" w14:paraId="542E3D82" w14:textId="77777777" w:rsidTr="000F1ADC">
        <w:trPr>
          <w:jc w:val="center"/>
        </w:trPr>
        <w:tc>
          <w:tcPr>
            <w:tcW w:w="1531" w:type="dxa"/>
            <w:vMerge/>
            <w:vAlign w:val="center"/>
          </w:tcPr>
          <w:p w14:paraId="7612FC0B" w14:textId="77777777" w:rsidR="001D6A1B" w:rsidRPr="00E16E60" w:rsidRDefault="001D6A1B" w:rsidP="000F1ADC">
            <w:pPr>
              <w:jc w:val="center"/>
              <w:rPr>
                <w:b/>
              </w:rPr>
            </w:pPr>
          </w:p>
        </w:tc>
        <w:tc>
          <w:tcPr>
            <w:tcW w:w="3402" w:type="dxa"/>
          </w:tcPr>
          <w:p w14:paraId="515C3AF7" w14:textId="77777777" w:rsidR="001D6A1B" w:rsidRPr="00E16E60" w:rsidRDefault="001D6A1B" w:rsidP="000F1ADC">
            <w:pPr>
              <w:rPr>
                <w:color w:val="000000"/>
              </w:rPr>
            </w:pPr>
            <w:proofErr w:type="spellStart"/>
            <w:r>
              <w:rPr>
                <w:lang w:eastAsia="de-DE"/>
              </w:rPr>
              <w:t>m</w:t>
            </w:r>
            <w:r w:rsidRPr="00E16E60">
              <w:rPr>
                <w:lang w:eastAsia="de-DE"/>
              </w:rPr>
              <w:t>ireks</w:t>
            </w:r>
            <w:proofErr w:type="spellEnd"/>
          </w:p>
        </w:tc>
        <w:tc>
          <w:tcPr>
            <w:tcW w:w="1329" w:type="dxa"/>
          </w:tcPr>
          <w:p w14:paraId="5A4EF111" w14:textId="77777777" w:rsidR="001D6A1B" w:rsidRPr="00E16E60" w:rsidRDefault="001D6A1B" w:rsidP="000F1ADC">
            <w:pPr>
              <w:jc w:val="center"/>
            </w:pPr>
            <w:r w:rsidRPr="00E16E60">
              <w:t>x</w:t>
            </w:r>
          </w:p>
        </w:tc>
        <w:tc>
          <w:tcPr>
            <w:tcW w:w="1560" w:type="dxa"/>
          </w:tcPr>
          <w:p w14:paraId="21830320" w14:textId="77777777" w:rsidR="001D6A1B" w:rsidRPr="00E16E60" w:rsidRDefault="001D6A1B" w:rsidP="000F1ADC">
            <w:pPr>
              <w:jc w:val="center"/>
            </w:pPr>
          </w:p>
        </w:tc>
        <w:tc>
          <w:tcPr>
            <w:tcW w:w="1559" w:type="dxa"/>
          </w:tcPr>
          <w:p w14:paraId="3A1BB652" w14:textId="77777777" w:rsidR="001D6A1B" w:rsidRPr="00E16E60" w:rsidRDefault="001D6A1B" w:rsidP="000F1ADC">
            <w:pPr>
              <w:jc w:val="center"/>
            </w:pPr>
          </w:p>
        </w:tc>
      </w:tr>
      <w:tr w:rsidR="001D6A1B" w:rsidRPr="00E16E60" w14:paraId="5B20625D" w14:textId="77777777" w:rsidTr="000F1ADC">
        <w:trPr>
          <w:jc w:val="center"/>
        </w:trPr>
        <w:tc>
          <w:tcPr>
            <w:tcW w:w="1531" w:type="dxa"/>
            <w:vMerge/>
            <w:vAlign w:val="center"/>
          </w:tcPr>
          <w:p w14:paraId="0CFA7647" w14:textId="77777777" w:rsidR="001D6A1B" w:rsidRPr="00E16E60" w:rsidRDefault="001D6A1B" w:rsidP="000F1ADC">
            <w:pPr>
              <w:jc w:val="center"/>
              <w:rPr>
                <w:b/>
              </w:rPr>
            </w:pPr>
          </w:p>
        </w:tc>
        <w:tc>
          <w:tcPr>
            <w:tcW w:w="3402" w:type="dxa"/>
          </w:tcPr>
          <w:p w14:paraId="7F98314B" w14:textId="5DA8AE7C" w:rsidR="001D6A1B" w:rsidRPr="00E16E60" w:rsidRDefault="001D6A1B" w:rsidP="00A449D2">
            <w:pPr>
              <w:rPr>
                <w:color w:val="000000"/>
              </w:rPr>
            </w:pPr>
            <w:proofErr w:type="spellStart"/>
            <w:r>
              <w:rPr>
                <w:lang w:eastAsia="de-DE"/>
              </w:rPr>
              <w:t>p</w:t>
            </w:r>
            <w:r w:rsidRPr="00E16E60">
              <w:rPr>
                <w:lang w:eastAsia="de-DE"/>
              </w:rPr>
              <w:t>oliklorirani</w:t>
            </w:r>
            <w:proofErr w:type="spellEnd"/>
            <w:r w:rsidRPr="00E16E60">
              <w:rPr>
                <w:lang w:eastAsia="de-DE"/>
              </w:rPr>
              <w:t xml:space="preserve"> </w:t>
            </w:r>
            <w:proofErr w:type="spellStart"/>
            <w:r w:rsidRPr="00E16E60">
              <w:rPr>
                <w:lang w:eastAsia="de-DE"/>
              </w:rPr>
              <w:t>bifenili</w:t>
            </w:r>
            <w:proofErr w:type="spellEnd"/>
            <w:r w:rsidRPr="00E16E60">
              <w:rPr>
                <w:lang w:eastAsia="de-DE"/>
              </w:rPr>
              <w:t xml:space="preserve"> </w:t>
            </w:r>
            <w:r w:rsidRPr="00091E25">
              <w:rPr>
                <w:lang w:eastAsia="de-DE"/>
              </w:rPr>
              <w:t>(PCB)</w:t>
            </w:r>
          </w:p>
        </w:tc>
        <w:tc>
          <w:tcPr>
            <w:tcW w:w="1329" w:type="dxa"/>
          </w:tcPr>
          <w:p w14:paraId="0CA81099" w14:textId="77777777" w:rsidR="001D6A1B" w:rsidRPr="00E16E60" w:rsidRDefault="001D6A1B" w:rsidP="000F1ADC">
            <w:pPr>
              <w:jc w:val="center"/>
            </w:pPr>
          </w:p>
        </w:tc>
        <w:tc>
          <w:tcPr>
            <w:tcW w:w="1560" w:type="dxa"/>
          </w:tcPr>
          <w:p w14:paraId="269164EC" w14:textId="77777777" w:rsidR="001D6A1B" w:rsidRPr="00E16E60" w:rsidRDefault="001D6A1B" w:rsidP="000F1ADC">
            <w:pPr>
              <w:jc w:val="center"/>
            </w:pPr>
            <w:r w:rsidRPr="00E16E60">
              <w:t>x</w:t>
            </w:r>
          </w:p>
        </w:tc>
        <w:tc>
          <w:tcPr>
            <w:tcW w:w="1559" w:type="dxa"/>
          </w:tcPr>
          <w:p w14:paraId="32D97313" w14:textId="77777777" w:rsidR="001D6A1B" w:rsidRPr="00E16E60" w:rsidRDefault="001D6A1B" w:rsidP="000F1ADC">
            <w:pPr>
              <w:jc w:val="center"/>
            </w:pPr>
          </w:p>
        </w:tc>
      </w:tr>
      <w:tr w:rsidR="001D6A1B" w:rsidRPr="00E16E60" w14:paraId="1D0CE7D3" w14:textId="77777777" w:rsidTr="000F1ADC">
        <w:trPr>
          <w:jc w:val="center"/>
        </w:trPr>
        <w:tc>
          <w:tcPr>
            <w:tcW w:w="1531" w:type="dxa"/>
            <w:vMerge/>
            <w:vAlign w:val="center"/>
          </w:tcPr>
          <w:p w14:paraId="046A680D" w14:textId="77777777" w:rsidR="001D6A1B" w:rsidRPr="00E16E60" w:rsidRDefault="001D6A1B" w:rsidP="000F1ADC">
            <w:pPr>
              <w:jc w:val="center"/>
              <w:rPr>
                <w:b/>
              </w:rPr>
            </w:pPr>
          </w:p>
        </w:tc>
        <w:tc>
          <w:tcPr>
            <w:tcW w:w="3402" w:type="dxa"/>
          </w:tcPr>
          <w:p w14:paraId="01265B2C" w14:textId="77777777" w:rsidR="001D6A1B" w:rsidRPr="00E16E60" w:rsidRDefault="001D6A1B" w:rsidP="000F1ADC">
            <w:pPr>
              <w:rPr>
                <w:color w:val="000000"/>
              </w:rPr>
            </w:pPr>
            <w:proofErr w:type="spellStart"/>
            <w:r>
              <w:rPr>
                <w:color w:val="000000"/>
              </w:rPr>
              <w:t>t</w:t>
            </w:r>
            <w:r w:rsidRPr="00E16E60">
              <w:rPr>
                <w:color w:val="000000"/>
              </w:rPr>
              <w:t>oksafen</w:t>
            </w:r>
            <w:proofErr w:type="spellEnd"/>
          </w:p>
        </w:tc>
        <w:tc>
          <w:tcPr>
            <w:tcW w:w="1329" w:type="dxa"/>
          </w:tcPr>
          <w:p w14:paraId="37844D0C" w14:textId="77777777" w:rsidR="001D6A1B" w:rsidRPr="00E16E60" w:rsidRDefault="001D6A1B" w:rsidP="000F1ADC">
            <w:pPr>
              <w:jc w:val="center"/>
            </w:pPr>
            <w:r w:rsidRPr="00E16E60">
              <w:t>x</w:t>
            </w:r>
          </w:p>
        </w:tc>
        <w:tc>
          <w:tcPr>
            <w:tcW w:w="1560" w:type="dxa"/>
          </w:tcPr>
          <w:p w14:paraId="698CA9B0" w14:textId="77777777" w:rsidR="001D6A1B" w:rsidRPr="00E16E60" w:rsidRDefault="001D6A1B" w:rsidP="000F1ADC">
            <w:pPr>
              <w:jc w:val="center"/>
            </w:pPr>
          </w:p>
        </w:tc>
        <w:tc>
          <w:tcPr>
            <w:tcW w:w="1559" w:type="dxa"/>
          </w:tcPr>
          <w:p w14:paraId="5456B28F" w14:textId="77777777" w:rsidR="001D6A1B" w:rsidRPr="00E16E60" w:rsidRDefault="001D6A1B" w:rsidP="000F1ADC">
            <w:pPr>
              <w:jc w:val="center"/>
            </w:pPr>
          </w:p>
        </w:tc>
      </w:tr>
      <w:tr w:rsidR="001D6A1B" w:rsidRPr="00E16E60" w14:paraId="2AB4F06E" w14:textId="77777777" w:rsidTr="003C5E25">
        <w:trPr>
          <w:jc w:val="center"/>
        </w:trPr>
        <w:tc>
          <w:tcPr>
            <w:tcW w:w="1531" w:type="dxa"/>
            <w:vMerge/>
            <w:vAlign w:val="center"/>
          </w:tcPr>
          <w:p w14:paraId="13265542" w14:textId="77777777" w:rsidR="001D6A1B" w:rsidRPr="00E16E60" w:rsidRDefault="001D6A1B" w:rsidP="000F1ADC">
            <w:pPr>
              <w:jc w:val="center"/>
              <w:rPr>
                <w:b/>
              </w:rPr>
            </w:pPr>
          </w:p>
        </w:tc>
        <w:tc>
          <w:tcPr>
            <w:tcW w:w="3402" w:type="dxa"/>
            <w:shd w:val="clear" w:color="auto" w:fill="D6E3BC" w:themeFill="accent3" w:themeFillTint="66"/>
          </w:tcPr>
          <w:p w14:paraId="40A18304" w14:textId="7B4327E0" w:rsidR="001D6A1B" w:rsidRPr="00E16E60" w:rsidRDefault="001D6A1B" w:rsidP="001D6A1B">
            <w:proofErr w:type="spellStart"/>
            <w:r>
              <w:rPr>
                <w:lang w:eastAsia="de-DE"/>
              </w:rPr>
              <w:t>k</w:t>
            </w:r>
            <w:r w:rsidRPr="00E16E60">
              <w:rPr>
                <w:lang w:eastAsia="de-DE"/>
              </w:rPr>
              <w:t>lordekon</w:t>
            </w:r>
            <w:proofErr w:type="spellEnd"/>
          </w:p>
        </w:tc>
        <w:tc>
          <w:tcPr>
            <w:tcW w:w="1329" w:type="dxa"/>
            <w:shd w:val="clear" w:color="auto" w:fill="D6E3BC" w:themeFill="accent3" w:themeFillTint="66"/>
          </w:tcPr>
          <w:p w14:paraId="0F2C1995" w14:textId="77777777" w:rsidR="001D6A1B" w:rsidRPr="00E16E60" w:rsidRDefault="001D6A1B" w:rsidP="000F1ADC">
            <w:pPr>
              <w:jc w:val="center"/>
            </w:pPr>
            <w:r w:rsidRPr="00E16E60">
              <w:t>x</w:t>
            </w:r>
          </w:p>
        </w:tc>
        <w:tc>
          <w:tcPr>
            <w:tcW w:w="1560" w:type="dxa"/>
            <w:shd w:val="clear" w:color="auto" w:fill="D6E3BC" w:themeFill="accent3" w:themeFillTint="66"/>
          </w:tcPr>
          <w:p w14:paraId="29DE168A" w14:textId="77777777" w:rsidR="001D6A1B" w:rsidRPr="00E16E60" w:rsidRDefault="001D6A1B" w:rsidP="000F1ADC">
            <w:pPr>
              <w:jc w:val="center"/>
            </w:pPr>
          </w:p>
        </w:tc>
        <w:tc>
          <w:tcPr>
            <w:tcW w:w="1559" w:type="dxa"/>
            <w:shd w:val="clear" w:color="auto" w:fill="D6E3BC" w:themeFill="accent3" w:themeFillTint="66"/>
          </w:tcPr>
          <w:p w14:paraId="48136275" w14:textId="77777777" w:rsidR="001D6A1B" w:rsidRPr="00E16E60" w:rsidRDefault="001D6A1B" w:rsidP="000F1ADC">
            <w:pPr>
              <w:jc w:val="center"/>
            </w:pPr>
          </w:p>
        </w:tc>
      </w:tr>
      <w:tr w:rsidR="001D6A1B" w:rsidRPr="00E16E60" w14:paraId="213ADE94" w14:textId="77777777" w:rsidTr="003C5E25">
        <w:trPr>
          <w:jc w:val="center"/>
        </w:trPr>
        <w:tc>
          <w:tcPr>
            <w:tcW w:w="1531" w:type="dxa"/>
            <w:vMerge/>
            <w:vAlign w:val="center"/>
          </w:tcPr>
          <w:p w14:paraId="7A788233" w14:textId="77777777" w:rsidR="001D6A1B" w:rsidRPr="00E16E60" w:rsidRDefault="001D6A1B" w:rsidP="000F1ADC">
            <w:pPr>
              <w:jc w:val="center"/>
              <w:rPr>
                <w:b/>
              </w:rPr>
            </w:pPr>
          </w:p>
        </w:tc>
        <w:tc>
          <w:tcPr>
            <w:tcW w:w="3402" w:type="dxa"/>
            <w:shd w:val="clear" w:color="auto" w:fill="D6E3BC" w:themeFill="accent3" w:themeFillTint="66"/>
          </w:tcPr>
          <w:p w14:paraId="7C27E159" w14:textId="773B2F61" w:rsidR="001D6A1B" w:rsidRPr="00E16E60" w:rsidRDefault="001D6A1B" w:rsidP="001D6A1B">
            <w:proofErr w:type="spellStart"/>
            <w:r>
              <w:rPr>
                <w:lang w:eastAsia="de-DE"/>
              </w:rPr>
              <w:t>h</w:t>
            </w:r>
            <w:r w:rsidRPr="00E16E60">
              <w:rPr>
                <w:lang w:eastAsia="de-DE"/>
              </w:rPr>
              <w:t>eksabromobifenil</w:t>
            </w:r>
            <w:proofErr w:type="spellEnd"/>
            <w:r>
              <w:rPr>
                <w:lang w:eastAsia="de-DE"/>
              </w:rPr>
              <w:t xml:space="preserve"> (HBB)</w:t>
            </w:r>
          </w:p>
        </w:tc>
        <w:tc>
          <w:tcPr>
            <w:tcW w:w="1329" w:type="dxa"/>
            <w:shd w:val="clear" w:color="auto" w:fill="D6E3BC" w:themeFill="accent3" w:themeFillTint="66"/>
          </w:tcPr>
          <w:p w14:paraId="20FD193B" w14:textId="77777777" w:rsidR="001D6A1B" w:rsidRPr="00E16E60" w:rsidRDefault="001D6A1B" w:rsidP="000F1ADC">
            <w:pPr>
              <w:jc w:val="center"/>
            </w:pPr>
          </w:p>
        </w:tc>
        <w:tc>
          <w:tcPr>
            <w:tcW w:w="1560" w:type="dxa"/>
            <w:shd w:val="clear" w:color="auto" w:fill="D6E3BC" w:themeFill="accent3" w:themeFillTint="66"/>
          </w:tcPr>
          <w:p w14:paraId="28BDB6B0" w14:textId="77777777" w:rsidR="001D6A1B" w:rsidRPr="00E16E60" w:rsidRDefault="001D6A1B" w:rsidP="000F1ADC">
            <w:pPr>
              <w:jc w:val="center"/>
            </w:pPr>
            <w:r w:rsidRPr="00E16E60">
              <w:t>x</w:t>
            </w:r>
          </w:p>
        </w:tc>
        <w:tc>
          <w:tcPr>
            <w:tcW w:w="1559" w:type="dxa"/>
            <w:shd w:val="clear" w:color="auto" w:fill="D6E3BC" w:themeFill="accent3" w:themeFillTint="66"/>
          </w:tcPr>
          <w:p w14:paraId="11165801" w14:textId="77777777" w:rsidR="001D6A1B" w:rsidRPr="00E16E60" w:rsidRDefault="001D6A1B" w:rsidP="000F1ADC">
            <w:pPr>
              <w:jc w:val="center"/>
            </w:pPr>
          </w:p>
        </w:tc>
      </w:tr>
      <w:tr w:rsidR="001D6A1B" w:rsidRPr="00E16E60" w14:paraId="498AD080" w14:textId="77777777" w:rsidTr="00091E25">
        <w:trPr>
          <w:jc w:val="center"/>
        </w:trPr>
        <w:tc>
          <w:tcPr>
            <w:tcW w:w="1531" w:type="dxa"/>
            <w:vMerge/>
            <w:vAlign w:val="center"/>
          </w:tcPr>
          <w:p w14:paraId="6A79A0CA" w14:textId="77777777" w:rsidR="001D6A1B" w:rsidRPr="00E16E60" w:rsidRDefault="001D6A1B" w:rsidP="000F1ADC">
            <w:pPr>
              <w:jc w:val="center"/>
              <w:rPr>
                <w:b/>
              </w:rPr>
            </w:pPr>
          </w:p>
        </w:tc>
        <w:tc>
          <w:tcPr>
            <w:tcW w:w="3402" w:type="dxa"/>
            <w:shd w:val="clear" w:color="auto" w:fill="D6E3BC" w:themeFill="accent3" w:themeFillTint="66"/>
          </w:tcPr>
          <w:p w14:paraId="571A5B18" w14:textId="6F507434" w:rsidR="001D6A1B" w:rsidRPr="00E16E60" w:rsidRDefault="001D6A1B" w:rsidP="001D6A1B">
            <w:pPr>
              <w:spacing w:before="20" w:after="20"/>
              <w:rPr>
                <w:lang w:eastAsia="de-DE"/>
              </w:rPr>
            </w:pPr>
            <w:proofErr w:type="spellStart"/>
            <w:r>
              <w:rPr>
                <w:lang w:eastAsia="de-DE"/>
              </w:rPr>
              <w:t>h</w:t>
            </w:r>
            <w:r w:rsidRPr="00E16E60">
              <w:rPr>
                <w:lang w:eastAsia="de-DE"/>
              </w:rPr>
              <w:t>eksabromodifenil</w:t>
            </w:r>
            <w:proofErr w:type="spellEnd"/>
            <w:r w:rsidRPr="00E16E60">
              <w:rPr>
                <w:lang w:eastAsia="de-DE"/>
              </w:rPr>
              <w:t xml:space="preserve"> eter i </w:t>
            </w:r>
            <w:proofErr w:type="spellStart"/>
            <w:r w:rsidRPr="00E16E60">
              <w:rPr>
                <w:lang w:eastAsia="de-DE"/>
              </w:rPr>
              <w:t>heptabromodifenil</w:t>
            </w:r>
            <w:proofErr w:type="spellEnd"/>
            <w:r w:rsidRPr="00E16E60">
              <w:rPr>
                <w:lang w:eastAsia="de-DE"/>
              </w:rPr>
              <w:t xml:space="preserve"> eter</w:t>
            </w:r>
          </w:p>
        </w:tc>
        <w:tc>
          <w:tcPr>
            <w:tcW w:w="1329" w:type="dxa"/>
            <w:shd w:val="clear" w:color="auto" w:fill="D6E3BC" w:themeFill="accent3" w:themeFillTint="66"/>
          </w:tcPr>
          <w:p w14:paraId="29258F45" w14:textId="77777777" w:rsidR="001D6A1B" w:rsidRPr="00E16E60" w:rsidRDefault="001D6A1B" w:rsidP="000F1ADC">
            <w:pPr>
              <w:spacing w:before="20" w:after="20"/>
              <w:jc w:val="center"/>
              <w:rPr>
                <w:lang w:eastAsia="de-DE"/>
              </w:rPr>
            </w:pPr>
          </w:p>
        </w:tc>
        <w:tc>
          <w:tcPr>
            <w:tcW w:w="1560" w:type="dxa"/>
            <w:shd w:val="clear" w:color="auto" w:fill="D6E3BC" w:themeFill="accent3" w:themeFillTint="66"/>
          </w:tcPr>
          <w:p w14:paraId="20F624F5" w14:textId="77777777" w:rsidR="001D6A1B" w:rsidRPr="00E16E60" w:rsidRDefault="001D6A1B" w:rsidP="000F1ADC">
            <w:pPr>
              <w:jc w:val="center"/>
            </w:pPr>
            <w:r w:rsidRPr="00E16E60">
              <w:t>x</w:t>
            </w:r>
          </w:p>
        </w:tc>
        <w:tc>
          <w:tcPr>
            <w:tcW w:w="1559" w:type="dxa"/>
            <w:shd w:val="clear" w:color="auto" w:fill="D6E3BC" w:themeFill="accent3" w:themeFillTint="66"/>
          </w:tcPr>
          <w:p w14:paraId="1DF48B25" w14:textId="77777777" w:rsidR="001D6A1B" w:rsidRPr="00E16E60" w:rsidRDefault="001D6A1B" w:rsidP="000F1ADC">
            <w:pPr>
              <w:jc w:val="center"/>
            </w:pPr>
          </w:p>
        </w:tc>
      </w:tr>
      <w:tr w:rsidR="001D6A1B" w:rsidRPr="00E16E60" w14:paraId="432BFAB4" w14:textId="77777777" w:rsidTr="00091E25">
        <w:trPr>
          <w:jc w:val="center"/>
        </w:trPr>
        <w:tc>
          <w:tcPr>
            <w:tcW w:w="1531" w:type="dxa"/>
            <w:vMerge/>
            <w:vAlign w:val="center"/>
          </w:tcPr>
          <w:p w14:paraId="6D6D91F8" w14:textId="77777777" w:rsidR="001D6A1B" w:rsidRPr="00E16E60" w:rsidRDefault="001D6A1B" w:rsidP="000F1ADC">
            <w:pPr>
              <w:jc w:val="center"/>
              <w:rPr>
                <w:b/>
              </w:rPr>
            </w:pPr>
          </w:p>
        </w:tc>
        <w:tc>
          <w:tcPr>
            <w:tcW w:w="3402" w:type="dxa"/>
            <w:shd w:val="clear" w:color="auto" w:fill="D6E3BC" w:themeFill="accent3" w:themeFillTint="66"/>
          </w:tcPr>
          <w:p w14:paraId="1F85BE46" w14:textId="56DE060C" w:rsidR="001D6A1B" w:rsidRPr="00E16E60" w:rsidRDefault="001D6A1B" w:rsidP="000F1ADC">
            <w:pPr>
              <w:rPr>
                <w:color w:val="000000"/>
              </w:rPr>
            </w:pPr>
            <w:r>
              <w:rPr>
                <w:color w:val="000000"/>
              </w:rPr>
              <w:t xml:space="preserve">alfa </w:t>
            </w:r>
            <w:proofErr w:type="spellStart"/>
            <w:r>
              <w:rPr>
                <w:color w:val="000000"/>
              </w:rPr>
              <w:t>heksaklorocikloheksan</w:t>
            </w:r>
            <w:proofErr w:type="spellEnd"/>
          </w:p>
        </w:tc>
        <w:tc>
          <w:tcPr>
            <w:tcW w:w="1329" w:type="dxa"/>
            <w:shd w:val="clear" w:color="auto" w:fill="D6E3BC" w:themeFill="accent3" w:themeFillTint="66"/>
          </w:tcPr>
          <w:p w14:paraId="68E13B8C" w14:textId="77777777" w:rsidR="001D6A1B" w:rsidRPr="00E16E60" w:rsidRDefault="001D6A1B" w:rsidP="000F1ADC">
            <w:pPr>
              <w:jc w:val="center"/>
            </w:pPr>
            <w:r w:rsidRPr="00E16E60">
              <w:t>x</w:t>
            </w:r>
          </w:p>
        </w:tc>
        <w:tc>
          <w:tcPr>
            <w:tcW w:w="1560" w:type="dxa"/>
            <w:shd w:val="clear" w:color="auto" w:fill="D6E3BC" w:themeFill="accent3" w:themeFillTint="66"/>
          </w:tcPr>
          <w:p w14:paraId="23B66BF0" w14:textId="77777777" w:rsidR="001D6A1B" w:rsidRPr="00E16E60" w:rsidRDefault="001D6A1B" w:rsidP="000F1ADC">
            <w:pPr>
              <w:jc w:val="center"/>
            </w:pPr>
          </w:p>
        </w:tc>
        <w:tc>
          <w:tcPr>
            <w:tcW w:w="1559" w:type="dxa"/>
            <w:shd w:val="clear" w:color="auto" w:fill="D6E3BC" w:themeFill="accent3" w:themeFillTint="66"/>
          </w:tcPr>
          <w:p w14:paraId="28579641" w14:textId="77777777" w:rsidR="001D6A1B" w:rsidRPr="00E16E60" w:rsidRDefault="001D6A1B" w:rsidP="000F1ADC">
            <w:pPr>
              <w:jc w:val="center"/>
            </w:pPr>
          </w:p>
        </w:tc>
      </w:tr>
      <w:tr w:rsidR="001D6A1B" w:rsidRPr="00E16E60" w14:paraId="7DE3696E" w14:textId="77777777" w:rsidTr="00091E25">
        <w:trPr>
          <w:jc w:val="center"/>
        </w:trPr>
        <w:tc>
          <w:tcPr>
            <w:tcW w:w="1531" w:type="dxa"/>
            <w:vMerge/>
            <w:vAlign w:val="center"/>
          </w:tcPr>
          <w:p w14:paraId="093DA2FC" w14:textId="77777777" w:rsidR="001D6A1B" w:rsidRPr="00E16E60" w:rsidRDefault="001D6A1B" w:rsidP="000F1ADC">
            <w:pPr>
              <w:jc w:val="center"/>
              <w:rPr>
                <w:b/>
              </w:rPr>
            </w:pPr>
          </w:p>
        </w:tc>
        <w:tc>
          <w:tcPr>
            <w:tcW w:w="3402" w:type="dxa"/>
            <w:shd w:val="clear" w:color="auto" w:fill="D6E3BC" w:themeFill="accent3" w:themeFillTint="66"/>
          </w:tcPr>
          <w:p w14:paraId="1CA25DFD" w14:textId="246341BE" w:rsidR="001D6A1B" w:rsidRPr="00E16E60" w:rsidRDefault="001D6A1B" w:rsidP="000F1ADC">
            <w:pPr>
              <w:rPr>
                <w:color w:val="000000"/>
              </w:rPr>
            </w:pPr>
            <w:r>
              <w:rPr>
                <w:color w:val="000000"/>
              </w:rPr>
              <w:t xml:space="preserve">beta </w:t>
            </w:r>
            <w:proofErr w:type="spellStart"/>
            <w:r>
              <w:rPr>
                <w:color w:val="000000"/>
              </w:rPr>
              <w:t>heksaklorocikloheksan</w:t>
            </w:r>
            <w:proofErr w:type="spellEnd"/>
          </w:p>
        </w:tc>
        <w:tc>
          <w:tcPr>
            <w:tcW w:w="1329" w:type="dxa"/>
            <w:shd w:val="clear" w:color="auto" w:fill="D6E3BC" w:themeFill="accent3" w:themeFillTint="66"/>
          </w:tcPr>
          <w:p w14:paraId="1BFC6E7B" w14:textId="77777777" w:rsidR="001D6A1B" w:rsidRPr="00E16E60" w:rsidRDefault="001D6A1B" w:rsidP="000F1ADC">
            <w:pPr>
              <w:jc w:val="center"/>
            </w:pPr>
            <w:r w:rsidRPr="00E16E60">
              <w:t>x</w:t>
            </w:r>
          </w:p>
        </w:tc>
        <w:tc>
          <w:tcPr>
            <w:tcW w:w="1560" w:type="dxa"/>
            <w:shd w:val="clear" w:color="auto" w:fill="D6E3BC" w:themeFill="accent3" w:themeFillTint="66"/>
          </w:tcPr>
          <w:p w14:paraId="3E2727AC" w14:textId="77777777" w:rsidR="001D6A1B" w:rsidRPr="00E16E60" w:rsidRDefault="001D6A1B" w:rsidP="000F1ADC">
            <w:pPr>
              <w:jc w:val="center"/>
            </w:pPr>
          </w:p>
        </w:tc>
        <w:tc>
          <w:tcPr>
            <w:tcW w:w="1559" w:type="dxa"/>
            <w:shd w:val="clear" w:color="auto" w:fill="D6E3BC" w:themeFill="accent3" w:themeFillTint="66"/>
          </w:tcPr>
          <w:p w14:paraId="7F29B3CB" w14:textId="77777777" w:rsidR="001D6A1B" w:rsidRPr="00E16E60" w:rsidRDefault="001D6A1B" w:rsidP="000F1ADC">
            <w:pPr>
              <w:jc w:val="center"/>
            </w:pPr>
          </w:p>
        </w:tc>
      </w:tr>
      <w:tr w:rsidR="001D6A1B" w:rsidRPr="00E16E60" w14:paraId="1806159A" w14:textId="77777777" w:rsidTr="00091E25">
        <w:trPr>
          <w:jc w:val="center"/>
        </w:trPr>
        <w:tc>
          <w:tcPr>
            <w:tcW w:w="1531" w:type="dxa"/>
            <w:vMerge/>
            <w:vAlign w:val="center"/>
          </w:tcPr>
          <w:p w14:paraId="18509660" w14:textId="77777777" w:rsidR="001D6A1B" w:rsidRPr="00E16E60" w:rsidRDefault="001D6A1B" w:rsidP="000F1ADC">
            <w:pPr>
              <w:jc w:val="center"/>
              <w:rPr>
                <w:b/>
              </w:rPr>
            </w:pPr>
          </w:p>
        </w:tc>
        <w:tc>
          <w:tcPr>
            <w:tcW w:w="3402" w:type="dxa"/>
            <w:shd w:val="clear" w:color="auto" w:fill="D6E3BC" w:themeFill="accent3" w:themeFillTint="66"/>
          </w:tcPr>
          <w:p w14:paraId="66A5ACA0" w14:textId="0101919E" w:rsidR="001D6A1B" w:rsidRPr="00E16E60" w:rsidRDefault="001D6A1B" w:rsidP="000F1ADC">
            <w:pPr>
              <w:rPr>
                <w:color w:val="000000"/>
              </w:rPr>
            </w:pPr>
            <w:proofErr w:type="spellStart"/>
            <w:r>
              <w:rPr>
                <w:color w:val="000000"/>
              </w:rPr>
              <w:t>l</w:t>
            </w:r>
            <w:r w:rsidR="00E718DB">
              <w:rPr>
                <w:color w:val="000000"/>
              </w:rPr>
              <w:t>indan</w:t>
            </w:r>
            <w:proofErr w:type="spellEnd"/>
          </w:p>
        </w:tc>
        <w:tc>
          <w:tcPr>
            <w:tcW w:w="1329" w:type="dxa"/>
            <w:shd w:val="clear" w:color="auto" w:fill="D6E3BC" w:themeFill="accent3" w:themeFillTint="66"/>
          </w:tcPr>
          <w:p w14:paraId="7CDC6876" w14:textId="77777777" w:rsidR="001D6A1B" w:rsidRPr="00E16E60" w:rsidRDefault="001D6A1B" w:rsidP="000F1ADC">
            <w:pPr>
              <w:jc w:val="center"/>
            </w:pPr>
            <w:r w:rsidRPr="00E16E60">
              <w:t>x</w:t>
            </w:r>
          </w:p>
        </w:tc>
        <w:tc>
          <w:tcPr>
            <w:tcW w:w="1560" w:type="dxa"/>
            <w:shd w:val="clear" w:color="auto" w:fill="D6E3BC" w:themeFill="accent3" w:themeFillTint="66"/>
          </w:tcPr>
          <w:p w14:paraId="2EA07E1D" w14:textId="77777777" w:rsidR="001D6A1B" w:rsidRPr="00E16E60" w:rsidRDefault="001D6A1B" w:rsidP="000F1ADC">
            <w:pPr>
              <w:jc w:val="center"/>
            </w:pPr>
          </w:p>
        </w:tc>
        <w:tc>
          <w:tcPr>
            <w:tcW w:w="1559" w:type="dxa"/>
            <w:shd w:val="clear" w:color="auto" w:fill="D6E3BC" w:themeFill="accent3" w:themeFillTint="66"/>
          </w:tcPr>
          <w:p w14:paraId="5E12F321" w14:textId="77777777" w:rsidR="001D6A1B" w:rsidRPr="00E16E60" w:rsidRDefault="001D6A1B" w:rsidP="000F1ADC">
            <w:pPr>
              <w:jc w:val="center"/>
            </w:pPr>
          </w:p>
        </w:tc>
      </w:tr>
      <w:tr w:rsidR="001D6A1B" w:rsidRPr="00E16E60" w14:paraId="75DAE4A9" w14:textId="77777777" w:rsidTr="00091E25">
        <w:trPr>
          <w:jc w:val="center"/>
        </w:trPr>
        <w:tc>
          <w:tcPr>
            <w:tcW w:w="1531" w:type="dxa"/>
            <w:vMerge/>
            <w:vAlign w:val="center"/>
          </w:tcPr>
          <w:p w14:paraId="3C777BE7" w14:textId="77777777" w:rsidR="001D6A1B" w:rsidRPr="00E16E60" w:rsidRDefault="001D6A1B" w:rsidP="000F1ADC">
            <w:pPr>
              <w:jc w:val="center"/>
              <w:rPr>
                <w:b/>
              </w:rPr>
            </w:pPr>
          </w:p>
        </w:tc>
        <w:tc>
          <w:tcPr>
            <w:tcW w:w="3402" w:type="dxa"/>
            <w:shd w:val="clear" w:color="auto" w:fill="D6E3BC" w:themeFill="accent3" w:themeFillTint="66"/>
          </w:tcPr>
          <w:p w14:paraId="4ED92748" w14:textId="42325A2D" w:rsidR="001D6A1B" w:rsidRPr="00E16E60" w:rsidRDefault="001D6A1B" w:rsidP="000F1ADC">
            <w:pPr>
              <w:rPr>
                <w:color w:val="000000"/>
              </w:rPr>
            </w:pPr>
            <w:r>
              <w:rPr>
                <w:color w:val="000000"/>
              </w:rPr>
              <w:t>pentaklorobenzen</w:t>
            </w:r>
          </w:p>
        </w:tc>
        <w:tc>
          <w:tcPr>
            <w:tcW w:w="1329" w:type="dxa"/>
            <w:shd w:val="clear" w:color="auto" w:fill="D6E3BC" w:themeFill="accent3" w:themeFillTint="66"/>
          </w:tcPr>
          <w:p w14:paraId="7BC4D13D" w14:textId="77777777" w:rsidR="001D6A1B" w:rsidRPr="00E16E60" w:rsidRDefault="001D6A1B" w:rsidP="000F1ADC">
            <w:pPr>
              <w:jc w:val="center"/>
            </w:pPr>
            <w:r w:rsidRPr="00E16E60">
              <w:t>x</w:t>
            </w:r>
          </w:p>
        </w:tc>
        <w:tc>
          <w:tcPr>
            <w:tcW w:w="1560" w:type="dxa"/>
            <w:shd w:val="clear" w:color="auto" w:fill="D6E3BC" w:themeFill="accent3" w:themeFillTint="66"/>
          </w:tcPr>
          <w:p w14:paraId="489C1A6E" w14:textId="77777777" w:rsidR="001D6A1B" w:rsidRPr="00E16E60" w:rsidRDefault="001D6A1B" w:rsidP="000F1ADC">
            <w:pPr>
              <w:jc w:val="center"/>
            </w:pPr>
            <w:r w:rsidRPr="00E16E60">
              <w:t>x</w:t>
            </w:r>
          </w:p>
        </w:tc>
        <w:tc>
          <w:tcPr>
            <w:tcW w:w="1559" w:type="dxa"/>
            <w:shd w:val="clear" w:color="auto" w:fill="D6E3BC" w:themeFill="accent3" w:themeFillTint="66"/>
          </w:tcPr>
          <w:p w14:paraId="27AEBECF" w14:textId="77777777" w:rsidR="001D6A1B" w:rsidRPr="00E16E60" w:rsidRDefault="001D6A1B" w:rsidP="000F1ADC">
            <w:pPr>
              <w:jc w:val="center"/>
            </w:pPr>
          </w:p>
        </w:tc>
      </w:tr>
      <w:tr w:rsidR="001D6A1B" w:rsidRPr="00E16E60" w14:paraId="1DB69CD2" w14:textId="77777777" w:rsidTr="00091E25">
        <w:trPr>
          <w:trHeight w:val="456"/>
          <w:jc w:val="center"/>
        </w:trPr>
        <w:tc>
          <w:tcPr>
            <w:tcW w:w="1531" w:type="dxa"/>
            <w:vMerge/>
            <w:vAlign w:val="center"/>
          </w:tcPr>
          <w:p w14:paraId="698322F3" w14:textId="77777777" w:rsidR="001D6A1B" w:rsidRPr="00E16E60" w:rsidRDefault="001D6A1B" w:rsidP="000F1ADC">
            <w:pPr>
              <w:jc w:val="center"/>
              <w:rPr>
                <w:b/>
              </w:rPr>
            </w:pPr>
          </w:p>
        </w:tc>
        <w:tc>
          <w:tcPr>
            <w:tcW w:w="3402" w:type="dxa"/>
            <w:shd w:val="clear" w:color="auto" w:fill="D6E3BC" w:themeFill="accent3" w:themeFillTint="66"/>
          </w:tcPr>
          <w:p w14:paraId="66E0B258" w14:textId="7DCC2BD4" w:rsidR="001D6A1B" w:rsidRPr="00E16E60" w:rsidRDefault="001D6A1B" w:rsidP="000F1ADC">
            <w:pPr>
              <w:spacing w:before="20" w:after="20"/>
              <w:rPr>
                <w:lang w:eastAsia="de-DE"/>
              </w:rPr>
            </w:pPr>
            <w:proofErr w:type="spellStart"/>
            <w:r>
              <w:rPr>
                <w:lang w:eastAsia="de-DE"/>
              </w:rPr>
              <w:t>t</w:t>
            </w:r>
            <w:r w:rsidRPr="00E16E60">
              <w:rPr>
                <w:lang w:eastAsia="de-DE"/>
              </w:rPr>
              <w:t>etrabromodifeni</w:t>
            </w:r>
            <w:r>
              <w:rPr>
                <w:lang w:eastAsia="de-DE"/>
              </w:rPr>
              <w:t>l</w:t>
            </w:r>
            <w:proofErr w:type="spellEnd"/>
            <w:r>
              <w:rPr>
                <w:lang w:eastAsia="de-DE"/>
              </w:rPr>
              <w:t xml:space="preserve"> eter i </w:t>
            </w:r>
            <w:proofErr w:type="spellStart"/>
            <w:r>
              <w:rPr>
                <w:lang w:eastAsia="de-DE"/>
              </w:rPr>
              <w:t>pentabromodifenil</w:t>
            </w:r>
            <w:proofErr w:type="spellEnd"/>
            <w:r>
              <w:rPr>
                <w:lang w:eastAsia="de-DE"/>
              </w:rPr>
              <w:t xml:space="preserve"> eter</w:t>
            </w:r>
          </w:p>
        </w:tc>
        <w:tc>
          <w:tcPr>
            <w:tcW w:w="1329" w:type="dxa"/>
            <w:shd w:val="clear" w:color="auto" w:fill="D6E3BC" w:themeFill="accent3" w:themeFillTint="66"/>
          </w:tcPr>
          <w:p w14:paraId="5526D3A7" w14:textId="77777777" w:rsidR="001D6A1B" w:rsidRPr="00E16E60" w:rsidRDefault="001D6A1B" w:rsidP="000F1ADC">
            <w:pPr>
              <w:jc w:val="center"/>
            </w:pPr>
          </w:p>
        </w:tc>
        <w:tc>
          <w:tcPr>
            <w:tcW w:w="1560" w:type="dxa"/>
            <w:shd w:val="clear" w:color="auto" w:fill="D6E3BC" w:themeFill="accent3" w:themeFillTint="66"/>
          </w:tcPr>
          <w:p w14:paraId="4D9286E8" w14:textId="77777777" w:rsidR="001D6A1B" w:rsidRPr="00E16E60" w:rsidRDefault="001D6A1B" w:rsidP="000F1ADC">
            <w:pPr>
              <w:jc w:val="center"/>
            </w:pPr>
            <w:r w:rsidRPr="00E16E60">
              <w:t>x</w:t>
            </w:r>
          </w:p>
        </w:tc>
        <w:tc>
          <w:tcPr>
            <w:tcW w:w="1559" w:type="dxa"/>
            <w:shd w:val="clear" w:color="auto" w:fill="D6E3BC" w:themeFill="accent3" w:themeFillTint="66"/>
          </w:tcPr>
          <w:p w14:paraId="094E58F0" w14:textId="77777777" w:rsidR="001D6A1B" w:rsidRPr="00E16E60" w:rsidRDefault="001D6A1B" w:rsidP="000F1ADC">
            <w:pPr>
              <w:jc w:val="center"/>
            </w:pPr>
          </w:p>
        </w:tc>
      </w:tr>
      <w:tr w:rsidR="001D6A1B" w:rsidRPr="00E16E60" w14:paraId="2F437B4F" w14:textId="77777777" w:rsidTr="00091E25">
        <w:trPr>
          <w:jc w:val="center"/>
        </w:trPr>
        <w:tc>
          <w:tcPr>
            <w:tcW w:w="1531" w:type="dxa"/>
            <w:vMerge/>
            <w:vAlign w:val="center"/>
          </w:tcPr>
          <w:p w14:paraId="01AAEF85" w14:textId="77777777" w:rsidR="001D6A1B" w:rsidRPr="00E16E60" w:rsidRDefault="001D6A1B" w:rsidP="000F1ADC">
            <w:pPr>
              <w:jc w:val="center"/>
              <w:rPr>
                <w:b/>
              </w:rPr>
            </w:pPr>
          </w:p>
        </w:tc>
        <w:tc>
          <w:tcPr>
            <w:tcW w:w="3402" w:type="dxa"/>
            <w:shd w:val="clear" w:color="auto" w:fill="CCC0D9" w:themeFill="accent4" w:themeFillTint="66"/>
          </w:tcPr>
          <w:p w14:paraId="15B382E2" w14:textId="252DECD4" w:rsidR="001D6A1B" w:rsidRPr="00E16E60" w:rsidRDefault="001D6A1B" w:rsidP="001D6A1B">
            <w:r>
              <w:rPr>
                <w:bCs/>
                <w:lang w:eastAsia="de-DE"/>
              </w:rPr>
              <w:t>t</w:t>
            </w:r>
            <w:r w:rsidRPr="00E16E60">
              <w:rPr>
                <w:bCs/>
                <w:lang w:eastAsia="de-DE"/>
              </w:rPr>
              <w:t xml:space="preserve">ehnički </w:t>
            </w:r>
            <w:proofErr w:type="spellStart"/>
            <w:r w:rsidRPr="00E16E60">
              <w:rPr>
                <w:bCs/>
                <w:lang w:eastAsia="de-DE"/>
              </w:rPr>
              <w:t>endosulfan</w:t>
            </w:r>
            <w:proofErr w:type="spellEnd"/>
            <w:r w:rsidRPr="00E16E60">
              <w:rPr>
                <w:bCs/>
                <w:lang w:eastAsia="de-DE"/>
              </w:rPr>
              <w:t xml:space="preserve"> i njegovi </w:t>
            </w:r>
            <w:proofErr w:type="spellStart"/>
            <w:r w:rsidRPr="00E16E60">
              <w:rPr>
                <w:bCs/>
                <w:lang w:eastAsia="de-DE"/>
              </w:rPr>
              <w:t>izomeri</w:t>
            </w:r>
            <w:proofErr w:type="spellEnd"/>
          </w:p>
        </w:tc>
        <w:tc>
          <w:tcPr>
            <w:tcW w:w="1329" w:type="dxa"/>
            <w:shd w:val="clear" w:color="auto" w:fill="CCC0D9" w:themeFill="accent4" w:themeFillTint="66"/>
          </w:tcPr>
          <w:p w14:paraId="22B0C91C" w14:textId="77777777" w:rsidR="001D6A1B" w:rsidRPr="00E16E60" w:rsidRDefault="001D6A1B" w:rsidP="000F1ADC">
            <w:pPr>
              <w:jc w:val="center"/>
            </w:pPr>
            <w:r w:rsidRPr="00E16E60">
              <w:t>x</w:t>
            </w:r>
          </w:p>
        </w:tc>
        <w:tc>
          <w:tcPr>
            <w:tcW w:w="1560" w:type="dxa"/>
            <w:shd w:val="clear" w:color="auto" w:fill="CCC0D9" w:themeFill="accent4" w:themeFillTint="66"/>
          </w:tcPr>
          <w:p w14:paraId="731FF9B5" w14:textId="77777777" w:rsidR="001D6A1B" w:rsidRPr="00E16E60" w:rsidRDefault="001D6A1B" w:rsidP="000F1ADC">
            <w:pPr>
              <w:jc w:val="center"/>
            </w:pPr>
          </w:p>
        </w:tc>
        <w:tc>
          <w:tcPr>
            <w:tcW w:w="1559" w:type="dxa"/>
            <w:shd w:val="clear" w:color="auto" w:fill="CCC0D9" w:themeFill="accent4" w:themeFillTint="66"/>
          </w:tcPr>
          <w:p w14:paraId="2CBB79FC" w14:textId="77777777" w:rsidR="001D6A1B" w:rsidRPr="00E16E60" w:rsidRDefault="001D6A1B" w:rsidP="000F1ADC">
            <w:pPr>
              <w:jc w:val="center"/>
            </w:pPr>
          </w:p>
        </w:tc>
      </w:tr>
      <w:tr w:rsidR="001D6A1B" w:rsidRPr="00E16E60" w14:paraId="0CD49458" w14:textId="77777777" w:rsidTr="00091E25">
        <w:trPr>
          <w:jc w:val="center"/>
        </w:trPr>
        <w:tc>
          <w:tcPr>
            <w:tcW w:w="1531" w:type="dxa"/>
            <w:vMerge/>
            <w:vAlign w:val="center"/>
          </w:tcPr>
          <w:p w14:paraId="4ADE5978" w14:textId="77777777" w:rsidR="001D6A1B" w:rsidRPr="00E16E60" w:rsidRDefault="001D6A1B" w:rsidP="000F1ADC">
            <w:pPr>
              <w:jc w:val="center"/>
              <w:rPr>
                <w:b/>
              </w:rPr>
            </w:pPr>
          </w:p>
        </w:tc>
        <w:tc>
          <w:tcPr>
            <w:tcW w:w="3402" w:type="dxa"/>
            <w:shd w:val="clear" w:color="auto" w:fill="FBD4B4" w:themeFill="accent6" w:themeFillTint="66"/>
          </w:tcPr>
          <w:p w14:paraId="4F1B2D48" w14:textId="6FED2289" w:rsidR="001D6A1B" w:rsidRPr="00E16E60" w:rsidRDefault="001D6A1B" w:rsidP="001D6A1B">
            <w:proofErr w:type="spellStart"/>
            <w:r>
              <w:rPr>
                <w:lang w:eastAsia="de-DE"/>
              </w:rPr>
              <w:t>h</w:t>
            </w:r>
            <w:r w:rsidRPr="00E16E60">
              <w:rPr>
                <w:lang w:eastAsia="de-DE"/>
              </w:rPr>
              <w:t>eksabromociklododekan</w:t>
            </w:r>
            <w:proofErr w:type="spellEnd"/>
            <w:r>
              <w:rPr>
                <w:lang w:eastAsia="de-DE"/>
              </w:rPr>
              <w:t xml:space="preserve"> (HBCD)</w:t>
            </w:r>
          </w:p>
        </w:tc>
        <w:tc>
          <w:tcPr>
            <w:tcW w:w="1329" w:type="dxa"/>
            <w:shd w:val="clear" w:color="auto" w:fill="FBD4B4" w:themeFill="accent6" w:themeFillTint="66"/>
          </w:tcPr>
          <w:p w14:paraId="60A4F114" w14:textId="77777777" w:rsidR="001D6A1B" w:rsidRPr="00E16E60" w:rsidRDefault="001D6A1B" w:rsidP="000F1ADC">
            <w:pPr>
              <w:jc w:val="center"/>
            </w:pPr>
          </w:p>
        </w:tc>
        <w:tc>
          <w:tcPr>
            <w:tcW w:w="1560" w:type="dxa"/>
            <w:shd w:val="clear" w:color="auto" w:fill="FBD4B4" w:themeFill="accent6" w:themeFillTint="66"/>
          </w:tcPr>
          <w:p w14:paraId="32C188DF" w14:textId="77777777" w:rsidR="001D6A1B" w:rsidRPr="00E16E60" w:rsidRDefault="001D6A1B" w:rsidP="000F1ADC">
            <w:pPr>
              <w:jc w:val="center"/>
            </w:pPr>
            <w:r w:rsidRPr="00E16E60">
              <w:t>x</w:t>
            </w:r>
          </w:p>
        </w:tc>
        <w:tc>
          <w:tcPr>
            <w:tcW w:w="1559" w:type="dxa"/>
            <w:shd w:val="clear" w:color="auto" w:fill="FBD4B4" w:themeFill="accent6" w:themeFillTint="66"/>
          </w:tcPr>
          <w:p w14:paraId="45ACAF79" w14:textId="77777777" w:rsidR="001D6A1B" w:rsidRPr="00E16E60" w:rsidRDefault="001D6A1B" w:rsidP="000F1ADC">
            <w:pPr>
              <w:jc w:val="center"/>
            </w:pPr>
          </w:p>
        </w:tc>
      </w:tr>
      <w:tr w:rsidR="001D6A1B" w:rsidRPr="00E16E60" w14:paraId="06E7BDE1" w14:textId="77777777" w:rsidTr="00CA6464">
        <w:trPr>
          <w:jc w:val="center"/>
        </w:trPr>
        <w:tc>
          <w:tcPr>
            <w:tcW w:w="1531" w:type="dxa"/>
            <w:vMerge/>
            <w:shd w:val="clear" w:color="auto" w:fill="DAEEF3" w:themeFill="accent5" w:themeFillTint="33"/>
            <w:vAlign w:val="center"/>
          </w:tcPr>
          <w:p w14:paraId="556BA1A0" w14:textId="77777777" w:rsidR="001D6A1B" w:rsidRPr="00E16E60" w:rsidRDefault="001D6A1B" w:rsidP="000F1ADC">
            <w:pPr>
              <w:jc w:val="center"/>
              <w:rPr>
                <w:b/>
              </w:rPr>
            </w:pPr>
          </w:p>
        </w:tc>
        <w:tc>
          <w:tcPr>
            <w:tcW w:w="3402" w:type="dxa"/>
            <w:shd w:val="clear" w:color="auto" w:fill="B6DDE8" w:themeFill="accent5" w:themeFillTint="66"/>
          </w:tcPr>
          <w:p w14:paraId="1D245EAE" w14:textId="5D84954E" w:rsidR="001D6A1B" w:rsidRDefault="001D6A1B" w:rsidP="00091E25">
            <w:pPr>
              <w:rPr>
                <w:lang w:eastAsia="de-DE"/>
              </w:rPr>
            </w:pPr>
            <w:r>
              <w:rPr>
                <w:lang w:eastAsia="de-DE"/>
              </w:rPr>
              <w:t>heksaklorobutadien (HCBD)</w:t>
            </w:r>
          </w:p>
        </w:tc>
        <w:tc>
          <w:tcPr>
            <w:tcW w:w="1329" w:type="dxa"/>
            <w:shd w:val="clear" w:color="auto" w:fill="B6DDE8" w:themeFill="accent5" w:themeFillTint="66"/>
          </w:tcPr>
          <w:p w14:paraId="1750EDBD" w14:textId="77777777" w:rsidR="001D6A1B" w:rsidRPr="00E16E60" w:rsidRDefault="001D6A1B" w:rsidP="000F1ADC">
            <w:pPr>
              <w:jc w:val="center"/>
            </w:pPr>
          </w:p>
        </w:tc>
        <w:tc>
          <w:tcPr>
            <w:tcW w:w="1560" w:type="dxa"/>
            <w:shd w:val="clear" w:color="auto" w:fill="B6DDE8" w:themeFill="accent5" w:themeFillTint="66"/>
          </w:tcPr>
          <w:p w14:paraId="16BD2BCD" w14:textId="15D5C7E8" w:rsidR="001D6A1B" w:rsidRPr="00E16E60" w:rsidRDefault="00B530F5" w:rsidP="000F1ADC">
            <w:pPr>
              <w:jc w:val="center"/>
            </w:pPr>
            <w:r>
              <w:t>x</w:t>
            </w:r>
          </w:p>
        </w:tc>
        <w:tc>
          <w:tcPr>
            <w:tcW w:w="1559" w:type="dxa"/>
            <w:shd w:val="clear" w:color="auto" w:fill="B6DDE8" w:themeFill="accent5" w:themeFillTint="66"/>
          </w:tcPr>
          <w:p w14:paraId="72461D87" w14:textId="77777777" w:rsidR="001D6A1B" w:rsidRPr="00E16E60" w:rsidRDefault="001D6A1B" w:rsidP="000F1ADC">
            <w:pPr>
              <w:jc w:val="center"/>
            </w:pPr>
          </w:p>
        </w:tc>
      </w:tr>
      <w:tr w:rsidR="001D6A1B" w:rsidRPr="00E16E60" w14:paraId="07E8CDE5" w14:textId="77777777" w:rsidTr="00CA6464">
        <w:trPr>
          <w:jc w:val="center"/>
        </w:trPr>
        <w:tc>
          <w:tcPr>
            <w:tcW w:w="1531" w:type="dxa"/>
            <w:vMerge/>
            <w:shd w:val="clear" w:color="auto" w:fill="DAEEF3" w:themeFill="accent5" w:themeFillTint="33"/>
            <w:vAlign w:val="center"/>
          </w:tcPr>
          <w:p w14:paraId="231F276B" w14:textId="77777777" w:rsidR="001D6A1B" w:rsidRPr="00E16E60" w:rsidRDefault="001D6A1B" w:rsidP="000F1ADC">
            <w:pPr>
              <w:jc w:val="center"/>
              <w:rPr>
                <w:b/>
              </w:rPr>
            </w:pPr>
          </w:p>
        </w:tc>
        <w:tc>
          <w:tcPr>
            <w:tcW w:w="3402" w:type="dxa"/>
            <w:shd w:val="clear" w:color="auto" w:fill="B6DDE8" w:themeFill="accent5" w:themeFillTint="66"/>
          </w:tcPr>
          <w:p w14:paraId="7D37F6EE" w14:textId="3159C703" w:rsidR="001D6A1B" w:rsidRDefault="001D6A1B" w:rsidP="00091E25">
            <w:pPr>
              <w:rPr>
                <w:lang w:eastAsia="de-DE"/>
              </w:rPr>
            </w:pPr>
            <w:proofErr w:type="spellStart"/>
            <w:r>
              <w:rPr>
                <w:lang w:eastAsia="de-DE"/>
              </w:rPr>
              <w:t>poliklorirani</w:t>
            </w:r>
            <w:proofErr w:type="spellEnd"/>
            <w:r>
              <w:rPr>
                <w:lang w:eastAsia="de-DE"/>
              </w:rPr>
              <w:t xml:space="preserve"> </w:t>
            </w:r>
            <w:proofErr w:type="spellStart"/>
            <w:r>
              <w:rPr>
                <w:lang w:eastAsia="de-DE"/>
              </w:rPr>
              <w:t>naftaleni</w:t>
            </w:r>
            <w:proofErr w:type="spellEnd"/>
            <w:r>
              <w:rPr>
                <w:lang w:eastAsia="de-DE"/>
              </w:rPr>
              <w:t xml:space="preserve"> (PCN)</w:t>
            </w:r>
          </w:p>
        </w:tc>
        <w:tc>
          <w:tcPr>
            <w:tcW w:w="1329" w:type="dxa"/>
            <w:shd w:val="clear" w:color="auto" w:fill="B6DDE8" w:themeFill="accent5" w:themeFillTint="66"/>
          </w:tcPr>
          <w:p w14:paraId="6708F81A" w14:textId="77777777" w:rsidR="001D6A1B" w:rsidRPr="00E16E60" w:rsidRDefault="001D6A1B" w:rsidP="000F1ADC">
            <w:pPr>
              <w:jc w:val="center"/>
            </w:pPr>
          </w:p>
        </w:tc>
        <w:tc>
          <w:tcPr>
            <w:tcW w:w="1560" w:type="dxa"/>
            <w:shd w:val="clear" w:color="auto" w:fill="B6DDE8" w:themeFill="accent5" w:themeFillTint="66"/>
          </w:tcPr>
          <w:p w14:paraId="5E22F029" w14:textId="53C315AD" w:rsidR="001D6A1B" w:rsidRPr="00E16E60" w:rsidRDefault="00B530F5" w:rsidP="000F1ADC">
            <w:pPr>
              <w:jc w:val="center"/>
            </w:pPr>
            <w:r>
              <w:t>x</w:t>
            </w:r>
          </w:p>
        </w:tc>
        <w:tc>
          <w:tcPr>
            <w:tcW w:w="1559" w:type="dxa"/>
            <w:shd w:val="clear" w:color="auto" w:fill="B6DDE8" w:themeFill="accent5" w:themeFillTint="66"/>
          </w:tcPr>
          <w:p w14:paraId="7D643240" w14:textId="77777777" w:rsidR="001D6A1B" w:rsidRPr="00E16E60" w:rsidRDefault="001D6A1B" w:rsidP="000F1ADC">
            <w:pPr>
              <w:jc w:val="center"/>
            </w:pPr>
          </w:p>
        </w:tc>
      </w:tr>
      <w:tr w:rsidR="001D6A1B" w:rsidRPr="00E16E60" w14:paraId="3107B0ED" w14:textId="77777777" w:rsidTr="00CA6464">
        <w:trPr>
          <w:jc w:val="center"/>
        </w:trPr>
        <w:tc>
          <w:tcPr>
            <w:tcW w:w="1531" w:type="dxa"/>
            <w:vMerge/>
            <w:shd w:val="clear" w:color="auto" w:fill="B6DDE8" w:themeFill="accent5" w:themeFillTint="66"/>
            <w:vAlign w:val="center"/>
          </w:tcPr>
          <w:p w14:paraId="48ECCA1A" w14:textId="77777777" w:rsidR="001D6A1B" w:rsidRPr="00E16E60" w:rsidRDefault="001D6A1B" w:rsidP="000F1ADC">
            <w:pPr>
              <w:jc w:val="center"/>
              <w:rPr>
                <w:b/>
              </w:rPr>
            </w:pPr>
          </w:p>
        </w:tc>
        <w:tc>
          <w:tcPr>
            <w:tcW w:w="3402" w:type="dxa"/>
            <w:shd w:val="clear" w:color="auto" w:fill="B6DDE8" w:themeFill="accent5" w:themeFillTint="66"/>
          </w:tcPr>
          <w:p w14:paraId="3F121333" w14:textId="01E9C944" w:rsidR="001D6A1B" w:rsidRDefault="001D6A1B" w:rsidP="00091E25">
            <w:pPr>
              <w:rPr>
                <w:lang w:eastAsia="de-DE"/>
              </w:rPr>
            </w:pPr>
            <w:proofErr w:type="spellStart"/>
            <w:r>
              <w:rPr>
                <w:lang w:eastAsia="de-DE"/>
              </w:rPr>
              <w:t>pentaklorofenol</w:t>
            </w:r>
            <w:proofErr w:type="spellEnd"/>
            <w:r>
              <w:rPr>
                <w:lang w:eastAsia="de-DE"/>
              </w:rPr>
              <w:t xml:space="preserve"> i njegove soli i esteri (PCP)</w:t>
            </w:r>
          </w:p>
        </w:tc>
        <w:tc>
          <w:tcPr>
            <w:tcW w:w="1329" w:type="dxa"/>
            <w:shd w:val="clear" w:color="auto" w:fill="B6DDE8" w:themeFill="accent5" w:themeFillTint="66"/>
          </w:tcPr>
          <w:p w14:paraId="33775781" w14:textId="1EFD0206" w:rsidR="001D6A1B" w:rsidRPr="00E16E60" w:rsidRDefault="00B530F5" w:rsidP="000F1ADC">
            <w:pPr>
              <w:jc w:val="center"/>
            </w:pPr>
            <w:r>
              <w:t>x</w:t>
            </w:r>
          </w:p>
        </w:tc>
        <w:tc>
          <w:tcPr>
            <w:tcW w:w="1560" w:type="dxa"/>
            <w:shd w:val="clear" w:color="auto" w:fill="B6DDE8" w:themeFill="accent5" w:themeFillTint="66"/>
          </w:tcPr>
          <w:p w14:paraId="0464D0C0" w14:textId="77777777" w:rsidR="001D6A1B" w:rsidRPr="00E16E60" w:rsidRDefault="001D6A1B" w:rsidP="000F1ADC">
            <w:pPr>
              <w:jc w:val="center"/>
            </w:pPr>
          </w:p>
        </w:tc>
        <w:tc>
          <w:tcPr>
            <w:tcW w:w="1559" w:type="dxa"/>
            <w:shd w:val="clear" w:color="auto" w:fill="B6DDE8" w:themeFill="accent5" w:themeFillTint="66"/>
          </w:tcPr>
          <w:p w14:paraId="2AA903E8" w14:textId="77777777" w:rsidR="001D6A1B" w:rsidRPr="00E16E60" w:rsidRDefault="001D6A1B" w:rsidP="000F1ADC">
            <w:pPr>
              <w:jc w:val="center"/>
            </w:pPr>
          </w:p>
        </w:tc>
      </w:tr>
      <w:tr w:rsidR="001D6A1B" w:rsidRPr="00E16E60" w14:paraId="50F7E83E" w14:textId="77777777" w:rsidTr="001D6A1B">
        <w:trPr>
          <w:jc w:val="center"/>
        </w:trPr>
        <w:tc>
          <w:tcPr>
            <w:tcW w:w="1531" w:type="dxa"/>
            <w:vMerge/>
            <w:shd w:val="clear" w:color="auto" w:fill="B6DDE8" w:themeFill="accent5" w:themeFillTint="66"/>
            <w:vAlign w:val="center"/>
          </w:tcPr>
          <w:p w14:paraId="4C958A73" w14:textId="77777777" w:rsidR="001D6A1B" w:rsidRPr="00E16E60" w:rsidRDefault="001D6A1B" w:rsidP="000F1ADC">
            <w:pPr>
              <w:jc w:val="center"/>
              <w:rPr>
                <w:b/>
              </w:rPr>
            </w:pPr>
          </w:p>
        </w:tc>
        <w:tc>
          <w:tcPr>
            <w:tcW w:w="3402" w:type="dxa"/>
            <w:shd w:val="clear" w:color="auto" w:fill="D99594" w:themeFill="accent2" w:themeFillTint="99"/>
          </w:tcPr>
          <w:p w14:paraId="1FED44F5" w14:textId="7E06096A" w:rsidR="001D6A1B" w:rsidRDefault="00B530F5" w:rsidP="00B530F5">
            <w:pPr>
              <w:rPr>
                <w:lang w:eastAsia="de-DE"/>
              </w:rPr>
            </w:pPr>
            <w:proofErr w:type="spellStart"/>
            <w:r w:rsidRPr="005B69A9">
              <w:t>D</w:t>
            </w:r>
            <w:r w:rsidR="001D6A1B" w:rsidRPr="005B69A9">
              <w:t>ekabromodifenileter</w:t>
            </w:r>
            <w:proofErr w:type="spellEnd"/>
            <w:r>
              <w:t xml:space="preserve"> (komercijalna smjesa, c-</w:t>
            </w:r>
            <w:proofErr w:type="spellStart"/>
            <w:r>
              <w:t>dekaBDE</w:t>
            </w:r>
            <w:proofErr w:type="spellEnd"/>
            <w:r>
              <w:t xml:space="preserve">) </w:t>
            </w:r>
          </w:p>
        </w:tc>
        <w:tc>
          <w:tcPr>
            <w:tcW w:w="1329" w:type="dxa"/>
            <w:shd w:val="clear" w:color="auto" w:fill="D99594" w:themeFill="accent2" w:themeFillTint="99"/>
          </w:tcPr>
          <w:p w14:paraId="6C7B230C" w14:textId="77777777" w:rsidR="001D6A1B" w:rsidRPr="00E16E60" w:rsidRDefault="001D6A1B" w:rsidP="000F1ADC">
            <w:pPr>
              <w:jc w:val="center"/>
            </w:pPr>
          </w:p>
        </w:tc>
        <w:tc>
          <w:tcPr>
            <w:tcW w:w="1560" w:type="dxa"/>
            <w:shd w:val="clear" w:color="auto" w:fill="D99594" w:themeFill="accent2" w:themeFillTint="99"/>
          </w:tcPr>
          <w:p w14:paraId="4AFC7E77" w14:textId="4EA605FD" w:rsidR="001D6A1B" w:rsidRPr="00E16E60" w:rsidRDefault="00B530F5" w:rsidP="000F1ADC">
            <w:pPr>
              <w:jc w:val="center"/>
            </w:pPr>
            <w:r>
              <w:t>x</w:t>
            </w:r>
          </w:p>
        </w:tc>
        <w:tc>
          <w:tcPr>
            <w:tcW w:w="1559" w:type="dxa"/>
            <w:shd w:val="clear" w:color="auto" w:fill="D99594" w:themeFill="accent2" w:themeFillTint="99"/>
          </w:tcPr>
          <w:p w14:paraId="538C85DA" w14:textId="77777777" w:rsidR="001D6A1B" w:rsidRPr="00E16E60" w:rsidRDefault="001D6A1B" w:rsidP="000F1ADC">
            <w:pPr>
              <w:jc w:val="center"/>
            </w:pPr>
          </w:p>
        </w:tc>
      </w:tr>
      <w:tr w:rsidR="001D6A1B" w:rsidRPr="00E16E60" w14:paraId="63E82126" w14:textId="77777777" w:rsidTr="001D6A1B">
        <w:trPr>
          <w:jc w:val="center"/>
        </w:trPr>
        <w:tc>
          <w:tcPr>
            <w:tcW w:w="1531" w:type="dxa"/>
            <w:vMerge/>
            <w:shd w:val="clear" w:color="auto" w:fill="B6DDE8" w:themeFill="accent5" w:themeFillTint="66"/>
            <w:vAlign w:val="center"/>
          </w:tcPr>
          <w:p w14:paraId="4EF4FB64" w14:textId="77777777" w:rsidR="001D6A1B" w:rsidRPr="00E16E60" w:rsidRDefault="001D6A1B" w:rsidP="000F1ADC">
            <w:pPr>
              <w:jc w:val="center"/>
              <w:rPr>
                <w:b/>
              </w:rPr>
            </w:pPr>
          </w:p>
        </w:tc>
        <w:tc>
          <w:tcPr>
            <w:tcW w:w="3402" w:type="dxa"/>
            <w:shd w:val="clear" w:color="auto" w:fill="D99594" w:themeFill="accent2" w:themeFillTint="99"/>
          </w:tcPr>
          <w:p w14:paraId="275D0671" w14:textId="3F81329C" w:rsidR="001D6A1B" w:rsidRDefault="001D6A1B" w:rsidP="001D6A1B">
            <w:pPr>
              <w:rPr>
                <w:lang w:eastAsia="de-DE"/>
              </w:rPr>
            </w:pPr>
            <w:proofErr w:type="spellStart"/>
            <w:r w:rsidRPr="005B69A9">
              <w:t>kratkolančani</w:t>
            </w:r>
            <w:proofErr w:type="spellEnd"/>
            <w:r>
              <w:t xml:space="preserve"> klorirani parafini (SCCP)</w:t>
            </w:r>
          </w:p>
        </w:tc>
        <w:tc>
          <w:tcPr>
            <w:tcW w:w="1329" w:type="dxa"/>
            <w:shd w:val="clear" w:color="auto" w:fill="D99594" w:themeFill="accent2" w:themeFillTint="99"/>
          </w:tcPr>
          <w:p w14:paraId="36CCF218" w14:textId="77777777" w:rsidR="001D6A1B" w:rsidRPr="00E16E60" w:rsidRDefault="001D6A1B" w:rsidP="000F1ADC">
            <w:pPr>
              <w:jc w:val="center"/>
            </w:pPr>
          </w:p>
        </w:tc>
        <w:tc>
          <w:tcPr>
            <w:tcW w:w="1560" w:type="dxa"/>
            <w:shd w:val="clear" w:color="auto" w:fill="D99594" w:themeFill="accent2" w:themeFillTint="99"/>
          </w:tcPr>
          <w:p w14:paraId="6F7062C6" w14:textId="4DBDA486" w:rsidR="001D6A1B" w:rsidRPr="00E16E60" w:rsidRDefault="00B530F5" w:rsidP="000F1ADC">
            <w:pPr>
              <w:jc w:val="center"/>
            </w:pPr>
            <w:r>
              <w:t>x</w:t>
            </w:r>
          </w:p>
        </w:tc>
        <w:tc>
          <w:tcPr>
            <w:tcW w:w="1559" w:type="dxa"/>
            <w:shd w:val="clear" w:color="auto" w:fill="D99594" w:themeFill="accent2" w:themeFillTint="99"/>
          </w:tcPr>
          <w:p w14:paraId="458A40E3" w14:textId="77777777" w:rsidR="001D6A1B" w:rsidRPr="00E16E60" w:rsidRDefault="001D6A1B" w:rsidP="000F1ADC">
            <w:pPr>
              <w:jc w:val="center"/>
            </w:pPr>
          </w:p>
        </w:tc>
      </w:tr>
      <w:tr w:rsidR="00A449D2" w:rsidRPr="00E16E60" w14:paraId="74964598" w14:textId="77777777" w:rsidTr="000F1ADC">
        <w:trPr>
          <w:jc w:val="center"/>
        </w:trPr>
        <w:tc>
          <w:tcPr>
            <w:tcW w:w="1531" w:type="dxa"/>
            <w:vMerge w:val="restart"/>
            <w:vAlign w:val="center"/>
          </w:tcPr>
          <w:p w14:paraId="524BB036" w14:textId="77777777" w:rsidR="00A449D2" w:rsidRPr="00E16E60" w:rsidRDefault="00A449D2" w:rsidP="000F1ADC">
            <w:pPr>
              <w:jc w:val="center"/>
              <w:rPr>
                <w:b/>
              </w:rPr>
            </w:pPr>
            <w:r w:rsidRPr="00E16E60">
              <w:rPr>
                <w:b/>
              </w:rPr>
              <w:t>Dodatak B: Ograničenja</w:t>
            </w:r>
          </w:p>
        </w:tc>
        <w:tc>
          <w:tcPr>
            <w:tcW w:w="3402" w:type="dxa"/>
            <w:vAlign w:val="center"/>
          </w:tcPr>
          <w:p w14:paraId="3CB3E2F5" w14:textId="7DFE0BA0" w:rsidR="00A449D2" w:rsidRPr="00E16E60" w:rsidRDefault="00C5096D" w:rsidP="00C5096D">
            <w:pPr>
              <w:spacing w:before="20" w:after="20"/>
              <w:rPr>
                <w:lang w:eastAsia="de-DE"/>
              </w:rPr>
            </w:pPr>
            <w:proofErr w:type="spellStart"/>
            <w:r w:rsidRPr="00C5096D">
              <w:rPr>
                <w:lang w:eastAsia="de-DE"/>
              </w:rPr>
              <w:t>diklor-difenil-trikloretan</w:t>
            </w:r>
            <w:proofErr w:type="spellEnd"/>
            <w:r w:rsidR="00092F70">
              <w:rPr>
                <w:lang w:eastAsia="de-DE"/>
              </w:rPr>
              <w:t xml:space="preserve"> (DDT)</w:t>
            </w:r>
            <w:r w:rsidRPr="00C5096D">
              <w:rPr>
                <w:lang w:eastAsia="de-DE"/>
              </w:rPr>
              <w:t xml:space="preserve"> </w:t>
            </w:r>
          </w:p>
        </w:tc>
        <w:tc>
          <w:tcPr>
            <w:tcW w:w="1329" w:type="dxa"/>
          </w:tcPr>
          <w:p w14:paraId="5C169496" w14:textId="77777777" w:rsidR="00A449D2" w:rsidRPr="00E16E60" w:rsidRDefault="00A449D2" w:rsidP="000F1ADC">
            <w:pPr>
              <w:jc w:val="center"/>
            </w:pPr>
            <w:r w:rsidRPr="00E16E60">
              <w:t>x</w:t>
            </w:r>
          </w:p>
        </w:tc>
        <w:tc>
          <w:tcPr>
            <w:tcW w:w="1560" w:type="dxa"/>
          </w:tcPr>
          <w:p w14:paraId="694F388C" w14:textId="77777777" w:rsidR="00A449D2" w:rsidRPr="00E16E60" w:rsidRDefault="00A449D2" w:rsidP="000F1ADC">
            <w:pPr>
              <w:jc w:val="center"/>
            </w:pPr>
          </w:p>
        </w:tc>
        <w:tc>
          <w:tcPr>
            <w:tcW w:w="1559" w:type="dxa"/>
          </w:tcPr>
          <w:p w14:paraId="1F394EF1" w14:textId="77777777" w:rsidR="00A449D2" w:rsidRPr="00E16E60" w:rsidRDefault="00A449D2" w:rsidP="000F1ADC">
            <w:pPr>
              <w:jc w:val="center"/>
            </w:pPr>
          </w:p>
        </w:tc>
      </w:tr>
      <w:tr w:rsidR="00A449D2" w:rsidRPr="00E16E60" w14:paraId="1F2975B0" w14:textId="77777777" w:rsidTr="00091E25">
        <w:trPr>
          <w:jc w:val="center"/>
        </w:trPr>
        <w:tc>
          <w:tcPr>
            <w:tcW w:w="1531" w:type="dxa"/>
            <w:vMerge/>
            <w:vAlign w:val="center"/>
          </w:tcPr>
          <w:p w14:paraId="43F8D473" w14:textId="77777777" w:rsidR="00A449D2" w:rsidRPr="00E16E60" w:rsidRDefault="00A449D2" w:rsidP="000F1ADC">
            <w:pPr>
              <w:jc w:val="center"/>
              <w:rPr>
                <w:b/>
              </w:rPr>
            </w:pPr>
          </w:p>
        </w:tc>
        <w:tc>
          <w:tcPr>
            <w:tcW w:w="3402" w:type="dxa"/>
            <w:shd w:val="clear" w:color="auto" w:fill="D6E3BC" w:themeFill="accent3" w:themeFillTint="66"/>
            <w:vAlign w:val="center"/>
          </w:tcPr>
          <w:p w14:paraId="3BFB1FE9" w14:textId="67CAAE2C" w:rsidR="00A449D2" w:rsidRPr="00E16E60" w:rsidRDefault="00A449D2" w:rsidP="001D6A1B">
            <w:pPr>
              <w:spacing w:before="20" w:after="20"/>
              <w:rPr>
                <w:bCs/>
                <w:lang w:eastAsia="de-DE"/>
              </w:rPr>
            </w:pPr>
            <w:proofErr w:type="spellStart"/>
            <w:r>
              <w:rPr>
                <w:bCs/>
                <w:lang w:eastAsia="de-DE"/>
              </w:rPr>
              <w:t>p</w:t>
            </w:r>
            <w:r w:rsidRPr="00E16E60">
              <w:rPr>
                <w:bCs/>
                <w:lang w:eastAsia="de-DE"/>
              </w:rPr>
              <w:t>erfluorooktan</w:t>
            </w:r>
            <w:proofErr w:type="spellEnd"/>
            <w:r w:rsidRPr="00E16E60">
              <w:rPr>
                <w:bCs/>
                <w:lang w:eastAsia="de-DE"/>
              </w:rPr>
              <w:t xml:space="preserve"> </w:t>
            </w:r>
            <w:proofErr w:type="spellStart"/>
            <w:r w:rsidRPr="00E16E60">
              <w:rPr>
                <w:bCs/>
                <w:lang w:eastAsia="de-DE"/>
              </w:rPr>
              <w:t>sulfonska</w:t>
            </w:r>
            <w:proofErr w:type="spellEnd"/>
            <w:r w:rsidRPr="00E16E60">
              <w:rPr>
                <w:bCs/>
                <w:lang w:eastAsia="de-DE"/>
              </w:rPr>
              <w:t xml:space="preserve"> kiselina</w:t>
            </w:r>
            <w:r w:rsidR="003C5E25">
              <w:rPr>
                <w:bCs/>
                <w:lang w:eastAsia="de-DE"/>
              </w:rPr>
              <w:t xml:space="preserve"> (PFOS)</w:t>
            </w:r>
            <w:r w:rsidRPr="00E16E60">
              <w:rPr>
                <w:bCs/>
                <w:lang w:eastAsia="de-DE"/>
              </w:rPr>
              <w:t xml:space="preserve">, njezine soli i </w:t>
            </w:r>
            <w:proofErr w:type="spellStart"/>
            <w:r w:rsidRPr="00E16E60">
              <w:rPr>
                <w:bCs/>
                <w:lang w:eastAsia="de-DE"/>
              </w:rPr>
              <w:t>perfluorooktan</w:t>
            </w:r>
            <w:proofErr w:type="spellEnd"/>
            <w:r w:rsidRPr="00E16E60">
              <w:rPr>
                <w:bCs/>
                <w:lang w:eastAsia="de-DE"/>
              </w:rPr>
              <w:t xml:space="preserve"> </w:t>
            </w:r>
            <w:proofErr w:type="spellStart"/>
            <w:r w:rsidRPr="00E16E60">
              <w:rPr>
                <w:bCs/>
                <w:lang w:eastAsia="de-DE"/>
              </w:rPr>
              <w:t>sulfonil</w:t>
            </w:r>
            <w:proofErr w:type="spellEnd"/>
            <w:r w:rsidRPr="00E16E60">
              <w:rPr>
                <w:bCs/>
                <w:lang w:eastAsia="de-DE"/>
              </w:rPr>
              <w:t xml:space="preserve"> fluorid</w:t>
            </w:r>
            <w:r w:rsidR="003C5E25">
              <w:rPr>
                <w:bCs/>
                <w:lang w:eastAsia="de-DE"/>
              </w:rPr>
              <w:t xml:space="preserve"> (PFOSF</w:t>
            </w:r>
            <w:r w:rsidR="001D6A1B">
              <w:rPr>
                <w:bCs/>
                <w:lang w:eastAsia="de-DE"/>
              </w:rPr>
              <w:t>)</w:t>
            </w:r>
          </w:p>
        </w:tc>
        <w:tc>
          <w:tcPr>
            <w:tcW w:w="1329" w:type="dxa"/>
            <w:shd w:val="clear" w:color="auto" w:fill="D6E3BC" w:themeFill="accent3" w:themeFillTint="66"/>
          </w:tcPr>
          <w:p w14:paraId="2C040935" w14:textId="77777777" w:rsidR="00A449D2" w:rsidRPr="00E16E60" w:rsidRDefault="00A449D2" w:rsidP="000F1ADC">
            <w:pPr>
              <w:jc w:val="center"/>
            </w:pPr>
          </w:p>
        </w:tc>
        <w:tc>
          <w:tcPr>
            <w:tcW w:w="1560" w:type="dxa"/>
            <w:shd w:val="clear" w:color="auto" w:fill="D6E3BC" w:themeFill="accent3" w:themeFillTint="66"/>
          </w:tcPr>
          <w:p w14:paraId="31E20EBF" w14:textId="77777777" w:rsidR="00A449D2" w:rsidRPr="00E16E60" w:rsidRDefault="00A449D2" w:rsidP="000F1ADC">
            <w:pPr>
              <w:jc w:val="center"/>
            </w:pPr>
            <w:r w:rsidRPr="00E16E60">
              <w:t>x</w:t>
            </w:r>
          </w:p>
        </w:tc>
        <w:tc>
          <w:tcPr>
            <w:tcW w:w="1559" w:type="dxa"/>
            <w:shd w:val="clear" w:color="auto" w:fill="D6E3BC" w:themeFill="accent3" w:themeFillTint="66"/>
          </w:tcPr>
          <w:p w14:paraId="485C7CB8" w14:textId="77777777" w:rsidR="00A449D2" w:rsidRPr="00E16E60" w:rsidRDefault="00A449D2" w:rsidP="000F1ADC">
            <w:pPr>
              <w:jc w:val="center"/>
            </w:pPr>
          </w:p>
        </w:tc>
      </w:tr>
      <w:tr w:rsidR="001D6A1B" w:rsidRPr="00E16E60" w14:paraId="549B06A8" w14:textId="77777777" w:rsidTr="000F1ADC">
        <w:trPr>
          <w:jc w:val="center"/>
        </w:trPr>
        <w:tc>
          <w:tcPr>
            <w:tcW w:w="1531" w:type="dxa"/>
            <w:vMerge w:val="restart"/>
            <w:vAlign w:val="center"/>
          </w:tcPr>
          <w:p w14:paraId="1494A86C" w14:textId="77777777" w:rsidR="001D6A1B" w:rsidRPr="00E16E60" w:rsidRDefault="001D6A1B" w:rsidP="000F1ADC">
            <w:pPr>
              <w:spacing w:before="20" w:after="20"/>
              <w:jc w:val="center"/>
              <w:rPr>
                <w:b/>
                <w:lang w:eastAsia="de-DE"/>
              </w:rPr>
            </w:pPr>
            <w:r w:rsidRPr="00E16E60">
              <w:rPr>
                <w:b/>
              </w:rPr>
              <w:t>Dodatak C: Nenamjerna proizvodnja</w:t>
            </w:r>
          </w:p>
        </w:tc>
        <w:tc>
          <w:tcPr>
            <w:tcW w:w="3402" w:type="dxa"/>
            <w:vAlign w:val="center"/>
          </w:tcPr>
          <w:p w14:paraId="260DF5A7" w14:textId="7B0B7F14" w:rsidR="001D6A1B" w:rsidRPr="00E16E60" w:rsidRDefault="001D6A1B" w:rsidP="000F1ADC">
            <w:pPr>
              <w:spacing w:before="20" w:after="20"/>
              <w:rPr>
                <w:lang w:eastAsia="de-DE"/>
              </w:rPr>
            </w:pPr>
            <w:proofErr w:type="spellStart"/>
            <w:r>
              <w:rPr>
                <w:lang w:eastAsia="de-DE"/>
              </w:rPr>
              <w:t>p</w:t>
            </w:r>
            <w:r w:rsidRPr="00E16E60">
              <w:rPr>
                <w:lang w:eastAsia="de-DE"/>
              </w:rPr>
              <w:t>oliklorirani</w:t>
            </w:r>
            <w:proofErr w:type="spellEnd"/>
            <w:r w:rsidRPr="00E16E60">
              <w:rPr>
                <w:lang w:eastAsia="de-DE"/>
              </w:rPr>
              <w:t xml:space="preserve"> </w:t>
            </w:r>
            <w:proofErr w:type="spellStart"/>
            <w:r w:rsidRPr="00E16E60">
              <w:rPr>
                <w:lang w:eastAsia="de-DE"/>
              </w:rPr>
              <w:t>dibenzo</w:t>
            </w:r>
            <w:proofErr w:type="spellEnd"/>
            <w:r w:rsidRPr="00E16E60">
              <w:rPr>
                <w:lang w:eastAsia="de-DE"/>
              </w:rPr>
              <w:t>-p-</w:t>
            </w:r>
            <w:proofErr w:type="spellStart"/>
            <w:r w:rsidRPr="00E16E60">
              <w:rPr>
                <w:lang w:eastAsia="de-DE"/>
              </w:rPr>
              <w:t>dioksini</w:t>
            </w:r>
            <w:proofErr w:type="spellEnd"/>
            <w:r>
              <w:rPr>
                <w:lang w:eastAsia="de-DE"/>
              </w:rPr>
              <w:t xml:space="preserve"> (PCDD)</w:t>
            </w:r>
            <w:r w:rsidR="00E51121">
              <w:rPr>
                <w:lang w:eastAsia="de-DE"/>
              </w:rPr>
              <w:t xml:space="preserve"> </w:t>
            </w:r>
            <w:r>
              <w:rPr>
                <w:lang w:eastAsia="de-DE"/>
              </w:rPr>
              <w:t>/</w:t>
            </w:r>
            <w:r w:rsidR="00E51121">
              <w:rPr>
                <w:lang w:eastAsia="de-DE"/>
              </w:rPr>
              <w:t xml:space="preserve"> </w:t>
            </w:r>
            <w:proofErr w:type="spellStart"/>
            <w:r w:rsidRPr="00E81B09">
              <w:rPr>
                <w:lang w:eastAsia="de-DE"/>
              </w:rPr>
              <w:t>poliklorirani</w:t>
            </w:r>
            <w:proofErr w:type="spellEnd"/>
            <w:r w:rsidRPr="00E81B09">
              <w:rPr>
                <w:lang w:eastAsia="de-DE"/>
              </w:rPr>
              <w:t xml:space="preserve"> </w:t>
            </w:r>
            <w:proofErr w:type="spellStart"/>
            <w:r w:rsidRPr="00E81B09">
              <w:rPr>
                <w:lang w:eastAsia="de-DE"/>
              </w:rPr>
              <w:t>dibenzofurani</w:t>
            </w:r>
            <w:proofErr w:type="spellEnd"/>
            <w:r>
              <w:rPr>
                <w:lang w:eastAsia="de-DE"/>
              </w:rPr>
              <w:t xml:space="preserve"> (PCDF)</w:t>
            </w:r>
          </w:p>
        </w:tc>
        <w:tc>
          <w:tcPr>
            <w:tcW w:w="1329" w:type="dxa"/>
          </w:tcPr>
          <w:p w14:paraId="0095C6E9" w14:textId="77777777" w:rsidR="001D6A1B" w:rsidRPr="00E16E60" w:rsidRDefault="001D6A1B" w:rsidP="000F1ADC">
            <w:pPr>
              <w:jc w:val="center"/>
            </w:pPr>
          </w:p>
        </w:tc>
        <w:tc>
          <w:tcPr>
            <w:tcW w:w="1560" w:type="dxa"/>
          </w:tcPr>
          <w:p w14:paraId="0CFC97D0" w14:textId="77777777" w:rsidR="001D6A1B" w:rsidRPr="00E16E60" w:rsidRDefault="001D6A1B" w:rsidP="000F1ADC">
            <w:pPr>
              <w:jc w:val="center"/>
            </w:pPr>
          </w:p>
        </w:tc>
        <w:tc>
          <w:tcPr>
            <w:tcW w:w="1559" w:type="dxa"/>
          </w:tcPr>
          <w:p w14:paraId="5158BEC2" w14:textId="77777777" w:rsidR="001D6A1B" w:rsidRPr="00E16E60" w:rsidRDefault="001D6A1B" w:rsidP="000F1ADC">
            <w:pPr>
              <w:jc w:val="center"/>
            </w:pPr>
            <w:r w:rsidRPr="00E16E60">
              <w:t>x</w:t>
            </w:r>
          </w:p>
        </w:tc>
      </w:tr>
      <w:tr w:rsidR="001D6A1B" w:rsidRPr="00E16E60" w14:paraId="05804737" w14:textId="77777777" w:rsidTr="000F1ADC">
        <w:trPr>
          <w:jc w:val="center"/>
        </w:trPr>
        <w:tc>
          <w:tcPr>
            <w:tcW w:w="1531" w:type="dxa"/>
            <w:vMerge/>
            <w:vAlign w:val="center"/>
          </w:tcPr>
          <w:p w14:paraId="5C2FF227" w14:textId="77777777" w:rsidR="001D6A1B" w:rsidRPr="00E16E60" w:rsidRDefault="001D6A1B" w:rsidP="000F1ADC">
            <w:pPr>
              <w:spacing w:before="20" w:after="20"/>
              <w:rPr>
                <w:lang w:eastAsia="de-DE"/>
              </w:rPr>
            </w:pPr>
          </w:p>
        </w:tc>
        <w:tc>
          <w:tcPr>
            <w:tcW w:w="3402" w:type="dxa"/>
            <w:vAlign w:val="center"/>
          </w:tcPr>
          <w:p w14:paraId="3669BCAD" w14:textId="56973910" w:rsidR="001D6A1B" w:rsidRPr="00E16E60" w:rsidRDefault="001D6A1B" w:rsidP="000F1ADC">
            <w:pPr>
              <w:spacing w:before="20" w:after="20"/>
              <w:rPr>
                <w:lang w:eastAsia="de-DE"/>
              </w:rPr>
            </w:pPr>
            <w:proofErr w:type="spellStart"/>
            <w:r>
              <w:rPr>
                <w:lang w:eastAsia="de-DE"/>
              </w:rPr>
              <w:t>h</w:t>
            </w:r>
            <w:r w:rsidRPr="00E16E60">
              <w:rPr>
                <w:lang w:eastAsia="de-DE"/>
              </w:rPr>
              <w:t>eksaklorobenzen</w:t>
            </w:r>
            <w:proofErr w:type="spellEnd"/>
            <w:r>
              <w:rPr>
                <w:lang w:eastAsia="de-DE"/>
              </w:rPr>
              <w:t xml:space="preserve"> (HCB)</w:t>
            </w:r>
          </w:p>
        </w:tc>
        <w:tc>
          <w:tcPr>
            <w:tcW w:w="1329" w:type="dxa"/>
          </w:tcPr>
          <w:p w14:paraId="11781204" w14:textId="77777777" w:rsidR="001D6A1B" w:rsidRPr="00E16E60" w:rsidRDefault="001D6A1B" w:rsidP="000F1ADC">
            <w:pPr>
              <w:jc w:val="center"/>
            </w:pPr>
          </w:p>
        </w:tc>
        <w:tc>
          <w:tcPr>
            <w:tcW w:w="1560" w:type="dxa"/>
          </w:tcPr>
          <w:p w14:paraId="4657DCC6" w14:textId="77777777" w:rsidR="001D6A1B" w:rsidRPr="00E16E60" w:rsidRDefault="001D6A1B" w:rsidP="000F1ADC">
            <w:pPr>
              <w:jc w:val="center"/>
            </w:pPr>
          </w:p>
        </w:tc>
        <w:tc>
          <w:tcPr>
            <w:tcW w:w="1559" w:type="dxa"/>
          </w:tcPr>
          <w:p w14:paraId="33BD700C" w14:textId="77777777" w:rsidR="001D6A1B" w:rsidRPr="00E16E60" w:rsidRDefault="001D6A1B" w:rsidP="000F1ADC">
            <w:pPr>
              <w:jc w:val="center"/>
            </w:pPr>
            <w:r w:rsidRPr="00E16E60">
              <w:t>x</w:t>
            </w:r>
          </w:p>
        </w:tc>
      </w:tr>
      <w:tr w:rsidR="001D6A1B" w:rsidRPr="00E16E60" w14:paraId="3FADC456" w14:textId="77777777" w:rsidTr="000F1ADC">
        <w:trPr>
          <w:jc w:val="center"/>
        </w:trPr>
        <w:tc>
          <w:tcPr>
            <w:tcW w:w="1531" w:type="dxa"/>
            <w:vMerge/>
            <w:vAlign w:val="center"/>
          </w:tcPr>
          <w:p w14:paraId="2538CE11" w14:textId="77777777" w:rsidR="001D6A1B" w:rsidRPr="00E16E60" w:rsidRDefault="001D6A1B" w:rsidP="000F1ADC">
            <w:pPr>
              <w:spacing w:before="20" w:after="20"/>
              <w:rPr>
                <w:lang w:eastAsia="de-DE"/>
              </w:rPr>
            </w:pPr>
          </w:p>
        </w:tc>
        <w:tc>
          <w:tcPr>
            <w:tcW w:w="3402" w:type="dxa"/>
            <w:vAlign w:val="center"/>
          </w:tcPr>
          <w:p w14:paraId="0F4627CA" w14:textId="40F66AF6" w:rsidR="001D6A1B" w:rsidRPr="00E16E60" w:rsidRDefault="001D6A1B" w:rsidP="00A449D2">
            <w:pPr>
              <w:spacing w:before="20" w:after="20"/>
              <w:rPr>
                <w:lang w:eastAsia="de-DE"/>
              </w:rPr>
            </w:pPr>
            <w:proofErr w:type="spellStart"/>
            <w:r>
              <w:rPr>
                <w:lang w:eastAsia="de-DE"/>
              </w:rPr>
              <w:t>p</w:t>
            </w:r>
            <w:r w:rsidRPr="00E16E60">
              <w:rPr>
                <w:lang w:eastAsia="de-DE"/>
              </w:rPr>
              <w:t>oliklorirani</w:t>
            </w:r>
            <w:proofErr w:type="spellEnd"/>
            <w:r w:rsidRPr="00E16E60">
              <w:rPr>
                <w:lang w:eastAsia="de-DE"/>
              </w:rPr>
              <w:t xml:space="preserve"> </w:t>
            </w:r>
            <w:proofErr w:type="spellStart"/>
            <w:r w:rsidRPr="00E16E60">
              <w:rPr>
                <w:lang w:eastAsia="de-DE"/>
              </w:rPr>
              <w:t>bifenili</w:t>
            </w:r>
            <w:proofErr w:type="spellEnd"/>
            <w:r w:rsidRPr="00E16E60">
              <w:rPr>
                <w:lang w:eastAsia="de-DE"/>
              </w:rPr>
              <w:t xml:space="preserve"> </w:t>
            </w:r>
            <w:r>
              <w:rPr>
                <w:lang w:eastAsia="de-DE"/>
              </w:rPr>
              <w:t>(PCB)</w:t>
            </w:r>
          </w:p>
        </w:tc>
        <w:tc>
          <w:tcPr>
            <w:tcW w:w="1329" w:type="dxa"/>
          </w:tcPr>
          <w:p w14:paraId="11711A0C" w14:textId="77777777" w:rsidR="001D6A1B" w:rsidRPr="00E16E60" w:rsidRDefault="001D6A1B" w:rsidP="000F1ADC">
            <w:pPr>
              <w:jc w:val="center"/>
            </w:pPr>
          </w:p>
        </w:tc>
        <w:tc>
          <w:tcPr>
            <w:tcW w:w="1560" w:type="dxa"/>
          </w:tcPr>
          <w:p w14:paraId="3B00F189" w14:textId="77777777" w:rsidR="001D6A1B" w:rsidRPr="00E16E60" w:rsidRDefault="001D6A1B" w:rsidP="000F1ADC">
            <w:pPr>
              <w:jc w:val="center"/>
            </w:pPr>
          </w:p>
        </w:tc>
        <w:tc>
          <w:tcPr>
            <w:tcW w:w="1559" w:type="dxa"/>
          </w:tcPr>
          <w:p w14:paraId="2E3EF0EF" w14:textId="77777777" w:rsidR="001D6A1B" w:rsidRPr="00E16E60" w:rsidRDefault="001D6A1B" w:rsidP="000F1ADC">
            <w:pPr>
              <w:jc w:val="center"/>
            </w:pPr>
            <w:r w:rsidRPr="00E16E60">
              <w:t>x</w:t>
            </w:r>
          </w:p>
        </w:tc>
      </w:tr>
      <w:tr w:rsidR="001D6A1B" w:rsidRPr="00E16E60" w14:paraId="71A1D4D1" w14:textId="77777777" w:rsidTr="00885257">
        <w:trPr>
          <w:jc w:val="center"/>
        </w:trPr>
        <w:tc>
          <w:tcPr>
            <w:tcW w:w="1531" w:type="dxa"/>
            <w:vMerge/>
            <w:vAlign w:val="center"/>
          </w:tcPr>
          <w:p w14:paraId="0851E3F9" w14:textId="77777777" w:rsidR="001D6A1B" w:rsidRPr="00E16E60" w:rsidRDefault="001D6A1B" w:rsidP="000F1ADC">
            <w:pPr>
              <w:spacing w:before="20" w:after="20"/>
              <w:rPr>
                <w:lang w:eastAsia="de-DE"/>
              </w:rPr>
            </w:pPr>
          </w:p>
        </w:tc>
        <w:tc>
          <w:tcPr>
            <w:tcW w:w="3402" w:type="dxa"/>
            <w:tcBorders>
              <w:bottom w:val="single" w:sz="4" w:space="0" w:color="auto"/>
            </w:tcBorders>
            <w:shd w:val="clear" w:color="auto" w:fill="D6E3BC" w:themeFill="accent3" w:themeFillTint="66"/>
            <w:vAlign w:val="center"/>
          </w:tcPr>
          <w:p w14:paraId="48A37AEF" w14:textId="1AFC0BB9" w:rsidR="001D6A1B" w:rsidRPr="00E16E60" w:rsidRDefault="001D6A1B" w:rsidP="001D6A1B">
            <w:pPr>
              <w:spacing w:before="20" w:after="20"/>
              <w:rPr>
                <w:lang w:eastAsia="de-DE"/>
              </w:rPr>
            </w:pPr>
            <w:r>
              <w:rPr>
                <w:lang w:eastAsia="de-DE"/>
              </w:rPr>
              <w:t>p</w:t>
            </w:r>
            <w:r w:rsidRPr="00E16E60">
              <w:rPr>
                <w:lang w:eastAsia="de-DE"/>
              </w:rPr>
              <w:t>entaklor</w:t>
            </w:r>
            <w:r>
              <w:rPr>
                <w:lang w:eastAsia="de-DE"/>
              </w:rPr>
              <w:t>o</w:t>
            </w:r>
            <w:r w:rsidRPr="00E16E60">
              <w:rPr>
                <w:lang w:eastAsia="de-DE"/>
              </w:rPr>
              <w:t>benzen</w:t>
            </w:r>
            <w:r>
              <w:rPr>
                <w:lang w:eastAsia="de-DE"/>
              </w:rPr>
              <w:t xml:space="preserve"> (</w:t>
            </w:r>
            <w:proofErr w:type="spellStart"/>
            <w:r>
              <w:rPr>
                <w:lang w:eastAsia="de-DE"/>
              </w:rPr>
              <w:t>PeCB</w:t>
            </w:r>
            <w:proofErr w:type="spellEnd"/>
            <w:r>
              <w:rPr>
                <w:lang w:eastAsia="de-DE"/>
              </w:rPr>
              <w:t>)</w:t>
            </w:r>
          </w:p>
        </w:tc>
        <w:tc>
          <w:tcPr>
            <w:tcW w:w="1329" w:type="dxa"/>
            <w:tcBorders>
              <w:bottom w:val="single" w:sz="4" w:space="0" w:color="auto"/>
            </w:tcBorders>
            <w:shd w:val="clear" w:color="auto" w:fill="D6E3BC" w:themeFill="accent3" w:themeFillTint="66"/>
          </w:tcPr>
          <w:p w14:paraId="42AFF47F" w14:textId="77777777" w:rsidR="001D6A1B" w:rsidRPr="00E16E60" w:rsidRDefault="001D6A1B" w:rsidP="000F1ADC">
            <w:pPr>
              <w:jc w:val="center"/>
            </w:pPr>
          </w:p>
        </w:tc>
        <w:tc>
          <w:tcPr>
            <w:tcW w:w="1560" w:type="dxa"/>
            <w:tcBorders>
              <w:bottom w:val="single" w:sz="4" w:space="0" w:color="auto"/>
            </w:tcBorders>
            <w:shd w:val="clear" w:color="auto" w:fill="D6E3BC" w:themeFill="accent3" w:themeFillTint="66"/>
          </w:tcPr>
          <w:p w14:paraId="73438586" w14:textId="77777777" w:rsidR="001D6A1B" w:rsidRPr="00E16E60" w:rsidRDefault="001D6A1B" w:rsidP="000F1ADC">
            <w:pPr>
              <w:jc w:val="center"/>
            </w:pPr>
          </w:p>
        </w:tc>
        <w:tc>
          <w:tcPr>
            <w:tcW w:w="1559" w:type="dxa"/>
            <w:tcBorders>
              <w:bottom w:val="single" w:sz="4" w:space="0" w:color="auto"/>
            </w:tcBorders>
            <w:shd w:val="clear" w:color="auto" w:fill="D6E3BC" w:themeFill="accent3" w:themeFillTint="66"/>
          </w:tcPr>
          <w:p w14:paraId="00665A46" w14:textId="77777777" w:rsidR="001D6A1B" w:rsidRPr="00E16E60" w:rsidRDefault="001D6A1B" w:rsidP="000F1ADC">
            <w:pPr>
              <w:jc w:val="center"/>
            </w:pPr>
            <w:r w:rsidRPr="00E16E60">
              <w:t>x</w:t>
            </w:r>
          </w:p>
        </w:tc>
      </w:tr>
      <w:tr w:rsidR="001D6A1B" w:rsidRPr="00E16E60" w14:paraId="4512AE05" w14:textId="77777777" w:rsidTr="004C192E">
        <w:trPr>
          <w:jc w:val="center"/>
        </w:trPr>
        <w:tc>
          <w:tcPr>
            <w:tcW w:w="1531" w:type="dxa"/>
            <w:vMerge/>
            <w:shd w:val="clear" w:color="auto" w:fill="B6DDE8" w:themeFill="accent5" w:themeFillTint="66"/>
            <w:vAlign w:val="center"/>
          </w:tcPr>
          <w:p w14:paraId="2A9C353C" w14:textId="77777777" w:rsidR="001D6A1B" w:rsidRPr="00E16E60" w:rsidRDefault="001D6A1B" w:rsidP="000F1ADC">
            <w:pPr>
              <w:spacing w:before="20" w:after="20"/>
              <w:rPr>
                <w:lang w:eastAsia="de-DE"/>
              </w:rPr>
            </w:pPr>
          </w:p>
        </w:tc>
        <w:tc>
          <w:tcPr>
            <w:tcW w:w="3402" w:type="dxa"/>
            <w:tcBorders>
              <w:bottom w:val="single" w:sz="4" w:space="0" w:color="auto"/>
            </w:tcBorders>
            <w:shd w:val="clear" w:color="auto" w:fill="B6DDE8" w:themeFill="accent5" w:themeFillTint="66"/>
            <w:vAlign w:val="center"/>
          </w:tcPr>
          <w:p w14:paraId="45B30A2D" w14:textId="260DAC46" w:rsidR="001D6A1B" w:rsidRDefault="001D6A1B" w:rsidP="000F1ADC">
            <w:pPr>
              <w:spacing w:before="20" w:after="20"/>
              <w:rPr>
                <w:lang w:eastAsia="de-DE"/>
              </w:rPr>
            </w:pPr>
            <w:proofErr w:type="spellStart"/>
            <w:r>
              <w:rPr>
                <w:lang w:eastAsia="de-DE"/>
              </w:rPr>
              <w:t>poliklorirani</w:t>
            </w:r>
            <w:proofErr w:type="spellEnd"/>
            <w:r>
              <w:rPr>
                <w:lang w:eastAsia="de-DE"/>
              </w:rPr>
              <w:t xml:space="preserve"> </w:t>
            </w:r>
            <w:proofErr w:type="spellStart"/>
            <w:r>
              <w:rPr>
                <w:lang w:eastAsia="de-DE"/>
              </w:rPr>
              <w:t>naftaleni</w:t>
            </w:r>
            <w:proofErr w:type="spellEnd"/>
            <w:r>
              <w:rPr>
                <w:lang w:eastAsia="de-DE"/>
              </w:rPr>
              <w:t xml:space="preserve"> (PCN)</w:t>
            </w:r>
          </w:p>
        </w:tc>
        <w:tc>
          <w:tcPr>
            <w:tcW w:w="1329" w:type="dxa"/>
            <w:tcBorders>
              <w:bottom w:val="single" w:sz="4" w:space="0" w:color="auto"/>
            </w:tcBorders>
            <w:shd w:val="clear" w:color="auto" w:fill="B6DDE8" w:themeFill="accent5" w:themeFillTint="66"/>
          </w:tcPr>
          <w:p w14:paraId="009A2FDA" w14:textId="77777777" w:rsidR="001D6A1B" w:rsidRPr="00E16E60" w:rsidRDefault="001D6A1B" w:rsidP="000F1ADC">
            <w:pPr>
              <w:jc w:val="center"/>
            </w:pPr>
          </w:p>
        </w:tc>
        <w:tc>
          <w:tcPr>
            <w:tcW w:w="1560" w:type="dxa"/>
            <w:tcBorders>
              <w:bottom w:val="single" w:sz="4" w:space="0" w:color="auto"/>
            </w:tcBorders>
            <w:shd w:val="clear" w:color="auto" w:fill="B6DDE8" w:themeFill="accent5" w:themeFillTint="66"/>
          </w:tcPr>
          <w:p w14:paraId="362A66F5" w14:textId="77777777" w:rsidR="001D6A1B" w:rsidRPr="00E16E60" w:rsidRDefault="001D6A1B" w:rsidP="000F1ADC">
            <w:pPr>
              <w:jc w:val="center"/>
            </w:pPr>
          </w:p>
        </w:tc>
        <w:tc>
          <w:tcPr>
            <w:tcW w:w="1559" w:type="dxa"/>
            <w:tcBorders>
              <w:bottom w:val="single" w:sz="4" w:space="0" w:color="auto"/>
            </w:tcBorders>
            <w:shd w:val="clear" w:color="auto" w:fill="B6DDE8" w:themeFill="accent5" w:themeFillTint="66"/>
          </w:tcPr>
          <w:p w14:paraId="13BC97A7" w14:textId="34ADADE7" w:rsidR="001D6A1B" w:rsidRPr="00E16E60" w:rsidRDefault="00BD03C8" w:rsidP="000F1ADC">
            <w:pPr>
              <w:jc w:val="center"/>
            </w:pPr>
            <w:r>
              <w:t>x</w:t>
            </w:r>
          </w:p>
        </w:tc>
      </w:tr>
      <w:tr w:rsidR="001D6A1B" w:rsidRPr="00E16E60" w14:paraId="7A317EA4" w14:textId="77777777" w:rsidTr="001D6A1B">
        <w:trPr>
          <w:jc w:val="center"/>
        </w:trPr>
        <w:tc>
          <w:tcPr>
            <w:tcW w:w="1531" w:type="dxa"/>
            <w:vMerge/>
            <w:tcBorders>
              <w:bottom w:val="single" w:sz="4" w:space="0" w:color="auto"/>
            </w:tcBorders>
            <w:shd w:val="clear" w:color="auto" w:fill="B6DDE8" w:themeFill="accent5" w:themeFillTint="66"/>
            <w:vAlign w:val="center"/>
          </w:tcPr>
          <w:p w14:paraId="61610909" w14:textId="77777777" w:rsidR="001D6A1B" w:rsidRPr="00E16E60" w:rsidRDefault="001D6A1B" w:rsidP="000F1ADC">
            <w:pPr>
              <w:spacing w:before="20" w:after="20"/>
              <w:rPr>
                <w:lang w:eastAsia="de-DE"/>
              </w:rPr>
            </w:pPr>
          </w:p>
        </w:tc>
        <w:tc>
          <w:tcPr>
            <w:tcW w:w="3402" w:type="dxa"/>
            <w:tcBorders>
              <w:bottom w:val="single" w:sz="4" w:space="0" w:color="auto"/>
            </w:tcBorders>
            <w:shd w:val="clear" w:color="auto" w:fill="D99594" w:themeFill="accent2" w:themeFillTint="99"/>
            <w:vAlign w:val="center"/>
          </w:tcPr>
          <w:p w14:paraId="62A497CD" w14:textId="52AA3EE8" w:rsidR="001D6A1B" w:rsidRDefault="001D6A1B" w:rsidP="000F1ADC">
            <w:pPr>
              <w:spacing w:before="20" w:after="20"/>
              <w:rPr>
                <w:lang w:eastAsia="de-DE"/>
              </w:rPr>
            </w:pPr>
            <w:r w:rsidRPr="005B69A9">
              <w:t>heksaklor</w:t>
            </w:r>
            <w:r>
              <w:t>obutadien</w:t>
            </w:r>
            <w:r w:rsidRPr="005B69A9">
              <w:t xml:space="preserve"> (HCBD)</w:t>
            </w:r>
          </w:p>
        </w:tc>
        <w:tc>
          <w:tcPr>
            <w:tcW w:w="1329" w:type="dxa"/>
            <w:tcBorders>
              <w:bottom w:val="single" w:sz="4" w:space="0" w:color="auto"/>
            </w:tcBorders>
            <w:shd w:val="clear" w:color="auto" w:fill="D99594" w:themeFill="accent2" w:themeFillTint="99"/>
          </w:tcPr>
          <w:p w14:paraId="5F608523" w14:textId="77777777" w:rsidR="001D6A1B" w:rsidRPr="00E16E60" w:rsidRDefault="001D6A1B" w:rsidP="000F1ADC">
            <w:pPr>
              <w:jc w:val="center"/>
            </w:pPr>
          </w:p>
        </w:tc>
        <w:tc>
          <w:tcPr>
            <w:tcW w:w="1560" w:type="dxa"/>
            <w:tcBorders>
              <w:bottom w:val="single" w:sz="4" w:space="0" w:color="auto"/>
            </w:tcBorders>
            <w:shd w:val="clear" w:color="auto" w:fill="D99594" w:themeFill="accent2" w:themeFillTint="99"/>
          </w:tcPr>
          <w:p w14:paraId="14E07E9D" w14:textId="77777777" w:rsidR="001D6A1B" w:rsidRPr="00E16E60" w:rsidRDefault="001D6A1B" w:rsidP="000F1ADC">
            <w:pPr>
              <w:jc w:val="center"/>
            </w:pPr>
          </w:p>
        </w:tc>
        <w:tc>
          <w:tcPr>
            <w:tcW w:w="1559" w:type="dxa"/>
            <w:tcBorders>
              <w:bottom w:val="single" w:sz="4" w:space="0" w:color="auto"/>
            </w:tcBorders>
            <w:shd w:val="clear" w:color="auto" w:fill="D99594" w:themeFill="accent2" w:themeFillTint="99"/>
          </w:tcPr>
          <w:p w14:paraId="0365F9EC" w14:textId="2BB67F57" w:rsidR="001D6A1B" w:rsidRPr="00E16E60" w:rsidRDefault="00BD03C8" w:rsidP="000F1ADC">
            <w:pPr>
              <w:jc w:val="center"/>
            </w:pPr>
            <w:r>
              <w:t>x</w:t>
            </w:r>
          </w:p>
        </w:tc>
      </w:tr>
      <w:tr w:rsidR="00885257" w:rsidRPr="00E16E60" w14:paraId="7DAB57C6" w14:textId="77777777" w:rsidTr="00885257">
        <w:trPr>
          <w:jc w:val="center"/>
        </w:trPr>
        <w:tc>
          <w:tcPr>
            <w:tcW w:w="1531" w:type="dxa"/>
            <w:tcBorders>
              <w:left w:val="nil"/>
              <w:bottom w:val="nil"/>
              <w:right w:val="nil"/>
            </w:tcBorders>
            <w:shd w:val="clear" w:color="auto" w:fill="auto"/>
          </w:tcPr>
          <w:p w14:paraId="76832816" w14:textId="77777777" w:rsidR="00885257" w:rsidRDefault="00885257" w:rsidP="00885257">
            <w:pPr>
              <w:rPr>
                <w:lang w:eastAsia="de-DE"/>
              </w:rPr>
            </w:pPr>
          </w:p>
          <w:p w14:paraId="3F99871D" w14:textId="6AF5E5F0" w:rsidR="00885257" w:rsidRPr="00E16E60" w:rsidRDefault="00885257" w:rsidP="00885257">
            <w:pPr>
              <w:rPr>
                <w:lang w:eastAsia="de-DE"/>
              </w:rPr>
            </w:pPr>
            <w:r>
              <w:rPr>
                <w:lang w:eastAsia="de-DE"/>
              </w:rPr>
              <w:t>Legenda:</w:t>
            </w:r>
          </w:p>
        </w:tc>
        <w:tc>
          <w:tcPr>
            <w:tcW w:w="3402" w:type="dxa"/>
            <w:tcBorders>
              <w:top w:val="single" w:sz="4" w:space="0" w:color="auto"/>
              <w:left w:val="nil"/>
              <w:bottom w:val="nil"/>
              <w:right w:val="nil"/>
            </w:tcBorders>
            <w:shd w:val="clear" w:color="auto" w:fill="auto"/>
          </w:tcPr>
          <w:p w14:paraId="7FE1367A" w14:textId="77777777" w:rsidR="00885257" w:rsidRDefault="00885257" w:rsidP="00885257">
            <w:pPr>
              <w:spacing w:before="20" w:after="20"/>
            </w:pPr>
          </w:p>
        </w:tc>
        <w:tc>
          <w:tcPr>
            <w:tcW w:w="1329" w:type="dxa"/>
            <w:tcBorders>
              <w:top w:val="single" w:sz="4" w:space="0" w:color="auto"/>
              <w:left w:val="nil"/>
              <w:bottom w:val="nil"/>
              <w:right w:val="nil"/>
            </w:tcBorders>
            <w:shd w:val="clear" w:color="auto" w:fill="auto"/>
          </w:tcPr>
          <w:p w14:paraId="7DF3E971" w14:textId="77777777" w:rsidR="00885257" w:rsidRPr="00E16E60" w:rsidRDefault="00885257" w:rsidP="00885257">
            <w:pPr>
              <w:jc w:val="center"/>
            </w:pPr>
          </w:p>
        </w:tc>
        <w:tc>
          <w:tcPr>
            <w:tcW w:w="1560" w:type="dxa"/>
            <w:tcBorders>
              <w:top w:val="single" w:sz="4" w:space="0" w:color="auto"/>
              <w:left w:val="nil"/>
              <w:bottom w:val="nil"/>
              <w:right w:val="nil"/>
            </w:tcBorders>
            <w:shd w:val="clear" w:color="auto" w:fill="auto"/>
          </w:tcPr>
          <w:p w14:paraId="114F8F76" w14:textId="77777777" w:rsidR="00885257" w:rsidRPr="00E16E60" w:rsidRDefault="00885257" w:rsidP="00885257">
            <w:pPr>
              <w:jc w:val="center"/>
            </w:pPr>
          </w:p>
        </w:tc>
        <w:tc>
          <w:tcPr>
            <w:tcW w:w="1559" w:type="dxa"/>
            <w:tcBorders>
              <w:top w:val="single" w:sz="4" w:space="0" w:color="auto"/>
              <w:left w:val="nil"/>
              <w:bottom w:val="nil"/>
              <w:right w:val="nil"/>
            </w:tcBorders>
            <w:shd w:val="clear" w:color="auto" w:fill="auto"/>
          </w:tcPr>
          <w:p w14:paraId="343F5BA3" w14:textId="77777777" w:rsidR="00885257" w:rsidRPr="00E16E60" w:rsidRDefault="00885257" w:rsidP="00885257">
            <w:pPr>
              <w:jc w:val="center"/>
            </w:pPr>
          </w:p>
        </w:tc>
      </w:tr>
      <w:tr w:rsidR="00885257" w:rsidRPr="00E16E60" w14:paraId="15E75AE8" w14:textId="77777777" w:rsidTr="00885257">
        <w:trPr>
          <w:jc w:val="center"/>
        </w:trPr>
        <w:tc>
          <w:tcPr>
            <w:tcW w:w="1531" w:type="dxa"/>
            <w:tcBorders>
              <w:top w:val="nil"/>
              <w:left w:val="nil"/>
              <w:bottom w:val="nil"/>
              <w:right w:val="nil"/>
            </w:tcBorders>
            <w:shd w:val="clear" w:color="auto" w:fill="C2D69B" w:themeFill="accent3" w:themeFillTint="99"/>
          </w:tcPr>
          <w:p w14:paraId="6AB2CEC4" w14:textId="77777777" w:rsidR="00885257" w:rsidRPr="00E16E60" w:rsidRDefault="00885257" w:rsidP="00885257">
            <w:pPr>
              <w:jc w:val="center"/>
            </w:pPr>
          </w:p>
        </w:tc>
        <w:tc>
          <w:tcPr>
            <w:tcW w:w="3402" w:type="dxa"/>
            <w:tcBorders>
              <w:top w:val="nil"/>
              <w:left w:val="nil"/>
              <w:bottom w:val="nil"/>
              <w:right w:val="nil"/>
            </w:tcBorders>
            <w:shd w:val="clear" w:color="auto" w:fill="auto"/>
          </w:tcPr>
          <w:p w14:paraId="68B3333B" w14:textId="3D7D7BD3" w:rsidR="00885257" w:rsidRDefault="00885257" w:rsidP="00885257">
            <w:pPr>
              <w:spacing w:before="20" w:after="20"/>
              <w:jc w:val="center"/>
            </w:pPr>
            <w:r>
              <w:t>COP-4 (2009. godina)</w:t>
            </w:r>
          </w:p>
        </w:tc>
        <w:tc>
          <w:tcPr>
            <w:tcW w:w="1329" w:type="dxa"/>
            <w:tcBorders>
              <w:top w:val="nil"/>
              <w:left w:val="nil"/>
              <w:bottom w:val="nil"/>
              <w:right w:val="nil"/>
            </w:tcBorders>
            <w:shd w:val="clear" w:color="auto" w:fill="auto"/>
          </w:tcPr>
          <w:p w14:paraId="3DC14C34" w14:textId="77777777" w:rsidR="00885257" w:rsidRPr="00E16E60" w:rsidRDefault="00885257" w:rsidP="00885257">
            <w:pPr>
              <w:jc w:val="center"/>
            </w:pPr>
          </w:p>
        </w:tc>
        <w:tc>
          <w:tcPr>
            <w:tcW w:w="1560" w:type="dxa"/>
            <w:tcBorders>
              <w:top w:val="nil"/>
              <w:left w:val="nil"/>
              <w:bottom w:val="nil"/>
              <w:right w:val="nil"/>
            </w:tcBorders>
            <w:shd w:val="clear" w:color="auto" w:fill="auto"/>
          </w:tcPr>
          <w:p w14:paraId="3B9544B4" w14:textId="77777777" w:rsidR="00885257" w:rsidRPr="00E16E60" w:rsidRDefault="00885257" w:rsidP="00885257">
            <w:pPr>
              <w:jc w:val="center"/>
            </w:pPr>
          </w:p>
        </w:tc>
        <w:tc>
          <w:tcPr>
            <w:tcW w:w="1559" w:type="dxa"/>
            <w:tcBorders>
              <w:top w:val="nil"/>
              <w:left w:val="nil"/>
              <w:bottom w:val="nil"/>
              <w:right w:val="nil"/>
            </w:tcBorders>
            <w:shd w:val="clear" w:color="auto" w:fill="auto"/>
          </w:tcPr>
          <w:p w14:paraId="687970C0" w14:textId="77777777" w:rsidR="00885257" w:rsidRPr="00E16E60" w:rsidRDefault="00885257" w:rsidP="00885257">
            <w:pPr>
              <w:jc w:val="center"/>
            </w:pPr>
          </w:p>
        </w:tc>
      </w:tr>
      <w:tr w:rsidR="00885257" w:rsidRPr="00E16E60" w14:paraId="5A6A8FA9" w14:textId="77777777" w:rsidTr="00885257">
        <w:trPr>
          <w:jc w:val="center"/>
        </w:trPr>
        <w:tc>
          <w:tcPr>
            <w:tcW w:w="1531" w:type="dxa"/>
            <w:tcBorders>
              <w:top w:val="nil"/>
              <w:left w:val="nil"/>
              <w:bottom w:val="nil"/>
              <w:right w:val="nil"/>
            </w:tcBorders>
            <w:shd w:val="clear" w:color="auto" w:fill="B2A1C7" w:themeFill="accent4" w:themeFillTint="99"/>
          </w:tcPr>
          <w:p w14:paraId="756674C6" w14:textId="77777777" w:rsidR="00885257" w:rsidRPr="00E16E60" w:rsidRDefault="00885257" w:rsidP="00885257">
            <w:pPr>
              <w:jc w:val="center"/>
            </w:pPr>
          </w:p>
        </w:tc>
        <w:tc>
          <w:tcPr>
            <w:tcW w:w="3402" w:type="dxa"/>
            <w:tcBorders>
              <w:top w:val="nil"/>
              <w:left w:val="nil"/>
              <w:bottom w:val="nil"/>
              <w:right w:val="nil"/>
            </w:tcBorders>
            <w:shd w:val="clear" w:color="auto" w:fill="auto"/>
          </w:tcPr>
          <w:p w14:paraId="769AD719" w14:textId="437A694F" w:rsidR="00885257" w:rsidRDefault="00885257" w:rsidP="00885257">
            <w:pPr>
              <w:jc w:val="center"/>
            </w:pPr>
            <w:r>
              <w:t>COP-5 (2011. godina)</w:t>
            </w:r>
          </w:p>
        </w:tc>
        <w:tc>
          <w:tcPr>
            <w:tcW w:w="1329" w:type="dxa"/>
            <w:tcBorders>
              <w:top w:val="nil"/>
              <w:left w:val="nil"/>
              <w:bottom w:val="nil"/>
              <w:right w:val="nil"/>
            </w:tcBorders>
            <w:shd w:val="clear" w:color="auto" w:fill="auto"/>
          </w:tcPr>
          <w:p w14:paraId="2D3ACDFF" w14:textId="77777777" w:rsidR="00885257" w:rsidRPr="00E16E60" w:rsidRDefault="00885257" w:rsidP="00885257">
            <w:pPr>
              <w:jc w:val="center"/>
            </w:pPr>
          </w:p>
        </w:tc>
        <w:tc>
          <w:tcPr>
            <w:tcW w:w="1560" w:type="dxa"/>
            <w:tcBorders>
              <w:top w:val="nil"/>
              <w:left w:val="nil"/>
              <w:bottom w:val="nil"/>
              <w:right w:val="nil"/>
            </w:tcBorders>
            <w:shd w:val="clear" w:color="auto" w:fill="auto"/>
          </w:tcPr>
          <w:p w14:paraId="43FD897A" w14:textId="77777777" w:rsidR="00885257" w:rsidRPr="00E16E60" w:rsidRDefault="00885257" w:rsidP="00885257">
            <w:pPr>
              <w:jc w:val="center"/>
            </w:pPr>
          </w:p>
        </w:tc>
        <w:tc>
          <w:tcPr>
            <w:tcW w:w="1559" w:type="dxa"/>
            <w:tcBorders>
              <w:top w:val="nil"/>
              <w:left w:val="nil"/>
              <w:bottom w:val="nil"/>
              <w:right w:val="nil"/>
            </w:tcBorders>
            <w:shd w:val="clear" w:color="auto" w:fill="auto"/>
          </w:tcPr>
          <w:p w14:paraId="708FDEFD" w14:textId="77777777" w:rsidR="00885257" w:rsidRPr="00E16E60" w:rsidRDefault="00885257" w:rsidP="00885257">
            <w:pPr>
              <w:jc w:val="center"/>
            </w:pPr>
          </w:p>
        </w:tc>
      </w:tr>
      <w:tr w:rsidR="00885257" w:rsidRPr="00E16E60" w14:paraId="573B664E" w14:textId="77777777" w:rsidTr="00885257">
        <w:trPr>
          <w:jc w:val="center"/>
        </w:trPr>
        <w:tc>
          <w:tcPr>
            <w:tcW w:w="1531" w:type="dxa"/>
            <w:tcBorders>
              <w:top w:val="nil"/>
              <w:left w:val="nil"/>
              <w:bottom w:val="nil"/>
              <w:right w:val="nil"/>
            </w:tcBorders>
            <w:shd w:val="clear" w:color="auto" w:fill="FABF8F" w:themeFill="accent6" w:themeFillTint="99"/>
          </w:tcPr>
          <w:p w14:paraId="1C3B79AB" w14:textId="77777777" w:rsidR="00885257" w:rsidRPr="00E16E60" w:rsidRDefault="00885257" w:rsidP="00885257">
            <w:pPr>
              <w:jc w:val="center"/>
            </w:pPr>
          </w:p>
        </w:tc>
        <w:tc>
          <w:tcPr>
            <w:tcW w:w="3402" w:type="dxa"/>
            <w:tcBorders>
              <w:top w:val="nil"/>
              <w:left w:val="nil"/>
              <w:bottom w:val="nil"/>
              <w:right w:val="nil"/>
            </w:tcBorders>
            <w:shd w:val="clear" w:color="auto" w:fill="auto"/>
          </w:tcPr>
          <w:p w14:paraId="30B74719" w14:textId="4EEC2007" w:rsidR="00885257" w:rsidRDefault="00885257" w:rsidP="00885257">
            <w:pPr>
              <w:jc w:val="center"/>
            </w:pPr>
            <w:r>
              <w:t>COP-6 (2013. godina)</w:t>
            </w:r>
          </w:p>
        </w:tc>
        <w:tc>
          <w:tcPr>
            <w:tcW w:w="1329" w:type="dxa"/>
            <w:tcBorders>
              <w:top w:val="nil"/>
              <w:left w:val="nil"/>
              <w:bottom w:val="nil"/>
              <w:right w:val="nil"/>
            </w:tcBorders>
            <w:shd w:val="clear" w:color="auto" w:fill="auto"/>
          </w:tcPr>
          <w:p w14:paraId="022F69D8" w14:textId="77777777" w:rsidR="00885257" w:rsidRPr="00E16E60" w:rsidRDefault="00885257" w:rsidP="00885257">
            <w:pPr>
              <w:jc w:val="center"/>
            </w:pPr>
          </w:p>
        </w:tc>
        <w:tc>
          <w:tcPr>
            <w:tcW w:w="1560" w:type="dxa"/>
            <w:tcBorders>
              <w:top w:val="nil"/>
              <w:left w:val="nil"/>
              <w:bottom w:val="nil"/>
              <w:right w:val="nil"/>
            </w:tcBorders>
            <w:shd w:val="clear" w:color="auto" w:fill="auto"/>
          </w:tcPr>
          <w:p w14:paraId="6FFC3C30" w14:textId="77777777" w:rsidR="00885257" w:rsidRPr="00E16E60" w:rsidRDefault="00885257" w:rsidP="00885257">
            <w:pPr>
              <w:jc w:val="center"/>
            </w:pPr>
          </w:p>
        </w:tc>
        <w:tc>
          <w:tcPr>
            <w:tcW w:w="1559" w:type="dxa"/>
            <w:tcBorders>
              <w:top w:val="nil"/>
              <w:left w:val="nil"/>
              <w:bottom w:val="nil"/>
              <w:right w:val="nil"/>
            </w:tcBorders>
            <w:shd w:val="clear" w:color="auto" w:fill="auto"/>
          </w:tcPr>
          <w:p w14:paraId="3A9DEA89" w14:textId="77777777" w:rsidR="00885257" w:rsidRPr="00E16E60" w:rsidRDefault="00885257" w:rsidP="00885257">
            <w:pPr>
              <w:jc w:val="center"/>
            </w:pPr>
          </w:p>
        </w:tc>
      </w:tr>
      <w:tr w:rsidR="00885257" w:rsidRPr="00E16E60" w14:paraId="5085880A" w14:textId="77777777" w:rsidTr="00885257">
        <w:trPr>
          <w:jc w:val="center"/>
        </w:trPr>
        <w:tc>
          <w:tcPr>
            <w:tcW w:w="1531" w:type="dxa"/>
            <w:tcBorders>
              <w:top w:val="nil"/>
              <w:left w:val="nil"/>
              <w:bottom w:val="nil"/>
              <w:right w:val="nil"/>
            </w:tcBorders>
            <w:shd w:val="clear" w:color="auto" w:fill="92CDDC" w:themeFill="accent5" w:themeFillTint="99"/>
          </w:tcPr>
          <w:p w14:paraId="1CD0A4B1" w14:textId="77777777" w:rsidR="00885257" w:rsidRPr="00E16E60" w:rsidRDefault="00885257" w:rsidP="00885257">
            <w:pPr>
              <w:jc w:val="center"/>
            </w:pPr>
          </w:p>
        </w:tc>
        <w:tc>
          <w:tcPr>
            <w:tcW w:w="3402" w:type="dxa"/>
            <w:tcBorders>
              <w:top w:val="nil"/>
              <w:left w:val="nil"/>
              <w:bottom w:val="nil"/>
              <w:right w:val="nil"/>
            </w:tcBorders>
            <w:shd w:val="clear" w:color="auto" w:fill="auto"/>
          </w:tcPr>
          <w:p w14:paraId="0B4AD26D" w14:textId="2C4B1883" w:rsidR="00885257" w:rsidRDefault="00885257" w:rsidP="00885257">
            <w:pPr>
              <w:jc w:val="center"/>
            </w:pPr>
            <w:r>
              <w:t>COP-7 (2015. godina)</w:t>
            </w:r>
          </w:p>
        </w:tc>
        <w:tc>
          <w:tcPr>
            <w:tcW w:w="1329" w:type="dxa"/>
            <w:tcBorders>
              <w:top w:val="nil"/>
              <w:left w:val="nil"/>
              <w:bottom w:val="nil"/>
              <w:right w:val="nil"/>
            </w:tcBorders>
            <w:shd w:val="clear" w:color="auto" w:fill="auto"/>
          </w:tcPr>
          <w:p w14:paraId="507754F2" w14:textId="77777777" w:rsidR="00885257" w:rsidRPr="00E16E60" w:rsidRDefault="00885257" w:rsidP="00885257">
            <w:pPr>
              <w:jc w:val="center"/>
            </w:pPr>
          </w:p>
        </w:tc>
        <w:tc>
          <w:tcPr>
            <w:tcW w:w="1560" w:type="dxa"/>
            <w:tcBorders>
              <w:top w:val="nil"/>
              <w:left w:val="nil"/>
              <w:bottom w:val="nil"/>
              <w:right w:val="nil"/>
            </w:tcBorders>
            <w:shd w:val="clear" w:color="auto" w:fill="auto"/>
          </w:tcPr>
          <w:p w14:paraId="0D02AE58" w14:textId="77777777" w:rsidR="00885257" w:rsidRPr="00E16E60" w:rsidRDefault="00885257" w:rsidP="00885257">
            <w:pPr>
              <w:jc w:val="center"/>
            </w:pPr>
          </w:p>
        </w:tc>
        <w:tc>
          <w:tcPr>
            <w:tcW w:w="1559" w:type="dxa"/>
            <w:tcBorders>
              <w:top w:val="nil"/>
              <w:left w:val="nil"/>
              <w:bottom w:val="nil"/>
              <w:right w:val="nil"/>
            </w:tcBorders>
            <w:shd w:val="clear" w:color="auto" w:fill="auto"/>
          </w:tcPr>
          <w:p w14:paraId="3AE7250F" w14:textId="77777777" w:rsidR="00885257" w:rsidRPr="00E16E60" w:rsidRDefault="00885257" w:rsidP="00885257">
            <w:pPr>
              <w:jc w:val="center"/>
            </w:pPr>
          </w:p>
        </w:tc>
      </w:tr>
      <w:tr w:rsidR="00885257" w:rsidRPr="00E16E60" w14:paraId="43E88FC7" w14:textId="77777777" w:rsidTr="00885257">
        <w:trPr>
          <w:jc w:val="center"/>
        </w:trPr>
        <w:tc>
          <w:tcPr>
            <w:tcW w:w="1531" w:type="dxa"/>
            <w:tcBorders>
              <w:top w:val="nil"/>
              <w:left w:val="nil"/>
              <w:bottom w:val="nil"/>
              <w:right w:val="nil"/>
            </w:tcBorders>
            <w:shd w:val="clear" w:color="auto" w:fill="D99594" w:themeFill="accent2" w:themeFillTint="99"/>
          </w:tcPr>
          <w:p w14:paraId="29D37B15" w14:textId="77777777" w:rsidR="00885257" w:rsidRPr="00E16E60" w:rsidRDefault="00885257" w:rsidP="00885257">
            <w:pPr>
              <w:jc w:val="center"/>
            </w:pPr>
          </w:p>
        </w:tc>
        <w:tc>
          <w:tcPr>
            <w:tcW w:w="3402" w:type="dxa"/>
            <w:tcBorders>
              <w:top w:val="nil"/>
              <w:left w:val="nil"/>
              <w:bottom w:val="nil"/>
              <w:right w:val="nil"/>
            </w:tcBorders>
            <w:shd w:val="clear" w:color="auto" w:fill="auto"/>
          </w:tcPr>
          <w:p w14:paraId="31259A63" w14:textId="68528F33" w:rsidR="00885257" w:rsidRDefault="00885257" w:rsidP="00885257">
            <w:pPr>
              <w:jc w:val="center"/>
            </w:pPr>
            <w:r>
              <w:t>COP-8 (2017. godina)</w:t>
            </w:r>
          </w:p>
        </w:tc>
        <w:tc>
          <w:tcPr>
            <w:tcW w:w="1329" w:type="dxa"/>
            <w:tcBorders>
              <w:top w:val="nil"/>
              <w:left w:val="nil"/>
              <w:bottom w:val="nil"/>
              <w:right w:val="nil"/>
            </w:tcBorders>
            <w:shd w:val="clear" w:color="auto" w:fill="auto"/>
          </w:tcPr>
          <w:p w14:paraId="0AA0A5EE" w14:textId="77777777" w:rsidR="00885257" w:rsidRPr="00E16E60" w:rsidRDefault="00885257" w:rsidP="00885257">
            <w:pPr>
              <w:jc w:val="center"/>
            </w:pPr>
          </w:p>
        </w:tc>
        <w:tc>
          <w:tcPr>
            <w:tcW w:w="1560" w:type="dxa"/>
            <w:tcBorders>
              <w:top w:val="nil"/>
              <w:left w:val="nil"/>
              <w:bottom w:val="nil"/>
              <w:right w:val="nil"/>
            </w:tcBorders>
            <w:shd w:val="clear" w:color="auto" w:fill="auto"/>
          </w:tcPr>
          <w:p w14:paraId="500A4665" w14:textId="77777777" w:rsidR="00885257" w:rsidRPr="00E16E60" w:rsidRDefault="00885257" w:rsidP="00885257">
            <w:pPr>
              <w:jc w:val="center"/>
            </w:pPr>
          </w:p>
        </w:tc>
        <w:tc>
          <w:tcPr>
            <w:tcW w:w="1559" w:type="dxa"/>
            <w:tcBorders>
              <w:top w:val="nil"/>
              <w:left w:val="nil"/>
              <w:bottom w:val="nil"/>
              <w:right w:val="nil"/>
            </w:tcBorders>
            <w:shd w:val="clear" w:color="auto" w:fill="auto"/>
          </w:tcPr>
          <w:p w14:paraId="353B6D9A" w14:textId="77777777" w:rsidR="00885257" w:rsidRPr="00E16E60" w:rsidRDefault="00885257" w:rsidP="00885257">
            <w:pPr>
              <w:jc w:val="center"/>
            </w:pPr>
          </w:p>
        </w:tc>
      </w:tr>
    </w:tbl>
    <w:p w14:paraId="7A10A574" w14:textId="77777777" w:rsidR="00CA6464" w:rsidRDefault="00CA6464" w:rsidP="00A449D2"/>
    <w:p w14:paraId="24914684" w14:textId="0523ED29" w:rsidR="000237AF" w:rsidRPr="00136EF0" w:rsidRDefault="000237AF" w:rsidP="00D55E4A">
      <w:pPr>
        <w:tabs>
          <w:tab w:val="left" w:pos="3119"/>
        </w:tabs>
        <w:spacing w:after="120" w:line="300" w:lineRule="exact"/>
        <w:jc w:val="both"/>
        <w:rPr>
          <w:rFonts w:eastAsiaTheme="minorHAnsi"/>
          <w:color w:val="000000" w:themeColor="text1"/>
          <w:lang w:eastAsia="en-US"/>
        </w:rPr>
      </w:pPr>
      <w:r w:rsidRPr="00136EF0">
        <w:rPr>
          <w:rFonts w:eastAsiaTheme="minorHAnsi"/>
          <w:color w:val="000000" w:themeColor="text1"/>
          <w:lang w:eastAsia="en-US"/>
        </w:rPr>
        <w:t>Svaka stranka Konvencije ima obvezu revidirati NIP</w:t>
      </w:r>
      <w:r w:rsidR="00B417AE">
        <w:rPr>
          <w:rFonts w:eastAsiaTheme="minorHAnsi"/>
          <w:color w:val="000000" w:themeColor="text1"/>
          <w:lang w:eastAsia="en-US"/>
        </w:rPr>
        <w:t xml:space="preserve"> </w:t>
      </w:r>
      <w:r w:rsidRPr="00136EF0">
        <w:rPr>
          <w:rFonts w:eastAsiaTheme="minorHAnsi"/>
          <w:color w:val="000000" w:themeColor="text1"/>
          <w:lang w:eastAsia="en-US"/>
        </w:rPr>
        <w:t xml:space="preserve">nakon usvajanja Odluka o uključivanju novih </w:t>
      </w:r>
      <w:proofErr w:type="spellStart"/>
      <w:r w:rsidRPr="00136EF0">
        <w:rPr>
          <w:rFonts w:eastAsiaTheme="minorHAnsi"/>
          <w:color w:val="000000" w:themeColor="text1"/>
          <w:lang w:eastAsia="en-US"/>
        </w:rPr>
        <w:t>P</w:t>
      </w:r>
      <w:r w:rsidR="00891D64">
        <w:rPr>
          <w:rFonts w:eastAsiaTheme="minorHAnsi"/>
          <w:color w:val="000000" w:themeColor="text1"/>
          <w:lang w:eastAsia="en-US"/>
        </w:rPr>
        <w:t>OPs</w:t>
      </w:r>
      <w:proofErr w:type="spellEnd"/>
      <w:r w:rsidR="00891D64">
        <w:rPr>
          <w:rFonts w:eastAsiaTheme="minorHAnsi"/>
          <w:color w:val="000000" w:themeColor="text1"/>
          <w:lang w:eastAsia="en-US"/>
        </w:rPr>
        <w:t xml:space="preserve">-ova u dodatke A, B i/ili C </w:t>
      </w:r>
      <w:r w:rsidRPr="00136EF0">
        <w:rPr>
          <w:rFonts w:eastAsiaTheme="minorHAnsi"/>
          <w:color w:val="000000" w:themeColor="text1"/>
          <w:lang w:eastAsia="en-US"/>
        </w:rPr>
        <w:t xml:space="preserve">Konvencije. </w:t>
      </w:r>
    </w:p>
    <w:p w14:paraId="4871BCE0" w14:textId="1632F279" w:rsidR="001D1A7C" w:rsidRDefault="00721A33" w:rsidP="00D55E4A">
      <w:pPr>
        <w:tabs>
          <w:tab w:val="left" w:pos="3119"/>
        </w:tabs>
        <w:spacing w:after="120" w:line="300" w:lineRule="exact"/>
        <w:jc w:val="both"/>
        <w:rPr>
          <w:rFonts w:eastAsiaTheme="minorHAnsi"/>
          <w:color w:val="000000" w:themeColor="text1"/>
          <w:lang w:eastAsia="en-US"/>
        </w:rPr>
      </w:pPr>
      <w:r w:rsidRPr="004B44BB">
        <w:rPr>
          <w:rFonts w:eastAsiaTheme="minorHAnsi"/>
          <w:color w:val="000000" w:themeColor="text1"/>
          <w:lang w:eastAsia="en-US"/>
        </w:rPr>
        <w:t xml:space="preserve">Dodatne Izmjene i dopune Dodatka A iz 2013. godine, uz uključivanje </w:t>
      </w:r>
      <w:proofErr w:type="spellStart"/>
      <w:r w:rsidRPr="004B44BB">
        <w:rPr>
          <w:rFonts w:eastAsiaTheme="minorHAnsi"/>
          <w:color w:val="000000" w:themeColor="text1"/>
          <w:lang w:eastAsia="en-US"/>
        </w:rPr>
        <w:t>heksabromociklododekana</w:t>
      </w:r>
      <w:proofErr w:type="spellEnd"/>
      <w:r w:rsidRPr="004B44BB">
        <w:rPr>
          <w:rFonts w:eastAsiaTheme="minorHAnsi"/>
          <w:color w:val="000000" w:themeColor="text1"/>
          <w:lang w:eastAsia="en-US"/>
        </w:rPr>
        <w:t xml:space="preserve"> (HBCD</w:t>
      </w:r>
      <w:r w:rsidR="00B13D0F">
        <w:rPr>
          <w:rFonts w:eastAsiaTheme="minorHAnsi"/>
          <w:color w:val="000000" w:themeColor="text1"/>
          <w:lang w:eastAsia="en-US"/>
        </w:rPr>
        <w:t>-</w:t>
      </w:r>
      <w:r w:rsidRPr="004B44BB">
        <w:rPr>
          <w:rFonts w:eastAsiaTheme="minorHAnsi"/>
          <w:color w:val="000000" w:themeColor="text1"/>
          <w:lang w:eastAsia="en-US"/>
        </w:rPr>
        <w:t xml:space="preserve">a), za većinu stranaka stupile su na snagu u studenome 2014. godine. </w:t>
      </w:r>
    </w:p>
    <w:p w14:paraId="1FD212B2" w14:textId="097386EB" w:rsidR="000B1993" w:rsidRDefault="000B1993" w:rsidP="00D55E4A">
      <w:p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Izmjene i dopune Dodataka A i C Konvencije </w:t>
      </w:r>
      <w:r w:rsidR="00372A1B">
        <w:rPr>
          <w:rFonts w:eastAsiaTheme="minorHAnsi"/>
          <w:color w:val="000000" w:themeColor="text1"/>
          <w:lang w:eastAsia="en-US"/>
        </w:rPr>
        <w:t xml:space="preserve">iz 2015. godine, vezane uz uključivanje </w:t>
      </w:r>
      <w:r w:rsidR="00372A1B" w:rsidRPr="00372A1B">
        <w:rPr>
          <w:rFonts w:eastAsiaTheme="minorHAnsi"/>
          <w:color w:val="000000" w:themeColor="text1"/>
          <w:lang w:eastAsia="en-US"/>
        </w:rPr>
        <w:t>heksaklorobutadien</w:t>
      </w:r>
      <w:r w:rsidR="00372A1B">
        <w:rPr>
          <w:rFonts w:eastAsiaTheme="minorHAnsi"/>
          <w:color w:val="000000" w:themeColor="text1"/>
          <w:lang w:eastAsia="en-US"/>
        </w:rPr>
        <w:t>a</w:t>
      </w:r>
      <w:r w:rsidR="00372A1B" w:rsidRPr="00372A1B">
        <w:rPr>
          <w:rFonts w:eastAsiaTheme="minorHAnsi"/>
          <w:color w:val="000000" w:themeColor="text1"/>
          <w:lang w:eastAsia="en-US"/>
        </w:rPr>
        <w:t xml:space="preserve"> (HCBD)</w:t>
      </w:r>
      <w:r w:rsidR="00372A1B">
        <w:rPr>
          <w:rFonts w:eastAsiaTheme="minorHAnsi"/>
          <w:color w:val="000000" w:themeColor="text1"/>
          <w:lang w:eastAsia="en-US"/>
        </w:rPr>
        <w:t xml:space="preserve"> u Dodatak A, </w:t>
      </w:r>
      <w:proofErr w:type="spellStart"/>
      <w:r w:rsidR="00372A1B">
        <w:rPr>
          <w:rFonts w:eastAsiaTheme="minorHAnsi"/>
          <w:color w:val="000000" w:themeColor="text1"/>
          <w:lang w:eastAsia="en-US"/>
        </w:rPr>
        <w:t>pentaklorofenola</w:t>
      </w:r>
      <w:proofErr w:type="spellEnd"/>
      <w:r w:rsidR="00372A1B">
        <w:rPr>
          <w:rFonts w:eastAsiaTheme="minorHAnsi"/>
          <w:color w:val="000000" w:themeColor="text1"/>
          <w:lang w:eastAsia="en-US"/>
        </w:rPr>
        <w:t xml:space="preserve"> i njegovih soli i estera (PCP) u Dodat</w:t>
      </w:r>
      <w:r w:rsidR="00A471CB">
        <w:rPr>
          <w:rFonts w:eastAsiaTheme="minorHAnsi"/>
          <w:color w:val="000000" w:themeColor="text1"/>
          <w:lang w:eastAsia="en-US"/>
        </w:rPr>
        <w:t>ak</w:t>
      </w:r>
      <w:r w:rsidR="00372A1B">
        <w:rPr>
          <w:rFonts w:eastAsiaTheme="minorHAnsi"/>
          <w:color w:val="000000" w:themeColor="text1"/>
          <w:lang w:eastAsia="en-US"/>
        </w:rPr>
        <w:t xml:space="preserve"> A te </w:t>
      </w:r>
      <w:proofErr w:type="spellStart"/>
      <w:r w:rsidR="00372A1B">
        <w:rPr>
          <w:rFonts w:eastAsiaTheme="minorHAnsi"/>
          <w:color w:val="000000" w:themeColor="text1"/>
          <w:lang w:eastAsia="en-US"/>
        </w:rPr>
        <w:t>polikloriranih</w:t>
      </w:r>
      <w:proofErr w:type="spellEnd"/>
      <w:r w:rsidR="00372A1B">
        <w:rPr>
          <w:rFonts w:eastAsiaTheme="minorHAnsi"/>
          <w:color w:val="000000" w:themeColor="text1"/>
          <w:lang w:eastAsia="en-US"/>
        </w:rPr>
        <w:t xml:space="preserve"> </w:t>
      </w:r>
      <w:proofErr w:type="spellStart"/>
      <w:r w:rsidR="00372A1B">
        <w:rPr>
          <w:rFonts w:eastAsiaTheme="minorHAnsi"/>
          <w:color w:val="000000" w:themeColor="text1"/>
          <w:lang w:eastAsia="en-US"/>
        </w:rPr>
        <w:t>naftalena</w:t>
      </w:r>
      <w:proofErr w:type="spellEnd"/>
      <w:r w:rsidR="00372A1B">
        <w:rPr>
          <w:rFonts w:eastAsiaTheme="minorHAnsi"/>
          <w:color w:val="000000" w:themeColor="text1"/>
          <w:lang w:eastAsia="en-US"/>
        </w:rPr>
        <w:t xml:space="preserve"> </w:t>
      </w:r>
      <w:r w:rsidR="00A471CB">
        <w:rPr>
          <w:rFonts w:eastAsiaTheme="minorHAnsi"/>
          <w:color w:val="000000" w:themeColor="text1"/>
          <w:lang w:eastAsia="en-US"/>
        </w:rPr>
        <w:t>(PCN)</w:t>
      </w:r>
      <w:r w:rsidR="00A471CB" w:rsidRPr="00A471CB">
        <w:rPr>
          <w:rFonts w:eastAsiaTheme="minorHAnsi"/>
          <w:color w:val="000000" w:themeColor="text1"/>
          <w:lang w:eastAsia="en-US"/>
        </w:rPr>
        <w:t xml:space="preserve"> u Dodatke A i C</w:t>
      </w:r>
      <w:r w:rsidR="00A471CB">
        <w:rPr>
          <w:rFonts w:eastAsiaTheme="minorHAnsi"/>
          <w:color w:val="000000" w:themeColor="text1"/>
          <w:lang w:eastAsia="en-US"/>
        </w:rPr>
        <w:t>, za većinu stranaka pa tako i za Republiku Hrvatsku, stupile su na snagu u prosincu 2016. godine.</w:t>
      </w:r>
    </w:p>
    <w:p w14:paraId="31346F74" w14:textId="77777777" w:rsidR="00BD03C8" w:rsidRDefault="00BD03C8" w:rsidP="00D55E4A">
      <w:pPr>
        <w:tabs>
          <w:tab w:val="left" w:pos="3119"/>
        </w:tabs>
        <w:spacing w:after="120" w:line="300" w:lineRule="exact"/>
        <w:jc w:val="both"/>
        <w:rPr>
          <w:rFonts w:eastAsiaTheme="minorHAnsi"/>
          <w:lang w:eastAsia="en-US"/>
        </w:rPr>
      </w:pPr>
      <w:r w:rsidRPr="000C521D">
        <w:rPr>
          <w:rFonts w:eastAsiaTheme="minorHAnsi"/>
          <w:lang w:eastAsia="en-US"/>
        </w:rPr>
        <w:t xml:space="preserve">Navedene odluke </w:t>
      </w:r>
      <w:r>
        <w:rPr>
          <w:rFonts w:eastAsiaTheme="minorHAnsi"/>
          <w:lang w:eastAsia="en-US"/>
        </w:rPr>
        <w:t xml:space="preserve">sadržane su u: </w:t>
      </w:r>
    </w:p>
    <w:p w14:paraId="43A48B29" w14:textId="77777777" w:rsidR="00BD03C8" w:rsidRDefault="00BD03C8" w:rsidP="00D55E4A">
      <w:pPr>
        <w:pStyle w:val="Odlomakpopisa"/>
        <w:numPr>
          <w:ilvl w:val="0"/>
          <w:numId w:val="25"/>
        </w:numPr>
        <w:tabs>
          <w:tab w:val="left" w:pos="3119"/>
        </w:tabs>
        <w:spacing w:after="120" w:line="300" w:lineRule="exact"/>
        <w:contextualSpacing w:val="0"/>
        <w:jc w:val="both"/>
        <w:rPr>
          <w:rFonts w:eastAsiaTheme="minorHAnsi"/>
          <w:lang w:eastAsia="en-US"/>
        </w:rPr>
      </w:pPr>
      <w:r w:rsidRPr="00BD03C8">
        <w:rPr>
          <w:rFonts w:eastAsiaTheme="minorHAnsi"/>
          <w:lang w:eastAsia="en-US"/>
        </w:rPr>
        <w:t>Uredbi o objavi Dodatka G od 6. svibnja 2005. godine, Izmjena i dopuna dodataka A, B i C iz svibnja 2009. godine, Izmjene i dopune Dodatka A iz travnja 2011. godine i izmjene i dopune Dodatka A iz svibnja 2013. godine Stockholmske konvencije o postojanim organskim onečišćujućim tvarima (Narodne novine</w:t>
      </w:r>
      <w:r>
        <w:rPr>
          <w:rFonts w:eastAsiaTheme="minorHAnsi"/>
          <w:lang w:eastAsia="en-US"/>
        </w:rPr>
        <w:t xml:space="preserve"> – </w:t>
      </w:r>
      <w:r w:rsidRPr="00BD03C8">
        <w:rPr>
          <w:rFonts w:eastAsiaTheme="minorHAnsi"/>
          <w:lang w:eastAsia="en-US"/>
        </w:rPr>
        <w:t>Međunarodni ugovori, broj 8/</w:t>
      </w:r>
      <w:r>
        <w:rPr>
          <w:rFonts w:eastAsiaTheme="minorHAnsi"/>
          <w:lang w:eastAsia="en-US"/>
        </w:rPr>
        <w:t>15)</w:t>
      </w:r>
    </w:p>
    <w:p w14:paraId="1A7B6B74" w14:textId="6F250559" w:rsidR="00BD03C8" w:rsidRPr="00E51121" w:rsidRDefault="00E51121" w:rsidP="00D55E4A">
      <w:pPr>
        <w:pStyle w:val="Odlomakpopisa"/>
        <w:numPr>
          <w:ilvl w:val="0"/>
          <w:numId w:val="25"/>
        </w:numPr>
        <w:spacing w:after="120"/>
        <w:contextualSpacing w:val="0"/>
        <w:rPr>
          <w:rFonts w:eastAsiaTheme="minorHAnsi"/>
          <w:lang w:eastAsia="en-US"/>
        </w:rPr>
      </w:pPr>
      <w:r w:rsidRPr="00E51121">
        <w:rPr>
          <w:rFonts w:eastAsiaTheme="minorHAnsi"/>
          <w:lang w:eastAsia="en-US"/>
        </w:rPr>
        <w:t xml:space="preserve">Uredbi o objavi Izmjena i dopuna Dodataka A i C iz svibnja 2015. godine Stockholmske konvencije o postojanim organskim onečišćujućim tvarima (Narodne novine – Međunarodni ugovori, broj </w:t>
      </w:r>
      <w:r>
        <w:rPr>
          <w:rFonts w:eastAsiaTheme="minorHAnsi"/>
          <w:lang w:eastAsia="en-US"/>
        </w:rPr>
        <w:t>5</w:t>
      </w:r>
      <w:r w:rsidRPr="00E51121">
        <w:rPr>
          <w:rFonts w:eastAsiaTheme="minorHAnsi"/>
          <w:lang w:eastAsia="en-US"/>
        </w:rPr>
        <w:t>/1</w:t>
      </w:r>
      <w:r>
        <w:rPr>
          <w:rFonts w:eastAsiaTheme="minorHAnsi"/>
          <w:lang w:eastAsia="en-US"/>
        </w:rPr>
        <w:t>6</w:t>
      </w:r>
      <w:r w:rsidRPr="00E51121">
        <w:rPr>
          <w:rFonts w:eastAsiaTheme="minorHAnsi"/>
          <w:lang w:eastAsia="en-US"/>
        </w:rPr>
        <w:t>)</w:t>
      </w:r>
      <w:r>
        <w:rPr>
          <w:rFonts w:eastAsiaTheme="minorHAnsi"/>
          <w:lang w:eastAsia="en-US"/>
        </w:rPr>
        <w:t>.</w:t>
      </w:r>
    </w:p>
    <w:p w14:paraId="0F5D8A0A" w14:textId="368EFD0E" w:rsidR="00463F9F" w:rsidRPr="00E16E60" w:rsidRDefault="00463F9F" w:rsidP="00D55E4A">
      <w:pPr>
        <w:spacing w:after="120"/>
        <w:jc w:val="both"/>
      </w:pPr>
      <w:r>
        <w:t>Nadalje, na</w:t>
      </w:r>
      <w:r w:rsidRPr="00E16E60">
        <w:t xml:space="preserve"> </w:t>
      </w:r>
      <w:r>
        <w:t>os</w:t>
      </w:r>
      <w:r w:rsidR="00E51121">
        <w:t>m</w:t>
      </w:r>
      <w:r>
        <w:t>oj</w:t>
      </w:r>
      <w:r w:rsidRPr="00E16E60">
        <w:t xml:space="preserve"> konferenciji stranaka </w:t>
      </w:r>
      <w:r>
        <w:t>K</w:t>
      </w:r>
      <w:r w:rsidRPr="00E16E60">
        <w:t>onvencije (COP-</w:t>
      </w:r>
      <w:r>
        <w:t>8</w:t>
      </w:r>
      <w:r w:rsidRPr="00E16E60">
        <w:t xml:space="preserve">, </w:t>
      </w:r>
      <w:r w:rsidRPr="00E16E60">
        <w:rPr>
          <w:bCs/>
        </w:rPr>
        <w:t>Ženeva, svibanj 201</w:t>
      </w:r>
      <w:r>
        <w:rPr>
          <w:bCs/>
        </w:rPr>
        <w:t>7</w:t>
      </w:r>
      <w:r w:rsidRPr="00E16E60">
        <w:rPr>
          <w:bCs/>
        </w:rPr>
        <w:t>. godine)</w:t>
      </w:r>
      <w:r w:rsidRPr="00E16E60">
        <w:t>, usvojene su Odluke o uvrštavanju tri dodatne kemikalije/</w:t>
      </w:r>
      <w:proofErr w:type="spellStart"/>
      <w:r w:rsidRPr="00E16E60">
        <w:t>POPs</w:t>
      </w:r>
      <w:proofErr w:type="spellEnd"/>
      <w:r w:rsidRPr="00E16E60">
        <w:t>-a (</w:t>
      </w:r>
      <w:r w:rsidR="00453A97" w:rsidRPr="00453A97">
        <w:t>C.N.766.2017.TREATIES-XXVII.15</w:t>
      </w:r>
      <w:r w:rsidRPr="00E16E60">
        <w:t>; stupanje na snagu za većinu stranaka 15. prosinca 201</w:t>
      </w:r>
      <w:r>
        <w:t>8</w:t>
      </w:r>
      <w:r w:rsidRPr="00E16E60">
        <w:t>. godine):</w:t>
      </w:r>
    </w:p>
    <w:p w14:paraId="12856A51" w14:textId="394F5B12" w:rsidR="00463F9F" w:rsidRPr="00E16E60" w:rsidRDefault="005B69A9" w:rsidP="00D55E4A">
      <w:pPr>
        <w:pStyle w:val="Odlomakpopisa"/>
        <w:numPr>
          <w:ilvl w:val="0"/>
          <w:numId w:val="16"/>
        </w:numPr>
        <w:spacing w:after="120" w:line="300" w:lineRule="exact"/>
        <w:contextualSpacing w:val="0"/>
        <w:jc w:val="both"/>
      </w:pPr>
      <w:proofErr w:type="spellStart"/>
      <w:r w:rsidRPr="005B69A9">
        <w:t>dekabromodifeniletera</w:t>
      </w:r>
      <w:proofErr w:type="spellEnd"/>
      <w:r w:rsidRPr="005B69A9">
        <w:t xml:space="preserve"> (BDE-209) prisutnog u komercijalnom </w:t>
      </w:r>
      <w:proofErr w:type="spellStart"/>
      <w:r w:rsidRPr="005B69A9">
        <w:t>dekabromodifenileteru</w:t>
      </w:r>
      <w:proofErr w:type="spellEnd"/>
      <w:r w:rsidRPr="005B69A9">
        <w:t xml:space="preserve"> (c-decaBDE) u </w:t>
      </w:r>
      <w:r>
        <w:t>Dodatak</w:t>
      </w:r>
      <w:r w:rsidRPr="005B69A9">
        <w:t xml:space="preserve"> A Konvencij</w:t>
      </w:r>
      <w:r>
        <w:t>e</w:t>
      </w:r>
      <w:r w:rsidRPr="005B69A9">
        <w:t>, uz „posebna izuzeća”</w:t>
      </w:r>
      <w:r w:rsidR="00463F9F" w:rsidRPr="005B69A9">
        <w:t>,</w:t>
      </w:r>
      <w:r w:rsidR="00463F9F">
        <w:t xml:space="preserve"> SC-</w:t>
      </w:r>
      <w:r>
        <w:t>8</w:t>
      </w:r>
      <w:r w:rsidR="00463F9F">
        <w:t>/1</w:t>
      </w:r>
      <w:r>
        <w:t>0</w:t>
      </w:r>
    </w:p>
    <w:p w14:paraId="234C603F" w14:textId="173E136C" w:rsidR="00463F9F" w:rsidRPr="00E16E60" w:rsidRDefault="005B69A9" w:rsidP="00D55E4A">
      <w:pPr>
        <w:pStyle w:val="Odlomakpopisa"/>
        <w:numPr>
          <w:ilvl w:val="0"/>
          <w:numId w:val="16"/>
        </w:numPr>
        <w:spacing w:after="120" w:line="300" w:lineRule="exact"/>
        <w:contextualSpacing w:val="0"/>
        <w:jc w:val="both"/>
      </w:pPr>
      <w:r w:rsidRPr="005B69A9">
        <w:t xml:space="preserve">kratkolančanih kloriranih parafina (SCCP-i) </w:t>
      </w:r>
      <w:r w:rsidR="00463F9F" w:rsidRPr="00E16E60">
        <w:t>u Dodat</w:t>
      </w:r>
      <w:r w:rsidR="00463F9F">
        <w:t>ak</w:t>
      </w:r>
      <w:r w:rsidR="00463F9F" w:rsidRPr="00E16E60">
        <w:t xml:space="preserve"> A </w:t>
      </w:r>
      <w:r w:rsidR="00463F9F">
        <w:t>K</w:t>
      </w:r>
      <w:r w:rsidR="00463F9F" w:rsidRPr="00E16E60">
        <w:t>onvencije, SC-</w:t>
      </w:r>
      <w:r>
        <w:t>8</w:t>
      </w:r>
      <w:r w:rsidR="00463F9F" w:rsidRPr="00E16E60">
        <w:t>/1</w:t>
      </w:r>
      <w:r>
        <w:t>1</w:t>
      </w:r>
      <w:r w:rsidR="00463F9F" w:rsidRPr="00E16E60">
        <w:t xml:space="preserve"> </w:t>
      </w:r>
    </w:p>
    <w:p w14:paraId="1EF064FC" w14:textId="5183F965" w:rsidR="001F3D11" w:rsidRDefault="005B69A9" w:rsidP="00683361">
      <w:pPr>
        <w:pStyle w:val="Odlomakpopisa"/>
        <w:numPr>
          <w:ilvl w:val="0"/>
          <w:numId w:val="16"/>
        </w:numPr>
        <w:spacing w:after="120" w:line="300" w:lineRule="exact"/>
        <w:contextualSpacing w:val="0"/>
        <w:jc w:val="both"/>
      </w:pPr>
      <w:r w:rsidRPr="005B69A9">
        <w:t>heksaklor</w:t>
      </w:r>
      <w:r>
        <w:t>o</w:t>
      </w:r>
      <w:r w:rsidRPr="005B69A9">
        <w:t xml:space="preserve">butadiena (HCBD) </w:t>
      </w:r>
      <w:r w:rsidR="00463F9F" w:rsidRPr="00E16E60">
        <w:t xml:space="preserve">u Dodatak </w:t>
      </w:r>
      <w:r>
        <w:t>C</w:t>
      </w:r>
      <w:r w:rsidR="00463F9F" w:rsidRPr="00E16E60">
        <w:t xml:space="preserve"> </w:t>
      </w:r>
      <w:r w:rsidR="00463F9F">
        <w:t>K</w:t>
      </w:r>
      <w:r w:rsidR="00463F9F" w:rsidRPr="00E16E60">
        <w:t>onvencije, SC-</w:t>
      </w:r>
      <w:r>
        <w:t>8</w:t>
      </w:r>
      <w:r w:rsidR="00463F9F" w:rsidRPr="00E16E60">
        <w:t>/</w:t>
      </w:r>
      <w:r>
        <w:t>12</w:t>
      </w:r>
      <w:r w:rsidR="00463F9F" w:rsidRPr="00E16E60">
        <w:t>.</w:t>
      </w:r>
    </w:p>
    <w:p w14:paraId="181C5AE0" w14:textId="7A5BDE9B" w:rsidR="001F3D11" w:rsidRPr="001F3D11" w:rsidRDefault="001F3D11" w:rsidP="001F3D11">
      <w:pPr>
        <w:tabs>
          <w:tab w:val="left" w:pos="3119"/>
        </w:tabs>
        <w:spacing w:after="120" w:line="300" w:lineRule="exact"/>
        <w:jc w:val="both"/>
        <w:rPr>
          <w:rFonts w:eastAsiaTheme="minorHAnsi"/>
          <w:lang w:eastAsia="en-US"/>
        </w:rPr>
      </w:pPr>
      <w:r w:rsidRPr="00DC5A62">
        <w:t xml:space="preserve">Promjenom ustrojstva središnjih tijela državne uprave 2012. godine, imenovani su predstavnici nadležnih tijela i institucija (Ministarstvo zaštite okoliša i prirode, Ministarstvo poljoprivrede, </w:t>
      </w:r>
      <w:r w:rsidRPr="00DC5A62">
        <w:lastRenderedPageBreak/>
        <w:t>Ministarstvo zdravlja, Ministarstvo gospodarstva i Agencija za zaštitu okoliša) u novu radnu skupinu s obzirom na novu me</w:t>
      </w:r>
      <w:r w:rsidR="00DA6ED9">
        <w:t xml:space="preserve">đuresornu podjelu nadležnosti. </w:t>
      </w:r>
      <w:r w:rsidRPr="00DC5A62">
        <w:t xml:space="preserve">Prijedlog Drugog i Trećeg izvješća izrađeni su u suradnji s imenovanim članovima. </w:t>
      </w:r>
    </w:p>
    <w:p w14:paraId="2C64EF11" w14:textId="40A7444C" w:rsidR="00683361" w:rsidRDefault="00BD03C8" w:rsidP="00D55E4A">
      <w:pPr>
        <w:tabs>
          <w:tab w:val="left" w:pos="3119"/>
        </w:tabs>
        <w:spacing w:after="120" w:line="300" w:lineRule="exact"/>
        <w:jc w:val="both"/>
        <w:rPr>
          <w:rFonts w:eastAsiaTheme="minorHAnsi"/>
          <w:color w:val="000000" w:themeColor="text1"/>
          <w:lang w:eastAsia="en-US"/>
        </w:rPr>
      </w:pPr>
      <w:r w:rsidRPr="001D1A7C">
        <w:rPr>
          <w:rFonts w:eastAsiaTheme="minorHAnsi"/>
          <w:color w:val="000000" w:themeColor="text1"/>
          <w:lang w:eastAsia="en-US"/>
        </w:rPr>
        <w:t>U lipnju 2013. godine je od strane Fonda za globalni okoliš (GEF) odobren projekt za financiranje aktivnosti koje su potrebne za izradu revidiranog NIP-a</w:t>
      </w:r>
      <w:r w:rsidR="00683361">
        <w:rPr>
          <w:rFonts w:eastAsiaTheme="minorHAnsi"/>
          <w:color w:val="000000" w:themeColor="text1"/>
          <w:lang w:eastAsia="en-US"/>
        </w:rPr>
        <w:t>.</w:t>
      </w:r>
      <w:r w:rsidRPr="001D1A7C">
        <w:rPr>
          <w:rFonts w:eastAsiaTheme="minorHAnsi"/>
          <w:color w:val="000000" w:themeColor="text1"/>
          <w:lang w:eastAsia="en-US"/>
        </w:rPr>
        <w:t xml:space="preserve"> </w:t>
      </w:r>
      <w:r w:rsidR="00683361">
        <w:rPr>
          <w:rFonts w:eastAsiaTheme="minorHAnsi"/>
          <w:color w:val="000000" w:themeColor="text1"/>
          <w:lang w:eastAsia="en-US"/>
        </w:rPr>
        <w:t xml:space="preserve">U srpnju 2014. godine osnovano je Povjerenstvo za praćenje provedbe projekta „Revizija Nacionalnog provedbenog plana za provedbu Stockholmske konvencije o postojanim organskim onečišćujućim tvarima“ </w:t>
      </w:r>
      <w:r w:rsidRPr="001D1A7C">
        <w:rPr>
          <w:rFonts w:eastAsiaTheme="minorHAnsi"/>
          <w:color w:val="000000" w:themeColor="text1"/>
          <w:lang w:eastAsia="en-US"/>
        </w:rPr>
        <w:t xml:space="preserve">te je Ministarstvo zaštite okoliša i prirode kao korisnik i glavni nositelj projekta u suradnji s Programom Ujedinjenih naroda za okoliš (UNEP) kao provedbenom agencijom i ostalim nadležnim tijelima izradilo </w:t>
      </w:r>
      <w:r>
        <w:rPr>
          <w:rFonts w:eastAsiaTheme="minorHAnsi"/>
          <w:color w:val="000000" w:themeColor="text1"/>
          <w:lang w:eastAsia="en-US"/>
        </w:rPr>
        <w:t>D</w:t>
      </w:r>
      <w:r w:rsidRPr="001D1A7C">
        <w:rPr>
          <w:rFonts w:eastAsiaTheme="minorHAnsi"/>
          <w:color w:val="000000" w:themeColor="text1"/>
          <w:lang w:eastAsia="en-US"/>
        </w:rPr>
        <w:t>rug</w:t>
      </w:r>
      <w:r>
        <w:rPr>
          <w:rFonts w:eastAsiaTheme="minorHAnsi"/>
          <w:color w:val="000000" w:themeColor="text1"/>
          <w:lang w:eastAsia="en-US"/>
        </w:rPr>
        <w:t>i</w:t>
      </w:r>
      <w:r w:rsidRPr="001D1A7C">
        <w:rPr>
          <w:rFonts w:eastAsiaTheme="minorHAnsi"/>
          <w:color w:val="000000" w:themeColor="text1"/>
          <w:lang w:eastAsia="en-US"/>
        </w:rPr>
        <w:t xml:space="preserve"> NIP</w:t>
      </w:r>
      <w:r w:rsidR="00AB100A">
        <w:rPr>
          <w:rFonts w:eastAsiaTheme="minorHAnsi"/>
          <w:color w:val="000000" w:themeColor="text1"/>
          <w:lang w:eastAsia="en-US"/>
        </w:rPr>
        <w:t xml:space="preserve">. </w:t>
      </w:r>
    </w:p>
    <w:p w14:paraId="521474EF" w14:textId="031CA375" w:rsidR="00AB100A" w:rsidRDefault="00AB100A" w:rsidP="00D55E4A">
      <w:p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Vlada Republike Hrvatske</w:t>
      </w:r>
      <w:r w:rsidR="00131A44">
        <w:rPr>
          <w:rFonts w:eastAsiaTheme="minorHAnsi"/>
          <w:color w:val="000000" w:themeColor="text1"/>
          <w:lang w:eastAsia="en-US"/>
        </w:rPr>
        <w:t xml:space="preserve"> je</w:t>
      </w:r>
      <w:r>
        <w:rPr>
          <w:rFonts w:eastAsiaTheme="minorHAnsi"/>
          <w:color w:val="000000" w:themeColor="text1"/>
          <w:lang w:eastAsia="en-US"/>
        </w:rPr>
        <w:t xml:space="preserve"> na sjednici održanoj 8. lipnja 2016. godine, donijela Odluku o </w:t>
      </w:r>
      <w:r w:rsidRPr="00AB100A">
        <w:rPr>
          <w:rFonts w:eastAsiaTheme="minorHAnsi"/>
          <w:color w:val="000000" w:themeColor="text1"/>
          <w:lang w:eastAsia="en-US"/>
        </w:rPr>
        <w:t>prihvaćanju Drugog nacionalnog plana za provedbu Stockholmske konvencije o postojanim organskim onečišćujućim tvarima u Republici Hrvatskoj</w:t>
      </w:r>
      <w:r>
        <w:rPr>
          <w:rFonts w:eastAsiaTheme="minorHAnsi"/>
          <w:color w:val="000000" w:themeColor="text1"/>
          <w:lang w:eastAsia="en-US"/>
        </w:rPr>
        <w:t xml:space="preserve"> </w:t>
      </w:r>
      <w:r w:rsidRPr="00AB100A">
        <w:rPr>
          <w:rFonts w:eastAsiaTheme="minorHAnsi"/>
          <w:color w:val="000000" w:themeColor="text1"/>
          <w:lang w:eastAsia="en-US"/>
        </w:rPr>
        <w:t xml:space="preserve">(Narodne novine, broj </w:t>
      </w:r>
      <w:r>
        <w:rPr>
          <w:rFonts w:eastAsiaTheme="minorHAnsi"/>
          <w:color w:val="000000" w:themeColor="text1"/>
          <w:lang w:eastAsia="en-US"/>
        </w:rPr>
        <w:t>62</w:t>
      </w:r>
      <w:r w:rsidRPr="00AB100A">
        <w:rPr>
          <w:rFonts w:eastAsiaTheme="minorHAnsi"/>
          <w:color w:val="000000" w:themeColor="text1"/>
          <w:lang w:eastAsia="en-US"/>
        </w:rPr>
        <w:t>/16).</w:t>
      </w:r>
      <w:r>
        <w:rPr>
          <w:rFonts w:eastAsiaTheme="minorHAnsi"/>
          <w:color w:val="000000" w:themeColor="text1"/>
          <w:lang w:eastAsia="en-US"/>
        </w:rPr>
        <w:t xml:space="preserve"> </w:t>
      </w:r>
      <w:r w:rsidR="00B77CB7">
        <w:rPr>
          <w:rFonts w:eastAsiaTheme="minorHAnsi"/>
          <w:color w:val="000000" w:themeColor="text1"/>
          <w:lang w:eastAsia="en-US"/>
        </w:rPr>
        <w:t xml:space="preserve">Drugi NIP dostavljen je </w:t>
      </w:r>
      <w:r w:rsidR="00B77CB7" w:rsidRPr="00B77CB7">
        <w:rPr>
          <w:rFonts w:eastAsiaTheme="minorHAnsi"/>
          <w:color w:val="000000" w:themeColor="text1"/>
          <w:lang w:eastAsia="en-US"/>
        </w:rPr>
        <w:t>Tajništvu Konvencije</w:t>
      </w:r>
      <w:r w:rsidR="00B77CB7">
        <w:rPr>
          <w:rFonts w:eastAsiaTheme="minorHAnsi"/>
          <w:color w:val="000000" w:themeColor="text1"/>
          <w:lang w:eastAsia="en-US"/>
        </w:rPr>
        <w:t xml:space="preserve"> 28. studenog 2016. godine te je objavljen na internetskim stranicama Konvencije. Drugim NIP-om obuhvaćene su </w:t>
      </w:r>
      <w:r w:rsidR="00FE72CD">
        <w:rPr>
          <w:rFonts w:eastAsiaTheme="minorHAnsi"/>
          <w:color w:val="000000" w:themeColor="text1"/>
          <w:lang w:eastAsia="en-US"/>
        </w:rPr>
        <w:t>Odluke donesene na četvrtoj, petoj i šestoj konferenciji stranaka.</w:t>
      </w:r>
      <w:r w:rsidR="00C4104C">
        <w:rPr>
          <w:rFonts w:eastAsiaTheme="minorHAnsi"/>
          <w:color w:val="000000" w:themeColor="text1"/>
          <w:lang w:eastAsia="en-US"/>
        </w:rPr>
        <w:t xml:space="preserve"> </w:t>
      </w:r>
    </w:p>
    <w:p w14:paraId="64BCBBD7" w14:textId="6C393484" w:rsidR="00C4104C" w:rsidRDefault="00C4104C" w:rsidP="00D55E4A">
      <w:p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Inicijalno trajanje </w:t>
      </w:r>
      <w:r w:rsidR="009403D8">
        <w:rPr>
          <w:rFonts w:eastAsiaTheme="minorHAnsi"/>
          <w:color w:val="000000" w:themeColor="text1"/>
          <w:lang w:eastAsia="en-US"/>
        </w:rPr>
        <w:t>P</w:t>
      </w:r>
      <w:r>
        <w:rPr>
          <w:rFonts w:eastAsiaTheme="minorHAnsi"/>
          <w:color w:val="000000" w:themeColor="text1"/>
          <w:lang w:eastAsia="en-US"/>
        </w:rPr>
        <w:t xml:space="preserve">rojekta </w:t>
      </w:r>
      <w:r w:rsidR="009403D8">
        <w:rPr>
          <w:rFonts w:eastAsiaTheme="minorHAnsi"/>
          <w:color w:val="000000" w:themeColor="text1"/>
          <w:lang w:eastAsia="en-US"/>
        </w:rPr>
        <w:t>r</w:t>
      </w:r>
      <w:r>
        <w:rPr>
          <w:rFonts w:eastAsiaTheme="minorHAnsi"/>
          <w:color w:val="000000" w:themeColor="text1"/>
          <w:lang w:eastAsia="en-US"/>
        </w:rPr>
        <w:t xml:space="preserve">evizije NIP-a </w:t>
      </w:r>
      <w:r w:rsidR="009403D8">
        <w:rPr>
          <w:rFonts w:eastAsiaTheme="minorHAnsi"/>
          <w:color w:val="000000" w:themeColor="text1"/>
          <w:lang w:eastAsia="en-US"/>
        </w:rPr>
        <w:t>bilo je od 16. srpnja 2014. do 16. srpnja 2016. godine, a Projekt je zatim produžen do 31. prosinca 2017. godine. Z</w:t>
      </w:r>
      <w:r w:rsidR="009403D8" w:rsidRPr="009403D8">
        <w:rPr>
          <w:rFonts w:eastAsiaTheme="minorHAnsi"/>
          <w:color w:val="000000" w:themeColor="text1"/>
          <w:lang w:eastAsia="en-US"/>
        </w:rPr>
        <w:t xml:space="preserve">a provedbu Projekta predložena je nadogradnja i primjena postojećeg mehanizma upravljanja </w:t>
      </w:r>
      <w:proofErr w:type="spellStart"/>
      <w:r w:rsidR="009403D8" w:rsidRPr="009403D8">
        <w:rPr>
          <w:rFonts w:eastAsiaTheme="minorHAnsi"/>
          <w:color w:val="000000" w:themeColor="text1"/>
          <w:lang w:eastAsia="en-US"/>
        </w:rPr>
        <w:t>POPs</w:t>
      </w:r>
      <w:proofErr w:type="spellEnd"/>
      <w:r w:rsidR="009403D8" w:rsidRPr="009403D8">
        <w:rPr>
          <w:rFonts w:eastAsiaTheme="minorHAnsi"/>
          <w:color w:val="000000" w:themeColor="text1"/>
          <w:lang w:eastAsia="en-US"/>
        </w:rPr>
        <w:t xml:space="preserve">-ovima uzimajući u obzir cijeli životni ciklus </w:t>
      </w:r>
      <w:proofErr w:type="spellStart"/>
      <w:r w:rsidR="009403D8" w:rsidRPr="009403D8">
        <w:rPr>
          <w:rFonts w:eastAsiaTheme="minorHAnsi"/>
          <w:color w:val="000000" w:themeColor="text1"/>
          <w:lang w:eastAsia="en-US"/>
        </w:rPr>
        <w:t>POPs</w:t>
      </w:r>
      <w:proofErr w:type="spellEnd"/>
      <w:r w:rsidR="009403D8" w:rsidRPr="009403D8">
        <w:rPr>
          <w:rFonts w:eastAsiaTheme="minorHAnsi"/>
          <w:color w:val="000000" w:themeColor="text1"/>
          <w:lang w:eastAsia="en-US"/>
        </w:rPr>
        <w:t>-ova (aktivna tvar do otpada/zaliha)</w:t>
      </w:r>
      <w:r w:rsidR="009403D8">
        <w:rPr>
          <w:rFonts w:eastAsiaTheme="minorHAnsi"/>
          <w:color w:val="000000" w:themeColor="text1"/>
          <w:lang w:eastAsia="en-US"/>
        </w:rPr>
        <w:t>. Od aktivnosti koje su provedene u sklopu Projekta valja istaknuti:</w:t>
      </w:r>
    </w:p>
    <w:p w14:paraId="69A0A975" w14:textId="4D4E93DA" w:rsidR="009403D8" w:rsidRDefault="009403D8" w:rsidP="009403D8">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5 sastanaka </w:t>
      </w:r>
      <w:r w:rsidRPr="009403D8">
        <w:rPr>
          <w:rFonts w:eastAsiaTheme="minorHAnsi"/>
          <w:color w:val="000000" w:themeColor="text1"/>
          <w:lang w:eastAsia="en-US"/>
        </w:rPr>
        <w:t xml:space="preserve">Povjerenstva za praćenje provedbe </w:t>
      </w:r>
      <w:r>
        <w:rPr>
          <w:rFonts w:eastAsiaTheme="minorHAnsi"/>
          <w:color w:val="000000" w:themeColor="text1"/>
          <w:lang w:eastAsia="en-US"/>
        </w:rPr>
        <w:t>P</w:t>
      </w:r>
      <w:r w:rsidRPr="009403D8">
        <w:rPr>
          <w:rFonts w:eastAsiaTheme="minorHAnsi"/>
          <w:color w:val="000000" w:themeColor="text1"/>
          <w:lang w:eastAsia="en-US"/>
        </w:rPr>
        <w:t>rojekta</w:t>
      </w:r>
    </w:p>
    <w:p w14:paraId="60847DD4" w14:textId="68A2E9DE" w:rsidR="005F3F85" w:rsidRPr="00DA6ED9" w:rsidRDefault="005F3F85" w:rsidP="00DA6ED9">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5 radionica koje je </w:t>
      </w:r>
      <w:r w:rsidR="00DA6ED9">
        <w:rPr>
          <w:rFonts w:eastAsiaTheme="minorHAnsi"/>
          <w:color w:val="000000" w:themeColor="text1"/>
          <w:lang w:eastAsia="en-US"/>
        </w:rPr>
        <w:t xml:space="preserve">Ministarstvo zaštite okoliša i prirode – </w:t>
      </w:r>
      <w:r w:rsidRPr="00DA6ED9">
        <w:rPr>
          <w:rFonts w:eastAsiaTheme="minorHAnsi"/>
          <w:color w:val="000000" w:themeColor="text1"/>
          <w:lang w:eastAsia="en-US"/>
        </w:rPr>
        <w:t>MZOIP</w:t>
      </w:r>
      <w:r w:rsidR="00DA6ED9">
        <w:rPr>
          <w:rFonts w:eastAsiaTheme="minorHAnsi"/>
          <w:color w:val="000000" w:themeColor="text1"/>
          <w:lang w:eastAsia="en-US"/>
        </w:rPr>
        <w:t>, odnosno, Ministarstvo zaštite okoliša i energetike – MZOE,</w:t>
      </w:r>
      <w:r w:rsidRPr="00DA6ED9">
        <w:rPr>
          <w:rFonts w:eastAsiaTheme="minorHAnsi"/>
          <w:color w:val="000000" w:themeColor="text1"/>
          <w:lang w:eastAsia="en-US"/>
        </w:rPr>
        <w:t xml:space="preserve"> organiziralo u suradnji s Hrvatskom gospodarskom komorom, Zagreb i Županijskom komorom Split</w:t>
      </w:r>
    </w:p>
    <w:p w14:paraId="7417BB1D" w14:textId="64EC83AD" w:rsidR="005F3F85" w:rsidRPr="005F3F85" w:rsidRDefault="005F3F85" w:rsidP="005F3F85">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1 radionica u organizaciji MZOIP-a </w:t>
      </w:r>
    </w:p>
    <w:p w14:paraId="0CDEE469" w14:textId="09685918" w:rsidR="005F3F85" w:rsidRPr="005F3F85" w:rsidRDefault="00425984" w:rsidP="005F3F85">
      <w:pPr>
        <w:pStyle w:val="Odlomakpopisa"/>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C</w:t>
      </w:r>
      <w:r w:rsidR="005F3F85" w:rsidRPr="005F3F85">
        <w:rPr>
          <w:rFonts w:eastAsiaTheme="minorHAnsi"/>
          <w:color w:val="000000" w:themeColor="text1"/>
          <w:lang w:eastAsia="en-US"/>
        </w:rPr>
        <w:t>ilj Radionice</w:t>
      </w:r>
      <w:r>
        <w:rPr>
          <w:rFonts w:eastAsiaTheme="minorHAnsi"/>
          <w:color w:val="000000" w:themeColor="text1"/>
          <w:lang w:eastAsia="en-US"/>
        </w:rPr>
        <w:t xml:space="preserve"> bio je</w:t>
      </w:r>
      <w:r w:rsidR="005F3F85" w:rsidRPr="005F3F85">
        <w:rPr>
          <w:rFonts w:eastAsiaTheme="minorHAnsi"/>
          <w:color w:val="000000" w:themeColor="text1"/>
          <w:lang w:eastAsia="en-US"/>
        </w:rPr>
        <w:t xml:space="preserve"> jačanje svijesti o štetnosti </w:t>
      </w:r>
      <w:proofErr w:type="spellStart"/>
      <w:r w:rsidR="005F3F85" w:rsidRPr="005F3F85">
        <w:rPr>
          <w:rFonts w:eastAsiaTheme="minorHAnsi"/>
          <w:color w:val="000000" w:themeColor="text1"/>
          <w:lang w:eastAsia="en-US"/>
        </w:rPr>
        <w:t>POPs</w:t>
      </w:r>
      <w:proofErr w:type="spellEnd"/>
      <w:r w:rsidR="005F3F85" w:rsidRPr="005F3F85">
        <w:rPr>
          <w:rFonts w:eastAsiaTheme="minorHAnsi"/>
          <w:color w:val="000000" w:themeColor="text1"/>
          <w:lang w:eastAsia="en-US"/>
        </w:rPr>
        <w:t xml:space="preserve">-ova i mogućnostima unaprjeđenja postojećeg sustava praćenja/monitoringa </w:t>
      </w:r>
      <w:proofErr w:type="spellStart"/>
      <w:r w:rsidR="005F3F85" w:rsidRPr="005F3F85">
        <w:rPr>
          <w:rFonts w:eastAsiaTheme="minorHAnsi"/>
          <w:color w:val="000000" w:themeColor="text1"/>
          <w:lang w:eastAsia="en-US"/>
        </w:rPr>
        <w:t>POPs</w:t>
      </w:r>
      <w:proofErr w:type="spellEnd"/>
      <w:r w:rsidR="005F3F85" w:rsidRPr="005F3F85">
        <w:rPr>
          <w:rFonts w:eastAsiaTheme="minorHAnsi"/>
          <w:color w:val="000000" w:themeColor="text1"/>
          <w:lang w:eastAsia="en-US"/>
        </w:rPr>
        <w:t xml:space="preserve">-ova u okolišu. U tu svrhu je i dalje neophodno raditi na jačanju međuresorne suradnje i suradnje sa znanstveno-istraživačkim institucijama kako bi se povećao broj analiza i dobilo što više podataka za kvalitetnije praćenje učinkovitosti provedbe same Konvencije. </w:t>
      </w:r>
    </w:p>
    <w:p w14:paraId="448F0C20" w14:textId="17B8A892" w:rsidR="005F3F85" w:rsidRDefault="005F3F85" w:rsidP="005F3F85">
      <w:pPr>
        <w:pStyle w:val="Odlomakpopisa"/>
        <w:tabs>
          <w:tab w:val="left" w:pos="3119"/>
        </w:tabs>
        <w:spacing w:after="120" w:line="300" w:lineRule="exact"/>
        <w:jc w:val="both"/>
        <w:rPr>
          <w:rFonts w:eastAsiaTheme="minorHAnsi"/>
          <w:color w:val="000000" w:themeColor="text1"/>
          <w:lang w:eastAsia="en-US"/>
        </w:rPr>
      </w:pPr>
      <w:r w:rsidRPr="005F3F85">
        <w:rPr>
          <w:rFonts w:eastAsiaTheme="minorHAnsi"/>
          <w:color w:val="000000" w:themeColor="text1"/>
          <w:lang w:eastAsia="en-US"/>
        </w:rPr>
        <w:t xml:space="preserve">Sudionici radionice su bili predstavnici javnozdravstvenih ustanova, znanstveno-istraživačkih institucija i institucija s javnim ovlastima, uz predstavnike Ministarstva kao nacionalne kontakt točke za </w:t>
      </w:r>
      <w:proofErr w:type="spellStart"/>
      <w:r w:rsidRPr="005F3F85">
        <w:rPr>
          <w:rFonts w:eastAsiaTheme="minorHAnsi"/>
          <w:color w:val="000000" w:themeColor="text1"/>
          <w:lang w:eastAsia="en-US"/>
        </w:rPr>
        <w:t>Stockholmsku</w:t>
      </w:r>
      <w:proofErr w:type="spellEnd"/>
      <w:r w:rsidRPr="005F3F85">
        <w:rPr>
          <w:rFonts w:eastAsiaTheme="minorHAnsi"/>
          <w:color w:val="000000" w:themeColor="text1"/>
          <w:lang w:eastAsia="en-US"/>
        </w:rPr>
        <w:t xml:space="preserve"> konvenciju u Republici Hrvatskoj.</w:t>
      </w:r>
    </w:p>
    <w:p w14:paraId="562A5A4E" w14:textId="3FE44759" w:rsidR="00C4104C" w:rsidRDefault="00425984" w:rsidP="00425984">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s</w:t>
      </w:r>
      <w:r w:rsidR="005F3F85" w:rsidRPr="005F3F85">
        <w:rPr>
          <w:rFonts w:eastAsiaTheme="minorHAnsi"/>
          <w:color w:val="000000" w:themeColor="text1"/>
          <w:lang w:eastAsia="en-US"/>
        </w:rPr>
        <w:t>udjelovanje predstavnika</w:t>
      </w:r>
      <w:r w:rsidR="005F3F85">
        <w:rPr>
          <w:rFonts w:eastAsiaTheme="minorHAnsi"/>
          <w:color w:val="000000" w:themeColor="text1"/>
          <w:lang w:eastAsia="en-US"/>
        </w:rPr>
        <w:t xml:space="preserve"> MZOIP-a </w:t>
      </w:r>
      <w:r>
        <w:rPr>
          <w:rFonts w:eastAsiaTheme="minorHAnsi"/>
          <w:color w:val="000000" w:themeColor="text1"/>
          <w:lang w:eastAsia="en-US"/>
        </w:rPr>
        <w:t xml:space="preserve"> na </w:t>
      </w:r>
      <w:r w:rsidR="005F3F85" w:rsidRPr="005F3F85">
        <w:rPr>
          <w:rFonts w:eastAsiaTheme="minorHAnsi"/>
          <w:color w:val="000000" w:themeColor="text1"/>
          <w:lang w:eastAsia="en-US"/>
        </w:rPr>
        <w:t>12. ljetn</w:t>
      </w:r>
      <w:r>
        <w:rPr>
          <w:rFonts w:eastAsiaTheme="minorHAnsi"/>
          <w:color w:val="000000" w:themeColor="text1"/>
          <w:lang w:eastAsia="en-US"/>
        </w:rPr>
        <w:t>oj</w:t>
      </w:r>
      <w:r w:rsidR="005F3F85" w:rsidRPr="005F3F85">
        <w:rPr>
          <w:rFonts w:eastAsiaTheme="minorHAnsi"/>
          <w:color w:val="000000" w:themeColor="text1"/>
          <w:lang w:eastAsia="en-US"/>
        </w:rPr>
        <w:t xml:space="preserve"> škol</w:t>
      </w:r>
      <w:r>
        <w:rPr>
          <w:rFonts w:eastAsiaTheme="minorHAnsi"/>
          <w:color w:val="000000" w:themeColor="text1"/>
          <w:lang w:eastAsia="en-US"/>
        </w:rPr>
        <w:t>i</w:t>
      </w:r>
      <w:r w:rsidR="005F3F85" w:rsidRPr="005F3F85">
        <w:rPr>
          <w:rFonts w:eastAsiaTheme="minorHAnsi"/>
          <w:color w:val="000000" w:themeColor="text1"/>
          <w:lang w:eastAsia="en-US"/>
        </w:rPr>
        <w:t xml:space="preserve"> o toksičnim tvarima u okolišu 2016</w:t>
      </w:r>
      <w:r w:rsidR="00131A44">
        <w:rPr>
          <w:rFonts w:eastAsiaTheme="minorHAnsi"/>
          <w:color w:val="000000" w:themeColor="text1"/>
          <w:lang w:eastAsia="en-US"/>
        </w:rPr>
        <w:t>. godine</w:t>
      </w:r>
      <w:r w:rsidR="005F3F85" w:rsidRPr="005F3F85">
        <w:rPr>
          <w:rFonts w:eastAsiaTheme="minorHAnsi"/>
          <w:color w:val="000000" w:themeColor="text1"/>
          <w:lang w:eastAsia="en-US"/>
        </w:rPr>
        <w:t xml:space="preserve"> (13.-18. lipnja 2016.)</w:t>
      </w:r>
      <w:r>
        <w:rPr>
          <w:rFonts w:eastAsiaTheme="minorHAnsi"/>
          <w:color w:val="000000" w:themeColor="text1"/>
          <w:lang w:eastAsia="en-US"/>
        </w:rPr>
        <w:t xml:space="preserve"> u organizaciji </w:t>
      </w:r>
      <w:r w:rsidRPr="00425984">
        <w:rPr>
          <w:rFonts w:eastAsiaTheme="minorHAnsi"/>
          <w:color w:val="000000" w:themeColor="text1"/>
          <w:lang w:eastAsia="en-US"/>
        </w:rPr>
        <w:t>Istraživačkog centra za toksične tvari u okolišu (RECETOX) u suradnji s tajništvom Stockholmske konvencije i Ministarstvom okoliša Republike Češke</w:t>
      </w:r>
    </w:p>
    <w:p w14:paraId="42D1EDA5" w14:textId="64562DF7" w:rsidR="00425984" w:rsidRDefault="00425984" w:rsidP="00425984">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3 brošure (vodiča) s ciljem jačanja svijesti javnosti o </w:t>
      </w:r>
      <w:proofErr w:type="spellStart"/>
      <w:r>
        <w:rPr>
          <w:rFonts w:eastAsiaTheme="minorHAnsi"/>
          <w:color w:val="000000" w:themeColor="text1"/>
          <w:lang w:eastAsia="en-US"/>
        </w:rPr>
        <w:t>POPs</w:t>
      </w:r>
      <w:proofErr w:type="spellEnd"/>
      <w:r>
        <w:rPr>
          <w:rFonts w:eastAsiaTheme="minorHAnsi"/>
          <w:color w:val="000000" w:themeColor="text1"/>
          <w:lang w:eastAsia="en-US"/>
        </w:rPr>
        <w:t>-ovima</w:t>
      </w:r>
    </w:p>
    <w:p w14:paraId="592E4D92" w14:textId="1598AE3E" w:rsidR="00425984" w:rsidRDefault="00425984" w:rsidP="00425984">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prijevodi tehničkih smjernica </w:t>
      </w:r>
      <w:r w:rsidRPr="00425984">
        <w:rPr>
          <w:rFonts w:eastAsiaTheme="minorHAnsi"/>
          <w:color w:val="000000" w:themeColor="text1"/>
          <w:lang w:eastAsia="en-US"/>
        </w:rPr>
        <w:t>za okolišno prihvatljivo gospodarenje otpadom koji se sastoji od, sadrži ili je onečišćen postojanim organskim onečišćujućim tvarima</w:t>
      </w:r>
      <w:r>
        <w:rPr>
          <w:rFonts w:eastAsiaTheme="minorHAnsi"/>
          <w:color w:val="000000" w:themeColor="text1"/>
          <w:lang w:eastAsia="en-US"/>
        </w:rPr>
        <w:t xml:space="preserve"> (više smjernica ovisno o </w:t>
      </w:r>
      <w:proofErr w:type="spellStart"/>
      <w:r>
        <w:rPr>
          <w:rFonts w:eastAsiaTheme="minorHAnsi"/>
          <w:color w:val="000000" w:themeColor="text1"/>
          <w:lang w:eastAsia="en-US"/>
        </w:rPr>
        <w:t>POPs</w:t>
      </w:r>
      <w:proofErr w:type="spellEnd"/>
      <w:r>
        <w:rPr>
          <w:rFonts w:eastAsiaTheme="minorHAnsi"/>
          <w:color w:val="000000" w:themeColor="text1"/>
          <w:lang w:eastAsia="en-US"/>
        </w:rPr>
        <w:t>-ovima)</w:t>
      </w:r>
    </w:p>
    <w:p w14:paraId="1D613E0B" w14:textId="49498C37" w:rsidR="00425984" w:rsidRDefault="00425984" w:rsidP="00425984">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plakati</w:t>
      </w:r>
    </w:p>
    <w:p w14:paraId="32087ED9" w14:textId="30596AF5" w:rsidR="00425984" w:rsidRDefault="00425984" w:rsidP="00DC5A62">
      <w:pPr>
        <w:pStyle w:val="Odlomakpopisa"/>
        <w:numPr>
          <w:ilvl w:val="0"/>
          <w:numId w:val="32"/>
        </w:num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t xml:space="preserve">promidžbeni materijali </w:t>
      </w:r>
      <w:r w:rsidR="00DC5A62">
        <w:rPr>
          <w:rFonts w:eastAsiaTheme="minorHAnsi"/>
          <w:color w:val="000000" w:themeColor="text1"/>
          <w:lang w:eastAsia="en-US"/>
        </w:rPr>
        <w:t>(š</w:t>
      </w:r>
      <w:r w:rsidRPr="00425984">
        <w:rPr>
          <w:rFonts w:eastAsiaTheme="minorHAnsi"/>
          <w:color w:val="000000" w:themeColor="text1"/>
          <w:lang w:eastAsia="en-US"/>
        </w:rPr>
        <w:t>alic</w:t>
      </w:r>
      <w:r w:rsidR="00131A44">
        <w:rPr>
          <w:rFonts w:eastAsiaTheme="minorHAnsi"/>
          <w:color w:val="000000" w:themeColor="text1"/>
          <w:lang w:eastAsia="en-US"/>
        </w:rPr>
        <w:t>e</w:t>
      </w:r>
      <w:r w:rsidR="00DC5A62">
        <w:rPr>
          <w:rFonts w:eastAsiaTheme="minorHAnsi"/>
          <w:color w:val="000000" w:themeColor="text1"/>
          <w:lang w:eastAsia="en-US"/>
        </w:rPr>
        <w:t>, v</w:t>
      </w:r>
      <w:r w:rsidRPr="00DC5A62">
        <w:rPr>
          <w:rFonts w:eastAsiaTheme="minorHAnsi"/>
          <w:color w:val="000000" w:themeColor="text1"/>
          <w:lang w:eastAsia="en-US"/>
        </w:rPr>
        <w:t>rećic</w:t>
      </w:r>
      <w:r w:rsidR="00131A44">
        <w:rPr>
          <w:rFonts w:eastAsiaTheme="minorHAnsi"/>
          <w:color w:val="000000" w:themeColor="text1"/>
          <w:lang w:eastAsia="en-US"/>
        </w:rPr>
        <w:t>e</w:t>
      </w:r>
      <w:r w:rsidR="00DC5A62">
        <w:rPr>
          <w:rFonts w:eastAsiaTheme="minorHAnsi"/>
          <w:color w:val="000000" w:themeColor="text1"/>
          <w:lang w:eastAsia="en-US"/>
        </w:rPr>
        <w:t>, m</w:t>
      </w:r>
      <w:r w:rsidRPr="00DC5A62">
        <w:rPr>
          <w:rFonts w:eastAsiaTheme="minorHAnsi"/>
          <w:color w:val="000000" w:themeColor="text1"/>
          <w:lang w:eastAsia="en-US"/>
        </w:rPr>
        <w:t>ajic</w:t>
      </w:r>
      <w:r w:rsidR="00131A44">
        <w:rPr>
          <w:rFonts w:eastAsiaTheme="minorHAnsi"/>
          <w:color w:val="000000" w:themeColor="text1"/>
          <w:lang w:eastAsia="en-US"/>
        </w:rPr>
        <w:t>e</w:t>
      </w:r>
      <w:r w:rsidR="00DC5A62">
        <w:rPr>
          <w:rFonts w:eastAsiaTheme="minorHAnsi"/>
          <w:color w:val="000000" w:themeColor="text1"/>
          <w:lang w:eastAsia="en-US"/>
        </w:rPr>
        <w:t>, b</w:t>
      </w:r>
      <w:r w:rsidRPr="00DC5A62">
        <w:rPr>
          <w:rFonts w:eastAsiaTheme="minorHAnsi"/>
          <w:color w:val="000000" w:themeColor="text1"/>
          <w:lang w:eastAsia="en-US"/>
        </w:rPr>
        <w:t>lok</w:t>
      </w:r>
      <w:r w:rsidR="00131A44">
        <w:rPr>
          <w:rFonts w:eastAsiaTheme="minorHAnsi"/>
          <w:color w:val="000000" w:themeColor="text1"/>
          <w:lang w:eastAsia="en-US"/>
        </w:rPr>
        <w:t>ovi</w:t>
      </w:r>
      <w:r w:rsidRPr="00DC5A62">
        <w:rPr>
          <w:rFonts w:eastAsiaTheme="minorHAnsi"/>
          <w:color w:val="000000" w:themeColor="text1"/>
          <w:lang w:eastAsia="en-US"/>
        </w:rPr>
        <w:t xml:space="preserve"> za pisanje</w:t>
      </w:r>
      <w:r w:rsidR="00DC5A62">
        <w:rPr>
          <w:rFonts w:eastAsiaTheme="minorHAnsi"/>
          <w:color w:val="000000" w:themeColor="text1"/>
          <w:lang w:eastAsia="en-US"/>
        </w:rPr>
        <w:t>, n</w:t>
      </w:r>
      <w:r w:rsidRPr="00DC5A62">
        <w:rPr>
          <w:rFonts w:eastAsiaTheme="minorHAnsi"/>
          <w:color w:val="000000" w:themeColor="text1"/>
          <w:lang w:eastAsia="en-US"/>
        </w:rPr>
        <w:t>otes</w:t>
      </w:r>
      <w:r w:rsidR="00131A44">
        <w:rPr>
          <w:rFonts w:eastAsiaTheme="minorHAnsi"/>
          <w:color w:val="000000" w:themeColor="text1"/>
          <w:lang w:eastAsia="en-US"/>
        </w:rPr>
        <w:t>i</w:t>
      </w:r>
      <w:r w:rsidR="00DC5A62">
        <w:rPr>
          <w:rFonts w:eastAsiaTheme="minorHAnsi"/>
          <w:color w:val="000000" w:themeColor="text1"/>
          <w:lang w:eastAsia="en-US"/>
        </w:rPr>
        <w:t>, k</w:t>
      </w:r>
      <w:r w:rsidRPr="00DC5A62">
        <w:rPr>
          <w:rFonts w:eastAsiaTheme="minorHAnsi"/>
          <w:color w:val="000000" w:themeColor="text1"/>
          <w:lang w:eastAsia="en-US"/>
        </w:rPr>
        <w:t>emijsk</w:t>
      </w:r>
      <w:r w:rsidR="00131A44">
        <w:rPr>
          <w:rFonts w:eastAsiaTheme="minorHAnsi"/>
          <w:color w:val="000000" w:themeColor="text1"/>
          <w:lang w:eastAsia="en-US"/>
        </w:rPr>
        <w:t>e</w:t>
      </w:r>
      <w:r w:rsidRPr="00DC5A62">
        <w:rPr>
          <w:rFonts w:eastAsiaTheme="minorHAnsi"/>
          <w:color w:val="000000" w:themeColor="text1"/>
          <w:lang w:eastAsia="en-US"/>
        </w:rPr>
        <w:t xml:space="preserve"> olovk</w:t>
      </w:r>
      <w:r w:rsidR="00131A44">
        <w:rPr>
          <w:rFonts w:eastAsiaTheme="minorHAnsi"/>
          <w:color w:val="000000" w:themeColor="text1"/>
          <w:lang w:eastAsia="en-US"/>
        </w:rPr>
        <w:t>e</w:t>
      </w:r>
      <w:r w:rsidR="00DC5A62">
        <w:rPr>
          <w:rFonts w:eastAsiaTheme="minorHAnsi"/>
          <w:color w:val="000000" w:themeColor="text1"/>
          <w:lang w:eastAsia="en-US"/>
        </w:rPr>
        <w:t>).</w:t>
      </w:r>
    </w:p>
    <w:p w14:paraId="06D701C0" w14:textId="7377BF36" w:rsidR="008A6693" w:rsidRDefault="008A6693" w:rsidP="008A6693">
      <w:pPr>
        <w:tabs>
          <w:tab w:val="left" w:pos="3119"/>
        </w:tabs>
        <w:spacing w:after="120" w:line="300" w:lineRule="exact"/>
        <w:jc w:val="both"/>
        <w:rPr>
          <w:rFonts w:eastAsiaTheme="minorHAnsi"/>
          <w:color w:val="000000" w:themeColor="text1"/>
          <w:lang w:eastAsia="en-US"/>
        </w:rPr>
      </w:pPr>
      <w:r w:rsidRPr="008A6693">
        <w:rPr>
          <w:rFonts w:eastAsiaTheme="minorHAnsi"/>
          <w:color w:val="000000" w:themeColor="text1"/>
          <w:lang w:eastAsia="en-US"/>
        </w:rPr>
        <w:t>Sve brošure, prijevodi tehničkih smjernica kao i prezentacije s održanih radionica mogu se naći na web stranicama Ministarstva zaštite okoliša i energetike www. mzoe.hr pod Zrak/Postojane organske onečišćujuće tvari/Revizija Nacionalnog plana za provedbu Stockholmske konvencije</w:t>
      </w:r>
      <w:r>
        <w:rPr>
          <w:rFonts w:eastAsiaTheme="minorHAnsi"/>
          <w:color w:val="000000" w:themeColor="text1"/>
          <w:lang w:eastAsia="en-US"/>
        </w:rPr>
        <w:t>.</w:t>
      </w:r>
    </w:p>
    <w:p w14:paraId="53EF77D2" w14:textId="04A64D1E" w:rsidR="00DD13B5" w:rsidRPr="008A6693" w:rsidRDefault="00DD13B5" w:rsidP="008A6693">
      <w:pPr>
        <w:tabs>
          <w:tab w:val="left" w:pos="3119"/>
        </w:tabs>
        <w:spacing w:after="120" w:line="300" w:lineRule="exact"/>
        <w:jc w:val="both"/>
        <w:rPr>
          <w:rFonts w:eastAsiaTheme="minorHAnsi"/>
          <w:color w:val="000000" w:themeColor="text1"/>
          <w:lang w:eastAsia="en-US"/>
        </w:rPr>
      </w:pPr>
      <w:r>
        <w:rPr>
          <w:rFonts w:eastAsiaTheme="minorHAnsi"/>
          <w:color w:val="000000" w:themeColor="text1"/>
          <w:lang w:eastAsia="en-US"/>
        </w:rPr>
        <w:lastRenderedPageBreak/>
        <w:t xml:space="preserve">U srpnju 2017. godine </w:t>
      </w:r>
      <w:r w:rsidR="007B70A8" w:rsidRPr="007B70A8">
        <w:rPr>
          <w:rFonts w:eastAsiaTheme="minorHAnsi"/>
          <w:color w:val="000000" w:themeColor="text1"/>
          <w:lang w:eastAsia="en-US"/>
        </w:rPr>
        <w:t xml:space="preserve">osnovana je Radna skupina za </w:t>
      </w:r>
      <w:r w:rsidR="007B70A8">
        <w:rPr>
          <w:rFonts w:eastAsiaTheme="minorHAnsi"/>
          <w:color w:val="000000" w:themeColor="text1"/>
          <w:lang w:eastAsia="en-US"/>
        </w:rPr>
        <w:t xml:space="preserve">praćenje ispunjavanja obveza </w:t>
      </w:r>
      <w:r>
        <w:rPr>
          <w:rFonts w:eastAsiaTheme="minorHAnsi"/>
          <w:color w:val="000000" w:themeColor="text1"/>
          <w:lang w:eastAsia="en-US"/>
        </w:rPr>
        <w:t xml:space="preserve">na temelju </w:t>
      </w:r>
      <w:r w:rsidRPr="00DD13B5">
        <w:rPr>
          <w:rFonts w:eastAsiaTheme="minorHAnsi"/>
          <w:color w:val="000000" w:themeColor="text1"/>
          <w:lang w:eastAsia="en-US"/>
        </w:rPr>
        <w:t>Odluk</w:t>
      </w:r>
      <w:r w:rsidR="007B70A8">
        <w:rPr>
          <w:rFonts w:eastAsiaTheme="minorHAnsi"/>
          <w:color w:val="000000" w:themeColor="text1"/>
          <w:lang w:eastAsia="en-US"/>
        </w:rPr>
        <w:t>e</w:t>
      </w:r>
      <w:r w:rsidRPr="00DD13B5">
        <w:rPr>
          <w:rFonts w:eastAsiaTheme="minorHAnsi"/>
          <w:color w:val="000000" w:themeColor="text1"/>
          <w:lang w:eastAsia="en-US"/>
        </w:rPr>
        <w:t xml:space="preserve"> o prihvaćanju Drugog nacionalnog plana za provedbu Stockholmske konvencije o postojanim organskim onečišćujućim tvarima</w:t>
      </w:r>
      <w:r w:rsidR="007B70A8">
        <w:rPr>
          <w:rFonts w:eastAsiaTheme="minorHAnsi"/>
          <w:color w:val="000000" w:themeColor="text1"/>
          <w:lang w:eastAsia="en-US"/>
        </w:rPr>
        <w:t xml:space="preserve"> </w:t>
      </w:r>
      <w:r w:rsidR="007B70A8" w:rsidRPr="007B70A8">
        <w:rPr>
          <w:rFonts w:eastAsiaTheme="minorHAnsi"/>
          <w:color w:val="000000" w:themeColor="text1"/>
          <w:lang w:eastAsia="en-US"/>
        </w:rPr>
        <w:t>(Narodne novine, broj 62/16)</w:t>
      </w:r>
      <w:r w:rsidR="007B70A8">
        <w:rPr>
          <w:rFonts w:eastAsiaTheme="minorHAnsi"/>
          <w:color w:val="000000" w:themeColor="text1"/>
          <w:lang w:eastAsia="en-US"/>
        </w:rPr>
        <w:t>. Ovo izvješće izrađeno je u suradnji s imenovanim članovima.</w:t>
      </w:r>
    </w:p>
    <w:p w14:paraId="19168BD2" w14:textId="49959A73" w:rsidR="001D1A7C" w:rsidRPr="008A6693" w:rsidRDefault="001535E7" w:rsidP="008A6693">
      <w:pPr>
        <w:spacing w:after="120"/>
        <w:jc w:val="both"/>
      </w:pPr>
      <w:r>
        <w:t>T</w:t>
      </w:r>
      <w:r w:rsidR="00BA458D" w:rsidRPr="00DC5A62">
        <w:t>emelj</w:t>
      </w:r>
      <w:r>
        <w:t>em</w:t>
      </w:r>
      <w:r w:rsidR="00BA458D" w:rsidRPr="00DC5A62">
        <w:t xml:space="preserve"> članka 15. Konvencije </w:t>
      </w:r>
      <w:r w:rsidR="001D1A7C" w:rsidRPr="00DC5A62">
        <w:t>n</w:t>
      </w:r>
      <w:r w:rsidR="00BA458D" w:rsidRPr="00DC5A62">
        <w:t>adležna kontakt točka</w:t>
      </w:r>
      <w:r w:rsidR="001D1A7C" w:rsidRPr="00DC5A62">
        <w:t xml:space="preserve">; Ministarstvo zaštite okoliša i prirode u rujnu 2014. godine dostavilo </w:t>
      </w:r>
      <w:r>
        <w:t xml:space="preserve">je </w:t>
      </w:r>
      <w:r w:rsidR="001D1A7C" w:rsidRPr="00DC5A62">
        <w:t>Tajništvu konvencije redovno treće</w:t>
      </w:r>
      <w:r>
        <w:t xml:space="preserve"> elektroničko</w:t>
      </w:r>
      <w:r w:rsidR="001D1A7C" w:rsidRPr="00DC5A62">
        <w:t xml:space="preserve"> Izvješće o provedbi </w:t>
      </w:r>
      <w:r w:rsidR="00BA458D" w:rsidRPr="00DC5A62">
        <w:t>obveza propisanih Konvencijom</w:t>
      </w:r>
      <w:r w:rsidR="001D1A7C" w:rsidRPr="00DC5A62">
        <w:t xml:space="preserve">. </w:t>
      </w:r>
      <w:r w:rsidR="008A6693">
        <w:t>Sljedeće četvrto</w:t>
      </w:r>
      <w:r w:rsidR="008A6693" w:rsidRPr="008A6693">
        <w:t xml:space="preserve"> Izvješće</w:t>
      </w:r>
      <w:r w:rsidR="008A6693">
        <w:t xml:space="preserve"> bit će potrebno izraditi i dostaviti </w:t>
      </w:r>
      <w:r w:rsidR="008A6693" w:rsidRPr="008A6693">
        <w:t>Tajništvu konvencije</w:t>
      </w:r>
      <w:r w:rsidR="008A6693">
        <w:t xml:space="preserve"> 2018. godine.</w:t>
      </w:r>
    </w:p>
    <w:p w14:paraId="5D1CC087" w14:textId="2EBFBD90" w:rsidR="00317EE7" w:rsidRDefault="00317EE7" w:rsidP="00D55E4A">
      <w:pPr>
        <w:spacing w:after="120"/>
        <w:jc w:val="both"/>
      </w:pPr>
      <w:r w:rsidRPr="00DC5A62">
        <w:t xml:space="preserve">Osim što je stranka </w:t>
      </w:r>
      <w:r w:rsidR="004B44BB" w:rsidRPr="00DC5A62">
        <w:t xml:space="preserve">predmetne </w:t>
      </w:r>
      <w:r w:rsidRPr="00DC5A62">
        <w:t>Konvencije</w:t>
      </w:r>
      <w:r w:rsidR="00DA6ED9">
        <w:t>,</w:t>
      </w:r>
      <w:r w:rsidRPr="00DC5A62">
        <w:t xml:space="preserve"> Republika Hrvatska</w:t>
      </w:r>
      <w:r w:rsidR="001535E7">
        <w:t xml:space="preserve"> je</w:t>
      </w:r>
      <w:r w:rsidRPr="00DC5A62">
        <w:t xml:space="preserve"> stranka i blisko povezanog Protokola o postojanim organskim onečišćujućim tvarima </w:t>
      </w:r>
      <w:r w:rsidR="004B44BB" w:rsidRPr="00DC5A62">
        <w:t>(</w:t>
      </w:r>
      <w:r w:rsidR="0058410C" w:rsidRPr="00DC5A62">
        <w:t xml:space="preserve">u daljnjem tekstu: </w:t>
      </w:r>
      <w:r w:rsidR="004B44BB" w:rsidRPr="00DC5A62">
        <w:t xml:space="preserve">Protokol o </w:t>
      </w:r>
      <w:proofErr w:type="spellStart"/>
      <w:r w:rsidR="004B44BB" w:rsidRPr="00DC5A62">
        <w:t>POPs</w:t>
      </w:r>
      <w:proofErr w:type="spellEnd"/>
      <w:r w:rsidR="004B44BB" w:rsidRPr="00DC5A62">
        <w:t>-ovima)</w:t>
      </w:r>
      <w:r w:rsidRPr="00DC5A62">
        <w:t xml:space="preserve"> </w:t>
      </w:r>
      <w:r w:rsidR="004B44BB" w:rsidRPr="00DC5A62">
        <w:t xml:space="preserve">uz </w:t>
      </w:r>
      <w:r w:rsidR="00A456A2" w:rsidRPr="00DC5A62">
        <w:t>Konvenciju o dalekosežnom prekograničnom onečišćenju zraka iz 1979. godine (</w:t>
      </w:r>
      <w:r w:rsidR="004B44BB" w:rsidRPr="00DC5A62">
        <w:t>LRTAP Konvencij</w:t>
      </w:r>
      <w:r w:rsidR="00A456A2" w:rsidRPr="00DC5A62">
        <w:t xml:space="preserve">a) </w:t>
      </w:r>
      <w:r w:rsidRPr="00DC5A62">
        <w:t>od prosinca 2007. godine.</w:t>
      </w:r>
      <w:r w:rsidR="000F3A0D" w:rsidRPr="00DC5A62">
        <w:t xml:space="preserve"> Jedan od osnovnih c</w:t>
      </w:r>
      <w:r w:rsidRPr="00DC5A62">
        <w:t>ilj</w:t>
      </w:r>
      <w:r w:rsidR="000F3A0D" w:rsidRPr="00DC5A62">
        <w:t>eva</w:t>
      </w:r>
      <w:r w:rsidRPr="00DC5A62">
        <w:t xml:space="preserve"> Protokola </w:t>
      </w:r>
      <w:r w:rsidR="004B44BB" w:rsidRPr="00DC5A62">
        <w:t xml:space="preserve">o </w:t>
      </w:r>
      <w:proofErr w:type="spellStart"/>
      <w:r w:rsidR="004B44BB" w:rsidRPr="00DC5A62">
        <w:t>POPs</w:t>
      </w:r>
      <w:proofErr w:type="spellEnd"/>
      <w:r w:rsidR="004B44BB" w:rsidRPr="00DC5A62">
        <w:t xml:space="preserve">-ovima </w:t>
      </w:r>
      <w:r w:rsidR="00A456A2" w:rsidRPr="00DC5A62">
        <w:t>je nadzor te</w:t>
      </w:r>
      <w:r w:rsidRPr="00DC5A62">
        <w:t xml:space="preserve"> smanj</w:t>
      </w:r>
      <w:r w:rsidR="000F3A0D" w:rsidRPr="00DC5A62">
        <w:t xml:space="preserve">ivanje </w:t>
      </w:r>
      <w:r w:rsidRPr="00DC5A62">
        <w:t xml:space="preserve">ukupnih godišnjih emisija </w:t>
      </w:r>
      <w:proofErr w:type="spellStart"/>
      <w:r w:rsidR="004B44BB" w:rsidRPr="00DC5A62">
        <w:t>POPs</w:t>
      </w:r>
      <w:proofErr w:type="spellEnd"/>
      <w:r w:rsidR="004B44BB" w:rsidRPr="00DC5A62">
        <w:t xml:space="preserve">-ova </w:t>
      </w:r>
      <w:r w:rsidR="000F3A0D" w:rsidRPr="00DC5A62">
        <w:t xml:space="preserve">u odnosu na </w:t>
      </w:r>
      <w:r w:rsidRPr="00DC5A62">
        <w:t>razine emisij</w:t>
      </w:r>
      <w:r w:rsidR="000F3A0D" w:rsidRPr="00DC5A62">
        <w:t>a</w:t>
      </w:r>
      <w:r w:rsidRPr="00DC5A62">
        <w:t xml:space="preserve"> u početnoj godini primjenjivanja obveze, primjenjujući najbolje raspoložive tehnike za smanjivanje emisija iz postrojenja i postižući propisane granične vrijednosti emisije.</w:t>
      </w:r>
    </w:p>
    <w:p w14:paraId="528139DE" w14:textId="767B31EB" w:rsidR="00E9125F" w:rsidRPr="00E16E60" w:rsidRDefault="00E9125F" w:rsidP="00D55E4A">
      <w:pPr>
        <w:spacing w:after="120"/>
        <w:jc w:val="both"/>
      </w:pPr>
      <w:r>
        <w:t xml:space="preserve">Na </w:t>
      </w:r>
      <w:r w:rsidR="000478CB">
        <w:t>razini</w:t>
      </w:r>
      <w:r>
        <w:t xml:space="preserve"> Europske unije temeljni provedbeni propis </w:t>
      </w:r>
      <w:r w:rsidR="00E0177A">
        <w:t xml:space="preserve">za </w:t>
      </w:r>
      <w:r w:rsidR="009E3783">
        <w:t>K</w:t>
      </w:r>
      <w:r w:rsidR="00E0177A">
        <w:t xml:space="preserve">onvenciju i Protokol o </w:t>
      </w:r>
      <w:proofErr w:type="spellStart"/>
      <w:r w:rsidR="009E3783">
        <w:t>POPs</w:t>
      </w:r>
      <w:proofErr w:type="spellEnd"/>
      <w:r w:rsidR="009E3783">
        <w:t xml:space="preserve">-ovima </w:t>
      </w:r>
      <w:r w:rsidR="00E0177A">
        <w:t xml:space="preserve">je </w:t>
      </w:r>
      <w:r w:rsidRPr="00E16E60">
        <w:t xml:space="preserve">Uredba (EZ) br. 850/2004 </w:t>
      </w:r>
      <w:r w:rsidR="00810E4D">
        <w:t xml:space="preserve">Europskog parlamenta i Vijeća od 29. travnja 2004. o </w:t>
      </w:r>
      <w:r w:rsidRPr="00E16E60">
        <w:t>postojanim organskim onečišćujućim tvarim</w:t>
      </w:r>
      <w:r>
        <w:t>a</w:t>
      </w:r>
      <w:r w:rsidR="009309DC">
        <w:t xml:space="preserve"> (</w:t>
      </w:r>
      <w:r w:rsidR="00E83D4F">
        <w:t>u daljnjem tekstu</w:t>
      </w:r>
      <w:r w:rsidR="00810E4D">
        <w:t>:</w:t>
      </w:r>
      <w:r w:rsidR="009309DC">
        <w:t xml:space="preserve"> </w:t>
      </w:r>
      <w:proofErr w:type="spellStart"/>
      <w:r w:rsidR="009309DC" w:rsidRPr="00FE72CD">
        <w:rPr>
          <w:i/>
        </w:rPr>
        <w:t>POPs</w:t>
      </w:r>
      <w:proofErr w:type="spellEnd"/>
      <w:r w:rsidR="009309DC" w:rsidRPr="00FE72CD">
        <w:rPr>
          <w:i/>
        </w:rPr>
        <w:t xml:space="preserve"> Uredba</w:t>
      </w:r>
      <w:r w:rsidR="009309DC">
        <w:t>)</w:t>
      </w:r>
      <w:r>
        <w:t xml:space="preserve"> koja se direktno provodi u svim </w:t>
      </w:r>
      <w:r w:rsidR="00E0177A">
        <w:t xml:space="preserve">državama članicama </w:t>
      </w:r>
      <w:r>
        <w:t>Eu</w:t>
      </w:r>
      <w:r w:rsidR="00E0177A">
        <w:t>ropske unije. Z</w:t>
      </w:r>
      <w:r>
        <w:t>akon</w:t>
      </w:r>
      <w:r w:rsidR="00E0177A">
        <w:t xml:space="preserve">om </w:t>
      </w:r>
      <w:r>
        <w:t xml:space="preserve">o </w:t>
      </w:r>
      <w:r w:rsidR="00E0177A">
        <w:t xml:space="preserve">provedbi </w:t>
      </w:r>
      <w:r w:rsidR="00810E4D">
        <w:t>Uredbe</w:t>
      </w:r>
      <w:r w:rsidR="00E0177A" w:rsidRPr="00E0177A">
        <w:t xml:space="preserve"> (EZ) br. 850/2004 o postojanim organskim onečišćujućim tvarima</w:t>
      </w:r>
      <w:r w:rsidR="00E0177A">
        <w:t xml:space="preserve"> (Narodne novine, broj 148/13</w:t>
      </w:r>
      <w:r w:rsidR="001D1A7C">
        <w:t xml:space="preserve">; </w:t>
      </w:r>
      <w:r w:rsidR="00FE72CD" w:rsidRPr="00FE72CD">
        <w:t xml:space="preserve">u daljnjem tekstu: </w:t>
      </w:r>
      <w:r w:rsidR="001D1A7C" w:rsidRPr="00FE72CD">
        <w:rPr>
          <w:i/>
        </w:rPr>
        <w:t xml:space="preserve">Zakon o provedbi </w:t>
      </w:r>
      <w:proofErr w:type="spellStart"/>
      <w:r w:rsidR="001D1A7C" w:rsidRPr="00FE72CD">
        <w:rPr>
          <w:i/>
        </w:rPr>
        <w:t>POPs</w:t>
      </w:r>
      <w:proofErr w:type="spellEnd"/>
      <w:r w:rsidR="001D1A7C" w:rsidRPr="00FE72CD">
        <w:rPr>
          <w:i/>
        </w:rPr>
        <w:t xml:space="preserve"> Uredbe</w:t>
      </w:r>
      <w:r w:rsidR="00E0177A">
        <w:t>) omogućena je direktna provedba.</w:t>
      </w:r>
    </w:p>
    <w:p w14:paraId="4295DAAE" w14:textId="3FAF25DD" w:rsidR="00E9125F" w:rsidRDefault="00140F23" w:rsidP="00D55E4A">
      <w:pPr>
        <w:spacing w:after="120"/>
        <w:jc w:val="both"/>
      </w:pPr>
      <w:r>
        <w:t xml:space="preserve">Navedenim Zakonom o provedbi </w:t>
      </w:r>
      <w:proofErr w:type="spellStart"/>
      <w:r>
        <w:t>POPs</w:t>
      </w:r>
      <w:proofErr w:type="spellEnd"/>
      <w:r>
        <w:t xml:space="preserve"> Uredbe </w:t>
      </w:r>
      <w:r w:rsidR="00DD7050" w:rsidRPr="00DD7050">
        <w:t xml:space="preserve">se </w:t>
      </w:r>
      <w:r w:rsidR="001B57F8">
        <w:t>z</w:t>
      </w:r>
      <w:r w:rsidR="00E9125F" w:rsidRPr="00E16E60">
        <w:t xml:space="preserve">abranjuje/ograničava proizvodnja, uporaba i stavljanje na tržište </w:t>
      </w:r>
      <w:proofErr w:type="spellStart"/>
      <w:r w:rsidR="00E9125F" w:rsidRPr="00E16E60">
        <w:t>POPs</w:t>
      </w:r>
      <w:proofErr w:type="spellEnd"/>
      <w:r w:rsidR="00E9125F" w:rsidRPr="00E16E60">
        <w:t xml:space="preserve">-ova navedenih u </w:t>
      </w:r>
      <w:r w:rsidR="001D1A7C">
        <w:t>d</w:t>
      </w:r>
      <w:r w:rsidR="00E9125F" w:rsidRPr="00E16E60">
        <w:t xml:space="preserve">odacima </w:t>
      </w:r>
      <w:r w:rsidR="0058410C">
        <w:t>K</w:t>
      </w:r>
      <w:r w:rsidR="00E9125F" w:rsidRPr="00E16E60">
        <w:t xml:space="preserve">onvencije i Protokola o </w:t>
      </w:r>
      <w:proofErr w:type="spellStart"/>
      <w:r w:rsidR="00E9125F" w:rsidRPr="00E16E60">
        <w:t>POPs</w:t>
      </w:r>
      <w:proofErr w:type="spellEnd"/>
      <w:r w:rsidR="00E9125F" w:rsidRPr="00E16E60">
        <w:t xml:space="preserve">-ovima, a sadrži odredbe o zalihama i </w:t>
      </w:r>
      <w:r w:rsidR="001D1A7C">
        <w:t xml:space="preserve">gospodarenju </w:t>
      </w:r>
      <w:r w:rsidR="00E9125F" w:rsidRPr="00E16E60">
        <w:t>otpad</w:t>
      </w:r>
      <w:r w:rsidR="001D1A7C">
        <w:t>om</w:t>
      </w:r>
      <w:r w:rsidR="00E9125F" w:rsidRPr="00E16E60">
        <w:t xml:space="preserve">. </w:t>
      </w:r>
    </w:p>
    <w:p w14:paraId="226F0588" w14:textId="28CCEF73" w:rsidR="00E0177A" w:rsidRDefault="00D85BE2" w:rsidP="00D55E4A">
      <w:pPr>
        <w:spacing w:after="120"/>
        <w:jc w:val="both"/>
      </w:pPr>
      <w:r>
        <w:t>Za provedbu</w:t>
      </w:r>
      <w:r w:rsidR="009C7C88">
        <w:t xml:space="preserve"> </w:t>
      </w:r>
      <w:proofErr w:type="spellStart"/>
      <w:r w:rsidR="009C7C88" w:rsidRPr="009C7C88">
        <w:t>POPs</w:t>
      </w:r>
      <w:proofErr w:type="spellEnd"/>
      <w:r w:rsidR="009C7C88" w:rsidRPr="009C7C88">
        <w:t xml:space="preserve"> Uredbe</w:t>
      </w:r>
      <w:r>
        <w:t xml:space="preserve"> </w:t>
      </w:r>
      <w:r w:rsidR="00E0177A" w:rsidRPr="00E16E60">
        <w:t xml:space="preserve">u Republici Hrvatskoj određena su središnja tijela državne uprave nadležna za zaštitu okoliša, zdravlje, poljoprivredu, gospodarstvo, vodno gospodarstvo, šumarstvo i veterinarstvo. </w:t>
      </w:r>
    </w:p>
    <w:p w14:paraId="1833F65E" w14:textId="6CF9EB15" w:rsidR="00E0177A" w:rsidRDefault="00E0177A" w:rsidP="00D55E4A">
      <w:pPr>
        <w:spacing w:after="120"/>
        <w:jc w:val="both"/>
      </w:pPr>
      <w:r w:rsidRPr="00E16E60">
        <w:t xml:space="preserve">Za provedbu pravno obvezujućih akata Europske unije donesenih na temelju </w:t>
      </w:r>
      <w:proofErr w:type="spellStart"/>
      <w:r w:rsidR="001B57F8">
        <w:t>POPs</w:t>
      </w:r>
      <w:proofErr w:type="spellEnd"/>
      <w:r w:rsidR="001B57F8">
        <w:t xml:space="preserve"> </w:t>
      </w:r>
      <w:r w:rsidRPr="00E16E60">
        <w:t xml:space="preserve">Uredbe ministar nadležan za poslove zaštite okoliša donosi prema potrebi pravilnike, naredbe ili naputke. </w:t>
      </w:r>
    </w:p>
    <w:p w14:paraId="1C7F4453" w14:textId="7690774B" w:rsidR="00E0177A" w:rsidRDefault="00DD7050" w:rsidP="00D55E4A">
      <w:pPr>
        <w:spacing w:after="120"/>
        <w:jc w:val="both"/>
      </w:pPr>
      <w:r>
        <w:t>Nadalje,</w:t>
      </w:r>
      <w:r w:rsidR="00D85BE2">
        <w:t xml:space="preserve"> </w:t>
      </w:r>
      <w:r w:rsidR="00E0177A" w:rsidRPr="00E16E60">
        <w:t xml:space="preserve">Zakonom o provedbi </w:t>
      </w:r>
      <w:proofErr w:type="spellStart"/>
      <w:r w:rsidR="00E0177A" w:rsidRPr="00E16E60">
        <w:t>POPs</w:t>
      </w:r>
      <w:proofErr w:type="spellEnd"/>
      <w:r w:rsidR="00E0177A" w:rsidRPr="00E16E60">
        <w:t xml:space="preserve"> Uredbe, propisano je obvezno jednogodišnje izvješćivanje o proizvodnji/stavljanju na tržište</w:t>
      </w:r>
      <w:r w:rsidR="009C7C88">
        <w:t xml:space="preserve"> sredstava za zaštitu bilja</w:t>
      </w:r>
      <w:r w:rsidR="00E0177A" w:rsidRPr="00E16E60">
        <w:t xml:space="preserve"> koje izrađuje Ministarstvo zdrav</w:t>
      </w:r>
      <w:r w:rsidR="009C7C88">
        <w:t>stva</w:t>
      </w:r>
      <w:r w:rsidR="00E0177A" w:rsidRPr="00E16E60">
        <w:t xml:space="preserve"> u suradnji s Hrvatskim zavodom za toksikologiju</w:t>
      </w:r>
      <w:r w:rsidR="001D1A7C">
        <w:t xml:space="preserve"> i antidoping</w:t>
      </w:r>
      <w:r w:rsidR="00E0177A" w:rsidRPr="00E16E60">
        <w:t xml:space="preserve"> te dostavlja Europskoj komisiji.</w:t>
      </w:r>
    </w:p>
    <w:p w14:paraId="41A4359F" w14:textId="3D15D39A" w:rsidR="00E0177A" w:rsidRPr="00E16E60" w:rsidRDefault="00E0177A" w:rsidP="00D55E4A">
      <w:pPr>
        <w:spacing w:after="120"/>
        <w:jc w:val="both"/>
      </w:pPr>
      <w:r w:rsidRPr="00E16E60">
        <w:t>Hrvatska agencija za okoliš</w:t>
      </w:r>
      <w:r w:rsidR="00D85BE2">
        <w:t xml:space="preserve"> i prirodu</w:t>
      </w:r>
      <w:r w:rsidRPr="00E16E60">
        <w:t xml:space="preserve"> (u daljnjem tekstu: </w:t>
      </w:r>
      <w:r w:rsidRPr="00DD7050">
        <w:rPr>
          <w:i/>
        </w:rPr>
        <w:t>HAOP</w:t>
      </w:r>
      <w:r w:rsidRPr="00E16E60">
        <w:t xml:space="preserve">, </w:t>
      </w:r>
      <w:r w:rsidR="009309DC">
        <w:t xml:space="preserve">od </w:t>
      </w:r>
      <w:r w:rsidRPr="00E16E60">
        <w:t xml:space="preserve"> 15. rujna 2015. godine </w:t>
      </w:r>
      <w:r w:rsidR="009309DC">
        <w:t>pravni slijednik Agencije</w:t>
      </w:r>
      <w:r w:rsidRPr="00E16E60">
        <w:t xml:space="preserve"> za zaštitu okoliša) koja </w:t>
      </w:r>
      <w:r w:rsidR="00DA6ED9">
        <w:t>vodi i održava</w:t>
      </w:r>
      <w:r w:rsidRPr="00E16E60">
        <w:t xml:space="preserve"> centralni informacijski sustav zaštite okol</w:t>
      </w:r>
      <w:r w:rsidR="009309DC">
        <w:t>i</w:t>
      </w:r>
      <w:r w:rsidRPr="00E16E60">
        <w:t>ša ima obvezu prikupljanja podataka, izrade i dostave trogodišnjeg izvješća koje uključuje informacije o zalihama, rezul</w:t>
      </w:r>
      <w:r w:rsidR="009309DC">
        <w:t>t</w:t>
      </w:r>
      <w:r w:rsidRPr="00E16E60">
        <w:t>ate ispuštanja u sve sastavnice okoliša, praćenju, informa</w:t>
      </w:r>
      <w:r w:rsidR="001B57F8">
        <w:t>cije o kaznama, izradi NIP-a.</w:t>
      </w:r>
    </w:p>
    <w:p w14:paraId="50459885" w14:textId="70468653" w:rsidR="00E9125F" w:rsidRPr="00E16E60" w:rsidRDefault="00E9125F" w:rsidP="00D55E4A">
      <w:pPr>
        <w:spacing w:after="120"/>
        <w:jc w:val="both"/>
      </w:pPr>
      <w:r w:rsidRPr="00E16E60">
        <w:t xml:space="preserve">Opća i posebna izuzeća ograničena su na najmanju moguću mjeru. </w:t>
      </w:r>
      <w:proofErr w:type="spellStart"/>
      <w:r w:rsidRPr="00E16E60">
        <w:t>POPs</w:t>
      </w:r>
      <w:proofErr w:type="spellEnd"/>
      <w:r w:rsidRPr="00E16E60">
        <w:t xml:space="preserve"> Uredba sadrži i odredbe koje zahtijevaju uspostavu</w:t>
      </w:r>
      <w:r w:rsidR="009C7C88">
        <w:t>:</w:t>
      </w:r>
      <w:r w:rsidRPr="00E16E60">
        <w:t xml:space="preserve"> proračuna emisija/inventara za nenamjerno proizvedene </w:t>
      </w:r>
      <w:proofErr w:type="spellStart"/>
      <w:r w:rsidRPr="00E16E60">
        <w:t>POPs</w:t>
      </w:r>
      <w:proofErr w:type="spellEnd"/>
      <w:r w:rsidRPr="00E16E60">
        <w:t xml:space="preserve">-ove, </w:t>
      </w:r>
      <w:r w:rsidR="00DA6ED9">
        <w:t xml:space="preserve">izradu </w:t>
      </w:r>
      <w:r w:rsidRPr="00E16E60">
        <w:t>nacionalnih</w:t>
      </w:r>
      <w:r w:rsidR="00D85BE2">
        <w:t xml:space="preserve"> provedbenih planova </w:t>
      </w:r>
      <w:r w:rsidRPr="00E16E60">
        <w:t>i planova</w:t>
      </w:r>
      <w:r w:rsidR="009309DC">
        <w:t xml:space="preserve"> Europske unije</w:t>
      </w:r>
      <w:r w:rsidRPr="00E16E60">
        <w:t xml:space="preserve"> i mehanizama za provedbu planova, praćenje i razmjenu informacija o </w:t>
      </w:r>
      <w:proofErr w:type="spellStart"/>
      <w:r w:rsidRPr="00E16E60">
        <w:t>POPs</w:t>
      </w:r>
      <w:proofErr w:type="spellEnd"/>
      <w:r w:rsidRPr="00E16E60">
        <w:t xml:space="preserve">-ovima. U određenoj mjeri </w:t>
      </w:r>
      <w:proofErr w:type="spellStart"/>
      <w:r w:rsidRPr="00E16E60">
        <w:t>POPs</w:t>
      </w:r>
      <w:proofErr w:type="spellEnd"/>
      <w:r w:rsidRPr="00E16E60">
        <w:t xml:space="preserve"> Uredba ide korak dalje od samog međunarodnog ugovora u smislu ambicioznosti. </w:t>
      </w:r>
    </w:p>
    <w:p w14:paraId="4506CE84" w14:textId="5FEF3FD7" w:rsidR="00E15128" w:rsidRDefault="00D85BE2" w:rsidP="00D55E4A">
      <w:pPr>
        <w:spacing w:after="120"/>
        <w:jc w:val="both"/>
      </w:pPr>
      <w:r>
        <w:t>P</w:t>
      </w:r>
      <w:r w:rsidR="00E9125F" w:rsidRPr="00E16E60">
        <w:t xml:space="preserve">ostoje određene razlike u odredbama </w:t>
      </w:r>
      <w:proofErr w:type="spellStart"/>
      <w:r w:rsidR="00E9125F" w:rsidRPr="00E16E60">
        <w:t>POPs</w:t>
      </w:r>
      <w:proofErr w:type="spellEnd"/>
      <w:r w:rsidR="00E9125F" w:rsidRPr="00E16E60">
        <w:t xml:space="preserve"> Uredbe i same </w:t>
      </w:r>
      <w:r w:rsidR="007F084D">
        <w:t>K</w:t>
      </w:r>
      <w:r w:rsidR="007F084D" w:rsidRPr="00E16E60">
        <w:t>onvencije</w:t>
      </w:r>
      <w:r w:rsidR="00E9125F" w:rsidRPr="00E16E60">
        <w:t xml:space="preserve"> jer je zakonodavstvo Europske unije znatno ambicioznije, a </w:t>
      </w:r>
      <w:proofErr w:type="spellStart"/>
      <w:r w:rsidR="00C46B06">
        <w:t>POPs</w:t>
      </w:r>
      <w:proofErr w:type="spellEnd"/>
      <w:r w:rsidR="00C46B06">
        <w:t xml:space="preserve"> </w:t>
      </w:r>
      <w:r w:rsidR="00E9125F" w:rsidRPr="00E16E60">
        <w:t>Uredba redovno se usklađuje i s ostalim zakonodavstvom Europske unije</w:t>
      </w:r>
      <w:r w:rsidR="009309DC">
        <w:t xml:space="preserve"> </w:t>
      </w:r>
      <w:r w:rsidR="00DD7050">
        <w:t>prije svega</w:t>
      </w:r>
      <w:r w:rsidR="009309DC">
        <w:t xml:space="preserve"> </w:t>
      </w:r>
      <w:r w:rsidR="009C7C88">
        <w:t>misli se</w:t>
      </w:r>
      <w:r w:rsidR="009309DC">
        <w:t xml:space="preserve"> na </w:t>
      </w:r>
      <w:r w:rsidR="00E15128">
        <w:t xml:space="preserve">Uredbu (EZ) br. 1907/2006 Europskog Parlamenta i Vijeća </w:t>
      </w:r>
      <w:r w:rsidR="00C46B06">
        <w:t xml:space="preserve">od 18. prosinca 2006. o </w:t>
      </w:r>
      <w:r w:rsidR="00E15128">
        <w:t xml:space="preserve">registraciji, evaluaciji, autorizaciji i ograničavanju kemikalija </w:t>
      </w:r>
      <w:r w:rsidR="00E15128" w:rsidRPr="00E15128">
        <w:t xml:space="preserve"> (</w:t>
      </w:r>
      <w:r w:rsidR="00C46B06">
        <w:t>REACH</w:t>
      </w:r>
      <w:r w:rsidR="00E15128" w:rsidRPr="00E15128">
        <w:t>)</w:t>
      </w:r>
      <w:r w:rsidR="00C46B06">
        <w:t xml:space="preserve"> i osnivanju Europske agencije za kemikalije te o izmjeni Direktive 1999/45/EZ i stavljanju izvan snage Uredbe Vijeća (EEZ) br. 793/93 i Uredbe Komisije (EZ) br. 1488/94 kao i </w:t>
      </w:r>
      <w:r w:rsidR="00C46B06">
        <w:lastRenderedPageBreak/>
        <w:t>Direktive Vijeća 76/769/EEZ i direktiva Komisije 91/155/EEZ, 93/67/EEZ, 93/105/EZ i</w:t>
      </w:r>
      <w:r w:rsidR="009C7C88">
        <w:t xml:space="preserve"> 2000/21/EZ </w:t>
      </w:r>
      <w:r w:rsidR="00C46B06">
        <w:t xml:space="preserve">(SL L 396/1, </w:t>
      </w:r>
      <w:r w:rsidR="004F2443">
        <w:t>30.12.2006.</w:t>
      </w:r>
      <w:r w:rsidR="00C46B06">
        <w:t>)</w:t>
      </w:r>
      <w:r w:rsidR="00E15128">
        <w:t>, a koja je prenesena u nacionalno zakonodavstvo putem Zakona o provedbi Uredbe</w:t>
      </w:r>
      <w:r w:rsidR="000478CB">
        <w:t xml:space="preserve"> (EZ) br. 1907/2006  Europskog p</w:t>
      </w:r>
      <w:r w:rsidR="00E15128">
        <w:t>arlamenta i Vijeća EZ o registraciji, evaluaciji, autorizaciji i ograničavanju kemikalija (Narodne novine, br. 53/08 i 18/13).</w:t>
      </w:r>
    </w:p>
    <w:p w14:paraId="0C034E49" w14:textId="07663541" w:rsidR="00E9125F" w:rsidRPr="00E16E60" w:rsidRDefault="00E9125F" w:rsidP="00D55E4A">
      <w:pPr>
        <w:spacing w:after="120"/>
        <w:jc w:val="both"/>
      </w:pPr>
      <w:proofErr w:type="spellStart"/>
      <w:r w:rsidRPr="00E16E60">
        <w:t>POPs</w:t>
      </w:r>
      <w:proofErr w:type="spellEnd"/>
      <w:r w:rsidRPr="00E16E60">
        <w:t xml:space="preserve"> Uredb</w:t>
      </w:r>
      <w:r w:rsidR="002A39A4">
        <w:t>a</w:t>
      </w:r>
      <w:r w:rsidRPr="00E16E60">
        <w:t xml:space="preserve"> </w:t>
      </w:r>
      <w:r w:rsidR="002A39A4">
        <w:t>obuhvaća</w:t>
      </w:r>
      <w:r w:rsidRPr="00E16E60">
        <w:t xml:space="preserve"> pet priloga</w:t>
      </w:r>
      <w:r>
        <w:t>:</w:t>
      </w:r>
    </w:p>
    <w:p w14:paraId="05016AA2" w14:textId="228B0C89" w:rsidR="00E9125F" w:rsidRPr="00E16E60" w:rsidRDefault="00E9125F" w:rsidP="002A39A4">
      <w:pPr>
        <w:pStyle w:val="Odlomakpopisa"/>
        <w:numPr>
          <w:ilvl w:val="0"/>
          <w:numId w:val="26"/>
        </w:numPr>
        <w:spacing w:after="120"/>
        <w:contextualSpacing w:val="0"/>
        <w:jc w:val="both"/>
      </w:pPr>
      <w:r w:rsidRPr="00E16E60">
        <w:t xml:space="preserve">Prilog I. – </w:t>
      </w:r>
      <w:r w:rsidR="002A39A4">
        <w:t xml:space="preserve">popis tvari koje podliježu zabranama – </w:t>
      </w:r>
      <w:r w:rsidRPr="00E16E60">
        <w:t>predstavlja popis kemikalija</w:t>
      </w:r>
      <w:r w:rsidR="00B213A4">
        <w:t>/</w:t>
      </w:r>
      <w:proofErr w:type="spellStart"/>
      <w:r w:rsidR="00B213A4">
        <w:t>POPs</w:t>
      </w:r>
      <w:proofErr w:type="spellEnd"/>
      <w:r w:rsidR="00B213A4">
        <w:t xml:space="preserve">-ova </w:t>
      </w:r>
      <w:r w:rsidRPr="00E16E60">
        <w:t xml:space="preserve">koje su uključene u </w:t>
      </w:r>
      <w:r w:rsidR="00D85BE2">
        <w:t>d</w:t>
      </w:r>
      <w:r w:rsidRPr="00E16E60">
        <w:t>odatke</w:t>
      </w:r>
      <w:r w:rsidR="00D85BE2">
        <w:t xml:space="preserve"> K</w:t>
      </w:r>
      <w:r w:rsidRPr="00E16E60">
        <w:t xml:space="preserve">onvencije i Protokola o </w:t>
      </w:r>
      <w:proofErr w:type="spellStart"/>
      <w:r w:rsidRPr="00E16E60">
        <w:t>POPs</w:t>
      </w:r>
      <w:proofErr w:type="spellEnd"/>
      <w:r w:rsidRPr="00E16E60">
        <w:t xml:space="preserve">-ovima uz LRTAP Konvenciju, odredbe koje se odnose na zabranu proizvodnje, stavljanje na tržište (Dio A. </w:t>
      </w:r>
      <w:r w:rsidR="00DD7050">
        <w:t>–</w:t>
      </w:r>
      <w:r w:rsidRPr="00E16E60">
        <w:t xml:space="preserve"> odnosi se na zabranu i Dio B. </w:t>
      </w:r>
      <w:r w:rsidR="00DD7050">
        <w:t>–</w:t>
      </w:r>
      <w:r w:rsidR="002A39A4">
        <w:t xml:space="preserve"> posebna izuzeća</w:t>
      </w:r>
      <w:r w:rsidRPr="00E16E60">
        <w:t xml:space="preserve"> koja predstavljaju </w:t>
      </w:r>
      <w:r w:rsidR="00696A63">
        <w:t>određena ograničenja uporabe)</w:t>
      </w:r>
    </w:p>
    <w:p w14:paraId="0452F092" w14:textId="2D524D3E" w:rsidR="00E9125F" w:rsidRPr="00E16E60" w:rsidRDefault="00E9125F" w:rsidP="00D55E4A">
      <w:pPr>
        <w:pStyle w:val="Odlomakpopisa"/>
        <w:numPr>
          <w:ilvl w:val="0"/>
          <w:numId w:val="26"/>
        </w:numPr>
        <w:spacing w:after="120"/>
        <w:contextualSpacing w:val="0"/>
        <w:jc w:val="both"/>
      </w:pPr>
      <w:r w:rsidRPr="00E16E60">
        <w:t xml:space="preserve">Prilog II. </w:t>
      </w:r>
      <w:r w:rsidR="00DD7050">
        <w:t>–</w:t>
      </w:r>
      <w:r w:rsidRPr="00E16E60">
        <w:t xml:space="preserve"> </w:t>
      </w:r>
      <w:r w:rsidR="00696A63">
        <w:t>p</w:t>
      </w:r>
      <w:r w:rsidRPr="00E16E60">
        <w:t>opis tva</w:t>
      </w:r>
      <w:r w:rsidR="00696A63">
        <w:t>ri koje podliježu ograničenjima</w:t>
      </w:r>
    </w:p>
    <w:p w14:paraId="48DA0EEB" w14:textId="16486D07" w:rsidR="00E9125F" w:rsidRPr="00E16E60" w:rsidRDefault="00E9125F" w:rsidP="00D55E4A">
      <w:pPr>
        <w:pStyle w:val="Odlomakpopisa"/>
        <w:numPr>
          <w:ilvl w:val="0"/>
          <w:numId w:val="26"/>
        </w:numPr>
        <w:spacing w:after="120"/>
        <w:contextualSpacing w:val="0"/>
        <w:jc w:val="both"/>
      </w:pPr>
      <w:r w:rsidRPr="00E16E60">
        <w:t xml:space="preserve">Prilog III. </w:t>
      </w:r>
      <w:r w:rsidR="00DD7050">
        <w:t>–</w:t>
      </w:r>
      <w:r w:rsidRPr="00E16E60">
        <w:t xml:space="preserve"> </w:t>
      </w:r>
      <w:r w:rsidR="00696A63">
        <w:t>p</w:t>
      </w:r>
      <w:r w:rsidRPr="00E16E60">
        <w:t xml:space="preserve">opis tvari koje podliježu odredbama o ograničenju ispuštanja u </w:t>
      </w:r>
      <w:r w:rsidR="00696A63">
        <w:t>okoliš (nenamjerna proizvodnja)</w:t>
      </w:r>
    </w:p>
    <w:p w14:paraId="3FF81027" w14:textId="1351A302" w:rsidR="00E9125F" w:rsidRPr="00E16E60" w:rsidRDefault="00E9125F" w:rsidP="002A39A4">
      <w:pPr>
        <w:pStyle w:val="Odlomakpopisa"/>
        <w:numPr>
          <w:ilvl w:val="0"/>
          <w:numId w:val="26"/>
        </w:numPr>
        <w:spacing w:after="120"/>
        <w:contextualSpacing w:val="0"/>
        <w:jc w:val="both"/>
      </w:pPr>
      <w:r w:rsidRPr="00E16E60">
        <w:t xml:space="preserve">Prilog IV. </w:t>
      </w:r>
      <w:r w:rsidR="00DD7050">
        <w:t>–</w:t>
      </w:r>
      <w:r w:rsidRPr="00E16E60">
        <w:t xml:space="preserve"> </w:t>
      </w:r>
      <w:r w:rsidR="00696A63">
        <w:t>g</w:t>
      </w:r>
      <w:r w:rsidRPr="00E16E60">
        <w:t>ospodarenje otpadom</w:t>
      </w:r>
      <w:r w:rsidR="002A39A4">
        <w:t xml:space="preserve"> – </w:t>
      </w:r>
      <w:r w:rsidRPr="00E16E60">
        <w:t>propisane granične vrijednosti k</w:t>
      </w:r>
      <w:r w:rsidR="00DD7050">
        <w:t>oncentracije sadržaja u otpadu</w:t>
      </w:r>
    </w:p>
    <w:p w14:paraId="0248F5E4" w14:textId="4E71FB5E" w:rsidR="00E9125F" w:rsidRDefault="00E9125F" w:rsidP="002A39A4">
      <w:pPr>
        <w:pStyle w:val="Odlomakpopisa"/>
        <w:numPr>
          <w:ilvl w:val="0"/>
          <w:numId w:val="26"/>
        </w:numPr>
        <w:spacing w:after="120"/>
        <w:contextualSpacing w:val="0"/>
        <w:jc w:val="both"/>
      </w:pPr>
      <w:r w:rsidRPr="00E16E60">
        <w:t xml:space="preserve">Prilog V. </w:t>
      </w:r>
      <w:r w:rsidR="00DD7050">
        <w:t>–</w:t>
      </w:r>
      <w:r w:rsidRPr="00E16E60">
        <w:t xml:space="preserve"> </w:t>
      </w:r>
      <w:r w:rsidR="00696A63">
        <w:t>g</w:t>
      </w:r>
      <w:r w:rsidRPr="00E16E60">
        <w:t>ospodarenje otpadom</w:t>
      </w:r>
      <w:r w:rsidR="002A39A4">
        <w:t xml:space="preserve"> – </w:t>
      </w:r>
      <w:r w:rsidRPr="00E16E60">
        <w:t>postupci odlaganja i oporabe, te vrste otpada i postupci, maksimalne granične vrijednosti koncentracije, dozvoljene metode oporabe i zbrinjavanja.</w:t>
      </w:r>
    </w:p>
    <w:p w14:paraId="70F1B018" w14:textId="173FC3FC" w:rsidR="009D1C71" w:rsidRDefault="009D1C71" w:rsidP="00DD7050">
      <w:pPr>
        <w:jc w:val="both"/>
      </w:pPr>
    </w:p>
    <w:p w14:paraId="741078AF" w14:textId="1D54A5B5" w:rsidR="00317EE7" w:rsidRDefault="00D663A8" w:rsidP="00D55E4A">
      <w:pPr>
        <w:pStyle w:val="Naslov1"/>
        <w:numPr>
          <w:ilvl w:val="0"/>
          <w:numId w:val="8"/>
        </w:numPr>
        <w:ind w:left="709" w:hanging="349"/>
        <w:jc w:val="center"/>
        <w:rPr>
          <w:rFonts w:ascii="Times New Roman" w:hAnsi="Times New Roman" w:cs="Times New Roman"/>
          <w:b w:val="0"/>
          <w:sz w:val="28"/>
          <w:szCs w:val="28"/>
        </w:rPr>
      </w:pPr>
      <w:bookmarkStart w:id="2" w:name="_Toc8637296"/>
      <w:r w:rsidRPr="00D55E4A">
        <w:rPr>
          <w:rFonts w:ascii="Times New Roman" w:hAnsi="Times New Roman" w:cs="Times New Roman"/>
          <w:b w:val="0"/>
          <w:sz w:val="28"/>
          <w:szCs w:val="28"/>
        </w:rPr>
        <w:t xml:space="preserve">PROVEDBA </w:t>
      </w:r>
      <w:r w:rsidR="00317EE7" w:rsidRPr="00D55E4A">
        <w:rPr>
          <w:rFonts w:ascii="Times New Roman" w:hAnsi="Times New Roman" w:cs="Times New Roman"/>
          <w:b w:val="0"/>
          <w:sz w:val="28"/>
          <w:szCs w:val="28"/>
        </w:rPr>
        <w:t>NIP-a</w:t>
      </w:r>
      <w:r w:rsidRPr="00D55E4A">
        <w:rPr>
          <w:rFonts w:ascii="Times New Roman" w:hAnsi="Times New Roman" w:cs="Times New Roman"/>
          <w:b w:val="0"/>
          <w:sz w:val="28"/>
          <w:szCs w:val="28"/>
        </w:rPr>
        <w:t>, ODNOSNO KONVENCIJE</w:t>
      </w:r>
      <w:bookmarkEnd w:id="2"/>
    </w:p>
    <w:p w14:paraId="5365DD41" w14:textId="77777777" w:rsidR="00D55E4A" w:rsidRPr="00D55E4A" w:rsidRDefault="00D55E4A" w:rsidP="00D55E4A"/>
    <w:p w14:paraId="36F2D47A" w14:textId="7CAA7AE0" w:rsidR="00317EE7" w:rsidRPr="00D55E4A" w:rsidRDefault="00D55E4A" w:rsidP="002664D6">
      <w:pPr>
        <w:pStyle w:val="Naslov2"/>
        <w:numPr>
          <w:ilvl w:val="1"/>
          <w:numId w:val="8"/>
        </w:numPr>
        <w:rPr>
          <w:b w:val="0"/>
        </w:rPr>
      </w:pPr>
      <w:r>
        <w:rPr>
          <w:b w:val="0"/>
        </w:rPr>
        <w:t xml:space="preserve"> </w:t>
      </w:r>
      <w:bookmarkStart w:id="3" w:name="_Toc8637297"/>
      <w:r w:rsidRPr="00D55E4A">
        <w:rPr>
          <w:b w:val="0"/>
        </w:rPr>
        <w:t>POPIS ZAKONSKIH PROPISA KOJI PROPISUJU GOSPODARENJE I PRAĆENJE (MONITORING) POPS-OVA KOJI SU BILI NA SNAZI U RAZDOBLJU 2015. – 2017. GODINE</w:t>
      </w:r>
      <w:bookmarkEnd w:id="3"/>
    </w:p>
    <w:p w14:paraId="5D9ADC4A" w14:textId="77777777" w:rsidR="00C1571B" w:rsidRPr="00C1571B" w:rsidRDefault="00C1571B" w:rsidP="00C157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17EE7" w:rsidRPr="00CB4024" w14:paraId="27BDF10E"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CE0C63" w14:textId="77777777" w:rsidR="00317EE7" w:rsidRPr="00D2156A" w:rsidRDefault="00317EE7" w:rsidP="00317EE7">
            <w:pPr>
              <w:spacing w:after="120"/>
              <w:jc w:val="center"/>
              <w:rPr>
                <w:b/>
                <w:bCs/>
              </w:rPr>
            </w:pPr>
            <w:r w:rsidRPr="00D2156A">
              <w:rPr>
                <w:b/>
                <w:bCs/>
              </w:rPr>
              <w:t>BILJNO ZDRAVSTVO – SREDSTVA ZA ZAŠTITU BILJA I OSTATCI PESTICIDA</w:t>
            </w:r>
          </w:p>
        </w:tc>
      </w:tr>
      <w:tr w:rsidR="00317EE7" w:rsidRPr="00CB4024" w14:paraId="65433CA6"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CD57DAD" w14:textId="77777777" w:rsidR="00317EE7" w:rsidRPr="00D2156A" w:rsidRDefault="00317EE7" w:rsidP="00DD7050">
            <w:pPr>
              <w:spacing w:after="120"/>
              <w:jc w:val="both"/>
            </w:pPr>
            <w:r w:rsidRPr="00D2156A">
              <w:t>Zakon o provedbi Uredbe (EZ) br. 1107/09 o stavljanju na tržište sredstava za zaštitu bilja (Narodne novine, broj 80/13)</w:t>
            </w:r>
          </w:p>
        </w:tc>
      </w:tr>
      <w:tr w:rsidR="00317EE7" w:rsidRPr="00CB4024" w14:paraId="7BAF7D25" w14:textId="77777777" w:rsidTr="00B738C2">
        <w:trPr>
          <w:trHeight w:val="444"/>
        </w:trPr>
        <w:tc>
          <w:tcPr>
            <w:tcW w:w="9520" w:type="dxa"/>
            <w:tcBorders>
              <w:top w:val="single" w:sz="4" w:space="0" w:color="auto"/>
              <w:left w:val="single" w:sz="4" w:space="0" w:color="auto"/>
              <w:bottom w:val="single" w:sz="4" w:space="0" w:color="auto"/>
              <w:right w:val="single" w:sz="4" w:space="0" w:color="auto"/>
            </w:tcBorders>
            <w:vAlign w:val="center"/>
          </w:tcPr>
          <w:p w14:paraId="5F7A8E3C" w14:textId="77777777" w:rsidR="00317EE7" w:rsidRPr="00D2156A" w:rsidRDefault="00317EE7" w:rsidP="00DD7050">
            <w:pPr>
              <w:spacing w:after="120"/>
              <w:jc w:val="both"/>
            </w:pPr>
            <w:r w:rsidRPr="00D2156A">
              <w:t>Zakon o održivoj uporabi pesticida (Narodne novine, broj 14/14)</w:t>
            </w:r>
          </w:p>
        </w:tc>
      </w:tr>
      <w:tr w:rsidR="00317EE7" w:rsidRPr="00CB4024" w14:paraId="1D0F984D" w14:textId="77777777" w:rsidTr="00B738C2">
        <w:trPr>
          <w:trHeight w:val="631"/>
        </w:trPr>
        <w:tc>
          <w:tcPr>
            <w:tcW w:w="9520" w:type="dxa"/>
            <w:tcBorders>
              <w:top w:val="single" w:sz="4" w:space="0" w:color="auto"/>
              <w:left w:val="single" w:sz="4" w:space="0" w:color="auto"/>
              <w:bottom w:val="single" w:sz="4" w:space="0" w:color="auto"/>
              <w:right w:val="single" w:sz="4" w:space="0" w:color="auto"/>
            </w:tcBorders>
            <w:vAlign w:val="center"/>
          </w:tcPr>
          <w:p w14:paraId="1660DD1E" w14:textId="77777777" w:rsidR="00317EE7" w:rsidRPr="00D2156A" w:rsidRDefault="00317EE7" w:rsidP="00DD7050">
            <w:pPr>
              <w:spacing w:after="120"/>
              <w:jc w:val="both"/>
            </w:pPr>
            <w:r w:rsidRPr="00D2156A">
              <w:t>Pravilnik o uspostavi akcijskog okvira za postizanje održive uporabe pesticida (Narodne novine, broj 142/12)</w:t>
            </w:r>
          </w:p>
        </w:tc>
      </w:tr>
      <w:tr w:rsidR="00317EE7" w:rsidRPr="00CB4024" w14:paraId="47DDF50B"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A5271A0" w14:textId="77777777" w:rsidR="00317EE7" w:rsidRPr="00D2156A" w:rsidRDefault="00317EE7" w:rsidP="00DD7050">
            <w:pPr>
              <w:spacing w:after="120"/>
              <w:jc w:val="both"/>
            </w:pPr>
            <w:r w:rsidRPr="00D2156A">
              <w:t>Zakon o provedbi Uredbe (EZ) 396/05 o maksimalnim razinama ostataka pesticida u i na hrani i hrani za životinje biljnog i životinjskog podrijetla (Narodne novine, broj 80/13)</w:t>
            </w:r>
          </w:p>
        </w:tc>
      </w:tr>
      <w:tr w:rsidR="00317EE7" w:rsidRPr="00CB4024" w14:paraId="2F234461"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90E92D2" w14:textId="77777777" w:rsidR="00317EE7" w:rsidRPr="00D2156A" w:rsidRDefault="00317EE7" w:rsidP="00DD7050">
            <w:pPr>
              <w:spacing w:after="120"/>
              <w:jc w:val="both"/>
            </w:pPr>
            <w:r w:rsidRPr="00D2156A">
              <w:t>Pravilnik o metodama uzorkovanja za provedbu službene kontrole ostataka pesticida u i na proizvodima biljnog i životinjskog podrijetla (Narodne novine, broj 77/08)</w:t>
            </w:r>
          </w:p>
        </w:tc>
      </w:tr>
      <w:tr w:rsidR="00317EE7" w:rsidRPr="00CB4024" w14:paraId="480A2072"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702F8A7" w14:textId="066034AA" w:rsidR="00317EE7" w:rsidRPr="00D2156A" w:rsidRDefault="00317EE7" w:rsidP="00DD7050">
            <w:pPr>
              <w:spacing w:after="120"/>
              <w:jc w:val="both"/>
            </w:pPr>
            <w:r w:rsidRPr="00D2156A">
              <w:t xml:space="preserve">Rješenje o zabrani prometa SZB koja sadrže određene aktivne tvari: </w:t>
            </w:r>
            <w:proofErr w:type="spellStart"/>
            <w:r w:rsidRPr="00D2156A">
              <w:t>acifluorfen</w:t>
            </w:r>
            <w:proofErr w:type="spellEnd"/>
            <w:r w:rsidRPr="00D2156A">
              <w:t xml:space="preserve">, </w:t>
            </w:r>
            <w:proofErr w:type="spellStart"/>
            <w:r w:rsidRPr="00D2156A">
              <w:t>amitraz</w:t>
            </w:r>
            <w:proofErr w:type="spellEnd"/>
            <w:r w:rsidRPr="00D2156A">
              <w:t xml:space="preserve">, </w:t>
            </w:r>
            <w:proofErr w:type="spellStart"/>
            <w:r w:rsidRPr="00D2156A">
              <w:t>atrazin</w:t>
            </w:r>
            <w:proofErr w:type="spellEnd"/>
            <w:r w:rsidRPr="00D2156A">
              <w:t xml:space="preserve">, </w:t>
            </w:r>
            <w:proofErr w:type="spellStart"/>
            <w:r w:rsidRPr="00D2156A">
              <w:t>brompropilat</w:t>
            </w:r>
            <w:proofErr w:type="spellEnd"/>
            <w:r w:rsidRPr="00D2156A">
              <w:t xml:space="preserve">, </w:t>
            </w:r>
            <w:proofErr w:type="spellStart"/>
            <w:r w:rsidRPr="00D2156A">
              <w:t>cikloat</w:t>
            </w:r>
            <w:proofErr w:type="spellEnd"/>
            <w:r w:rsidRPr="00D2156A">
              <w:t xml:space="preserve">, </w:t>
            </w:r>
            <w:proofErr w:type="spellStart"/>
            <w:r w:rsidRPr="00D2156A">
              <w:t>difetialon</w:t>
            </w:r>
            <w:proofErr w:type="spellEnd"/>
            <w:r w:rsidRPr="00D2156A">
              <w:t xml:space="preserve">, </w:t>
            </w:r>
            <w:proofErr w:type="spellStart"/>
            <w:r w:rsidRPr="00D2156A">
              <w:t>diklofluanid</w:t>
            </w:r>
            <w:proofErr w:type="spellEnd"/>
            <w:r w:rsidRPr="00D2156A">
              <w:t xml:space="preserve">, </w:t>
            </w:r>
            <w:proofErr w:type="spellStart"/>
            <w:r w:rsidRPr="00D2156A">
              <w:t>diklorprop</w:t>
            </w:r>
            <w:proofErr w:type="spellEnd"/>
            <w:r w:rsidRPr="00D2156A">
              <w:t xml:space="preserve"> (</w:t>
            </w:r>
            <w:proofErr w:type="spellStart"/>
            <w:r w:rsidRPr="00D2156A">
              <w:t>racemat</w:t>
            </w:r>
            <w:proofErr w:type="spellEnd"/>
            <w:r w:rsidRPr="00D2156A">
              <w:t xml:space="preserve">), </w:t>
            </w:r>
            <w:proofErr w:type="spellStart"/>
            <w:r w:rsidRPr="00D2156A">
              <w:t>endosulfan</w:t>
            </w:r>
            <w:proofErr w:type="spellEnd"/>
            <w:r w:rsidRPr="00D2156A">
              <w:t xml:space="preserve">, EPTC, </w:t>
            </w:r>
            <w:proofErr w:type="spellStart"/>
            <w:r w:rsidRPr="00D2156A">
              <w:t>fenpropatrin</w:t>
            </w:r>
            <w:proofErr w:type="spellEnd"/>
            <w:r w:rsidRPr="00D2156A">
              <w:t xml:space="preserve">, </w:t>
            </w:r>
            <w:proofErr w:type="spellStart"/>
            <w:r w:rsidRPr="00D2156A">
              <w:t>flokumafen</w:t>
            </w:r>
            <w:proofErr w:type="spellEnd"/>
            <w:r w:rsidRPr="00D2156A">
              <w:t xml:space="preserve"> (</w:t>
            </w:r>
            <w:proofErr w:type="spellStart"/>
            <w:r w:rsidRPr="00D2156A">
              <w:t>racemat</w:t>
            </w:r>
            <w:proofErr w:type="spellEnd"/>
            <w:r w:rsidRPr="00D2156A">
              <w:t xml:space="preserve">), </w:t>
            </w:r>
            <w:proofErr w:type="spellStart"/>
            <w:r w:rsidRPr="00D2156A">
              <w:t>fomesafen</w:t>
            </w:r>
            <w:proofErr w:type="spellEnd"/>
            <w:r w:rsidRPr="00D2156A">
              <w:t xml:space="preserve">, </w:t>
            </w:r>
            <w:proofErr w:type="spellStart"/>
            <w:r w:rsidRPr="00D2156A">
              <w:t>heksaflumuron</w:t>
            </w:r>
            <w:proofErr w:type="spellEnd"/>
            <w:r w:rsidRPr="00D2156A">
              <w:t xml:space="preserve">, </w:t>
            </w:r>
            <w:proofErr w:type="spellStart"/>
            <w:r w:rsidRPr="00D2156A">
              <w:t>heptenofos</w:t>
            </w:r>
            <w:proofErr w:type="spellEnd"/>
            <w:r w:rsidRPr="00D2156A">
              <w:t xml:space="preserve">, 8-hidroksikinolin sulfat, </w:t>
            </w:r>
            <w:proofErr w:type="spellStart"/>
            <w:r w:rsidRPr="00D2156A">
              <w:t>imazametabenz</w:t>
            </w:r>
            <w:proofErr w:type="spellEnd"/>
            <w:r w:rsidRPr="00D2156A">
              <w:t xml:space="preserve">-metil, </w:t>
            </w:r>
            <w:proofErr w:type="spellStart"/>
            <w:r w:rsidRPr="00D2156A">
              <w:t>imazapir</w:t>
            </w:r>
            <w:proofErr w:type="spellEnd"/>
            <w:r w:rsidRPr="00D2156A">
              <w:t xml:space="preserve">, </w:t>
            </w:r>
            <w:proofErr w:type="spellStart"/>
            <w:r w:rsidRPr="00D2156A">
              <w:t>kumatetralil</w:t>
            </w:r>
            <w:proofErr w:type="spellEnd"/>
            <w:r w:rsidRPr="00D2156A">
              <w:t xml:space="preserve">, </w:t>
            </w:r>
            <w:proofErr w:type="spellStart"/>
            <w:r w:rsidRPr="00D2156A">
              <w:t>metalaksil</w:t>
            </w:r>
            <w:proofErr w:type="spellEnd"/>
            <w:r w:rsidRPr="00D2156A">
              <w:t xml:space="preserve"> (</w:t>
            </w:r>
            <w:proofErr w:type="spellStart"/>
            <w:r w:rsidRPr="00D2156A">
              <w:t>racemat</w:t>
            </w:r>
            <w:proofErr w:type="spellEnd"/>
            <w:r w:rsidRPr="00D2156A">
              <w:t xml:space="preserve">), </w:t>
            </w:r>
            <w:proofErr w:type="spellStart"/>
            <w:r w:rsidRPr="00D2156A">
              <w:t>metobromuron</w:t>
            </w:r>
            <w:proofErr w:type="spellEnd"/>
            <w:r w:rsidRPr="00D2156A">
              <w:t xml:space="preserve">, </w:t>
            </w:r>
            <w:proofErr w:type="spellStart"/>
            <w:r w:rsidRPr="00D2156A">
              <w:t>metolaklor</w:t>
            </w:r>
            <w:proofErr w:type="spellEnd"/>
            <w:r w:rsidRPr="00D2156A">
              <w:t xml:space="preserve"> (</w:t>
            </w:r>
            <w:proofErr w:type="spellStart"/>
            <w:r w:rsidRPr="00D2156A">
              <w:t>racemat</w:t>
            </w:r>
            <w:proofErr w:type="spellEnd"/>
            <w:r w:rsidRPr="00D2156A">
              <w:t xml:space="preserve">), </w:t>
            </w:r>
            <w:proofErr w:type="spellStart"/>
            <w:r w:rsidRPr="00D2156A">
              <w:t>nonilfenoletoksilat</w:t>
            </w:r>
            <w:proofErr w:type="spellEnd"/>
            <w:r w:rsidRPr="00D2156A">
              <w:t xml:space="preserve">, </w:t>
            </w:r>
            <w:proofErr w:type="spellStart"/>
            <w:r w:rsidRPr="00D2156A">
              <w:t>ofurak</w:t>
            </w:r>
            <w:proofErr w:type="spellEnd"/>
            <w:r w:rsidRPr="00D2156A">
              <w:t xml:space="preserve">, </w:t>
            </w:r>
            <w:proofErr w:type="spellStart"/>
            <w:r w:rsidRPr="00D2156A">
              <w:t>ometoat</w:t>
            </w:r>
            <w:proofErr w:type="spellEnd"/>
            <w:r w:rsidRPr="00D2156A">
              <w:t xml:space="preserve">, </w:t>
            </w:r>
            <w:proofErr w:type="spellStart"/>
            <w:r w:rsidRPr="00D2156A">
              <w:t>prometrin</w:t>
            </w:r>
            <w:proofErr w:type="spellEnd"/>
            <w:r w:rsidRPr="00D2156A">
              <w:t xml:space="preserve">, </w:t>
            </w:r>
            <w:proofErr w:type="spellStart"/>
            <w:r w:rsidRPr="00D2156A">
              <w:t>setoksidim</w:t>
            </w:r>
            <w:proofErr w:type="spellEnd"/>
            <w:r w:rsidRPr="00D2156A">
              <w:t xml:space="preserve">, </w:t>
            </w:r>
            <w:proofErr w:type="spellStart"/>
            <w:r w:rsidRPr="00D2156A">
              <w:t>simazin</w:t>
            </w:r>
            <w:proofErr w:type="spellEnd"/>
            <w:r w:rsidRPr="00D2156A">
              <w:t xml:space="preserve">, </w:t>
            </w:r>
            <w:proofErr w:type="spellStart"/>
            <w:r w:rsidRPr="00D2156A">
              <w:t>terbufos</w:t>
            </w:r>
            <w:proofErr w:type="spellEnd"/>
            <w:r w:rsidRPr="00D2156A">
              <w:t xml:space="preserve">, </w:t>
            </w:r>
            <w:proofErr w:type="spellStart"/>
            <w:r w:rsidRPr="00D2156A">
              <w:t>tetradifon</w:t>
            </w:r>
            <w:proofErr w:type="spellEnd"/>
            <w:r w:rsidRPr="00D2156A">
              <w:t xml:space="preserve">, </w:t>
            </w:r>
            <w:proofErr w:type="spellStart"/>
            <w:r w:rsidRPr="00D2156A">
              <w:t>triadimefon</w:t>
            </w:r>
            <w:proofErr w:type="spellEnd"/>
            <w:r w:rsidRPr="00D2156A">
              <w:t xml:space="preserve">, </w:t>
            </w:r>
            <w:proofErr w:type="spellStart"/>
            <w:r w:rsidRPr="00D2156A">
              <w:t>triforin</w:t>
            </w:r>
            <w:proofErr w:type="spellEnd"/>
            <w:r w:rsidRPr="00D2156A">
              <w:t xml:space="preserve"> i </w:t>
            </w:r>
            <w:proofErr w:type="spellStart"/>
            <w:r w:rsidRPr="00D2156A">
              <w:t>vernolat</w:t>
            </w:r>
            <w:proofErr w:type="spellEnd"/>
            <w:r w:rsidRPr="00D2156A">
              <w:t>, K</w:t>
            </w:r>
            <w:r w:rsidR="009E3F20">
              <w:t>LASA</w:t>
            </w:r>
            <w:r w:rsidRPr="00D2156A">
              <w:t>: UP/I-320-20/07-01/34; U</w:t>
            </w:r>
            <w:r w:rsidR="009E3F20">
              <w:t>RBROJ</w:t>
            </w:r>
            <w:r w:rsidRPr="00D2156A">
              <w:t>: 525-02-07-1</w:t>
            </w:r>
            <w:r w:rsidR="000478CB">
              <w:t>,</w:t>
            </w:r>
            <w:r w:rsidRPr="00D2156A">
              <w:t xml:space="preserve"> od </w:t>
            </w:r>
            <w:r w:rsidR="000478CB">
              <w:t xml:space="preserve">28. svibnja </w:t>
            </w:r>
            <w:r w:rsidRPr="00D2156A">
              <w:t>2007.</w:t>
            </w:r>
            <w:r w:rsidR="000478CB">
              <w:t xml:space="preserve"> godine</w:t>
            </w:r>
          </w:p>
        </w:tc>
      </w:tr>
      <w:tr w:rsidR="00317EE7" w:rsidRPr="00CB4024" w14:paraId="4DB91CAB"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78B7FF8" w14:textId="49C4C833" w:rsidR="00317EE7" w:rsidRPr="00D2156A" w:rsidRDefault="00317EE7" w:rsidP="00DD7050">
            <w:pPr>
              <w:spacing w:after="120"/>
              <w:jc w:val="both"/>
            </w:pPr>
            <w:r w:rsidRPr="00D2156A">
              <w:t xml:space="preserve">Rješenje o zabrani prometa SZB koja sadrže određene aktivne tvari </w:t>
            </w:r>
            <w:proofErr w:type="spellStart"/>
            <w:r w:rsidRPr="00D2156A">
              <w:t>alaklor</w:t>
            </w:r>
            <w:proofErr w:type="spellEnd"/>
            <w:r w:rsidRPr="00D2156A">
              <w:t xml:space="preserve">, </w:t>
            </w:r>
            <w:proofErr w:type="spellStart"/>
            <w:r w:rsidRPr="00D2156A">
              <w:t>diazinon</w:t>
            </w:r>
            <w:proofErr w:type="spellEnd"/>
            <w:r w:rsidRPr="00D2156A">
              <w:t xml:space="preserve">, </w:t>
            </w:r>
            <w:proofErr w:type="spellStart"/>
            <w:r w:rsidRPr="00D2156A">
              <w:t>diklorvos</w:t>
            </w:r>
            <w:proofErr w:type="spellEnd"/>
            <w:r w:rsidRPr="00D2156A">
              <w:t xml:space="preserve">, </w:t>
            </w:r>
            <w:proofErr w:type="spellStart"/>
            <w:r w:rsidRPr="00D2156A">
              <w:t>diuron</w:t>
            </w:r>
            <w:proofErr w:type="spellEnd"/>
            <w:r w:rsidRPr="00D2156A">
              <w:t xml:space="preserve">, </w:t>
            </w:r>
            <w:proofErr w:type="spellStart"/>
            <w:r w:rsidRPr="00D2156A">
              <w:t>fosalon</w:t>
            </w:r>
            <w:proofErr w:type="spellEnd"/>
            <w:r w:rsidRPr="00D2156A">
              <w:t xml:space="preserve">, </w:t>
            </w:r>
            <w:proofErr w:type="spellStart"/>
            <w:r w:rsidRPr="00D2156A">
              <w:t>haloksifop</w:t>
            </w:r>
            <w:proofErr w:type="spellEnd"/>
            <w:r w:rsidRPr="00D2156A">
              <w:t xml:space="preserve">-R, </w:t>
            </w:r>
            <w:proofErr w:type="spellStart"/>
            <w:r w:rsidRPr="00D2156A">
              <w:t>heksakonazol</w:t>
            </w:r>
            <w:proofErr w:type="spellEnd"/>
            <w:r w:rsidRPr="00D2156A">
              <w:t xml:space="preserve">, </w:t>
            </w:r>
            <w:proofErr w:type="spellStart"/>
            <w:r w:rsidRPr="00D2156A">
              <w:t>karbofuran</w:t>
            </w:r>
            <w:proofErr w:type="spellEnd"/>
            <w:r w:rsidRPr="00D2156A">
              <w:t xml:space="preserve">, </w:t>
            </w:r>
            <w:proofErr w:type="spellStart"/>
            <w:r w:rsidRPr="00D2156A">
              <w:t>karbosulfan</w:t>
            </w:r>
            <w:proofErr w:type="spellEnd"/>
            <w:r w:rsidRPr="00D2156A">
              <w:t xml:space="preserve">, </w:t>
            </w:r>
            <w:proofErr w:type="spellStart"/>
            <w:r w:rsidRPr="00D2156A">
              <w:t>malation</w:t>
            </w:r>
            <w:proofErr w:type="spellEnd"/>
            <w:r w:rsidRPr="00D2156A">
              <w:t xml:space="preserve">, </w:t>
            </w:r>
            <w:proofErr w:type="spellStart"/>
            <w:r w:rsidRPr="00D2156A">
              <w:t>oksidemeton</w:t>
            </w:r>
            <w:proofErr w:type="spellEnd"/>
            <w:r w:rsidRPr="00D2156A">
              <w:t xml:space="preserve">-metil i </w:t>
            </w:r>
            <w:proofErr w:type="spellStart"/>
            <w:r w:rsidRPr="00D2156A">
              <w:t>triklorfon</w:t>
            </w:r>
            <w:proofErr w:type="spellEnd"/>
            <w:r w:rsidRPr="00D2156A">
              <w:t>, K</w:t>
            </w:r>
            <w:r w:rsidR="009E3F20">
              <w:t>LASA</w:t>
            </w:r>
            <w:r w:rsidRPr="00D2156A">
              <w:t>: UP/I-320-20/07-01/39; U</w:t>
            </w:r>
            <w:r w:rsidR="009E3F20">
              <w:t>RBROJ</w:t>
            </w:r>
            <w:r w:rsidRPr="00D2156A">
              <w:t>: 525-02-07-1</w:t>
            </w:r>
            <w:r w:rsidR="000478CB">
              <w:t xml:space="preserve"> od 19. srpnja </w:t>
            </w:r>
            <w:r w:rsidRPr="00D2156A">
              <w:t>2007.</w:t>
            </w:r>
            <w:r w:rsidR="000478CB">
              <w:t xml:space="preserve"> godine</w:t>
            </w:r>
          </w:p>
        </w:tc>
      </w:tr>
      <w:tr w:rsidR="00317EE7" w:rsidRPr="00CB4024" w14:paraId="4194E681" w14:textId="77777777" w:rsidTr="00B738C2">
        <w:trPr>
          <w:trHeight w:val="395"/>
        </w:trPr>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DA237" w14:textId="77777777" w:rsidR="00317EE7" w:rsidRPr="00D2156A" w:rsidRDefault="00317EE7" w:rsidP="00DD7050">
            <w:pPr>
              <w:pStyle w:val="t-9-8-bez-uvl"/>
              <w:spacing w:before="0" w:beforeAutospacing="0" w:after="120" w:afterAutospacing="0"/>
              <w:jc w:val="center"/>
              <w:rPr>
                <w:color w:val="000000"/>
              </w:rPr>
            </w:pPr>
            <w:r w:rsidRPr="00D2156A">
              <w:rPr>
                <w:rStyle w:val="bold1"/>
                <w:bCs/>
                <w:color w:val="000000"/>
              </w:rPr>
              <w:lastRenderedPageBreak/>
              <w:t>KEMIKALIJE</w:t>
            </w:r>
          </w:p>
        </w:tc>
      </w:tr>
      <w:tr w:rsidR="00317EE7" w:rsidRPr="00CB4024" w14:paraId="4473FF44"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085BCA7E" w14:textId="0CAE0CF3" w:rsidR="00317EE7" w:rsidRPr="00782F5F" w:rsidRDefault="00317EE7" w:rsidP="00DD7050">
            <w:pPr>
              <w:pStyle w:val="t-9-8-bez-uvl"/>
              <w:spacing w:before="0" w:beforeAutospacing="0" w:after="120" w:afterAutospacing="0"/>
              <w:jc w:val="both"/>
            </w:pPr>
            <w:r w:rsidRPr="00D2156A">
              <w:t>Zakon o potvrđivanju Roterdamske konvencije o postupku prethodnog pristanka za određene opasne kemikalije i pesticide u međunarodnoj trgovini (</w:t>
            </w:r>
            <w:r w:rsidR="00355500">
              <w:t>Narodne novine</w:t>
            </w:r>
            <w:r w:rsidR="00782F5F">
              <w:t xml:space="preserve"> – </w:t>
            </w:r>
            <w:r w:rsidR="00355500">
              <w:t xml:space="preserve">Međunarodni ugovori, </w:t>
            </w:r>
            <w:r>
              <w:t>broj</w:t>
            </w:r>
            <w:r w:rsidRPr="00D2156A">
              <w:t xml:space="preserve"> 4/07)</w:t>
            </w:r>
          </w:p>
        </w:tc>
      </w:tr>
      <w:tr w:rsidR="00317EE7" w:rsidRPr="00CB4024" w14:paraId="029A306E"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114B616" w14:textId="77777777" w:rsidR="00317EE7" w:rsidRPr="00D2156A" w:rsidRDefault="00317EE7" w:rsidP="00DD7050">
            <w:pPr>
              <w:pStyle w:val="t-9-8-bez-uvl"/>
              <w:spacing w:before="0" w:beforeAutospacing="0" w:after="120" w:afterAutospacing="0"/>
              <w:jc w:val="both"/>
              <w:rPr>
                <w:color w:val="000000"/>
                <w:lang w:eastAsia="en-US"/>
              </w:rPr>
            </w:pPr>
            <w:r w:rsidRPr="00D2156A">
              <w:t>Zakon o kemikalijama (Narodne novine, broj 18/13)</w:t>
            </w:r>
          </w:p>
        </w:tc>
      </w:tr>
      <w:tr w:rsidR="00317EE7" w:rsidRPr="00CB4024" w14:paraId="78B5EE6E"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040958B" w14:textId="62F45F2B" w:rsidR="00317EE7" w:rsidRPr="00D2156A" w:rsidRDefault="00317EE7" w:rsidP="00DD7050">
            <w:pPr>
              <w:pStyle w:val="t-9-8-bez-uvl"/>
              <w:spacing w:before="0" w:beforeAutospacing="0" w:after="120" w:afterAutospacing="0"/>
              <w:jc w:val="both"/>
              <w:rPr>
                <w:color w:val="000000"/>
              </w:rPr>
            </w:pPr>
            <w:r w:rsidRPr="00D2156A">
              <w:t>Zakon o provedbi Uredbe (EZ) br. 1272/08 Europskog parlamenta i Vijeća o razvrstavanju, označavanju i pakiranju tvari i smjesa, kojom se izmjenjuju, dopunjuju i ukidaju Direktiva 67/548/EEZ i Direktiva 1999/45/EZ i izmjenjuje i dopunjuje Uredba (EZ) br. 1907/06 (Narodne novine, br</w:t>
            </w:r>
            <w:r w:rsidR="000B6F61">
              <w:t>.</w:t>
            </w:r>
            <w:r w:rsidRPr="00D2156A">
              <w:t xml:space="preserve"> 50/12</w:t>
            </w:r>
            <w:r w:rsidR="00A427A1">
              <w:t xml:space="preserve"> i</w:t>
            </w:r>
            <w:r w:rsidRPr="00D2156A">
              <w:t xml:space="preserve"> 18/13)</w:t>
            </w:r>
          </w:p>
        </w:tc>
      </w:tr>
      <w:tr w:rsidR="00317EE7" w:rsidRPr="00CB4024" w14:paraId="7D6BD643"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688E952" w14:textId="53F3DE92" w:rsidR="00317EE7" w:rsidRPr="00D2156A" w:rsidRDefault="00317EE7" w:rsidP="00DD7050">
            <w:pPr>
              <w:pStyle w:val="t-9-8-bez-uvl"/>
              <w:spacing w:before="0" w:beforeAutospacing="0" w:after="120" w:afterAutospacing="0"/>
              <w:jc w:val="both"/>
              <w:rPr>
                <w:color w:val="000000"/>
              </w:rPr>
            </w:pPr>
            <w:r w:rsidRPr="00D2156A">
              <w:t>Zakon o provedbi Uredbe (EZ) br. 1907/06 Europskog Parlamenta i Vijeća EZ o registraciji, evaluaciji, autorizaciji i ograničavanju kemikal</w:t>
            </w:r>
            <w:r w:rsidR="00D26AED">
              <w:t>ija (Narodne novine, br</w:t>
            </w:r>
            <w:r w:rsidR="000B6F61">
              <w:t>.</w:t>
            </w:r>
            <w:r w:rsidR="00D26AED">
              <w:t xml:space="preserve"> 53/08 i</w:t>
            </w:r>
            <w:r w:rsidRPr="00D2156A">
              <w:t xml:space="preserve"> 18/13)</w:t>
            </w:r>
          </w:p>
        </w:tc>
      </w:tr>
      <w:tr w:rsidR="00317EE7" w:rsidRPr="00CB4024" w14:paraId="1DC51855"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D07C2B3" w14:textId="30D388A3" w:rsidR="00317EE7" w:rsidRPr="00D2156A" w:rsidRDefault="00317EE7" w:rsidP="00DD7050">
            <w:pPr>
              <w:pStyle w:val="t-9-8-bez-uvl"/>
              <w:spacing w:before="0" w:beforeAutospacing="0" w:after="120" w:afterAutospacing="0"/>
              <w:jc w:val="both"/>
              <w:rPr>
                <w:color w:val="000000"/>
              </w:rPr>
            </w:pPr>
            <w:r w:rsidRPr="00D2156A">
              <w:t xml:space="preserve">Nacionalna strategija kemijske sigurnosti (Narodne novine, broj </w:t>
            </w:r>
            <w:r w:rsidR="000478CB">
              <w:t>1</w:t>
            </w:r>
            <w:r w:rsidRPr="00D2156A">
              <w:t>43/08)</w:t>
            </w:r>
          </w:p>
        </w:tc>
      </w:tr>
      <w:tr w:rsidR="00317EE7" w:rsidRPr="00CB4024" w14:paraId="0797B865"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D433D69" w14:textId="1594E4FF" w:rsidR="00317EE7" w:rsidRPr="00D2156A" w:rsidRDefault="00317EE7" w:rsidP="00DD7050">
            <w:pPr>
              <w:pStyle w:val="t-9-8-bez-uvl"/>
              <w:spacing w:before="0" w:beforeAutospacing="0" w:after="120" w:afterAutospacing="0"/>
              <w:jc w:val="both"/>
              <w:rPr>
                <w:color w:val="000000"/>
              </w:rPr>
            </w:pPr>
            <w:r w:rsidRPr="00D2156A">
              <w:t xml:space="preserve">Zakon o provedbi Uredbe (EU) 528/12 Europskog parlamenta i Vijeća u vezi </w:t>
            </w:r>
            <w:r w:rsidR="000478CB">
              <w:t>stavljanja na raspolaganje</w:t>
            </w:r>
            <w:r w:rsidRPr="00D2156A">
              <w:t xml:space="preserve"> na tržištu i uporabi </w:t>
            </w:r>
            <w:proofErr w:type="spellStart"/>
            <w:r w:rsidRPr="00D2156A">
              <w:t>biocidnih</w:t>
            </w:r>
            <w:proofErr w:type="spellEnd"/>
            <w:r w:rsidRPr="00D2156A">
              <w:t xml:space="preserve"> proizv</w:t>
            </w:r>
            <w:r w:rsidR="00D26AED">
              <w:t>oda (Narodne novine, br</w:t>
            </w:r>
            <w:r w:rsidR="000B6F61">
              <w:t>.</w:t>
            </w:r>
            <w:r w:rsidR="000478CB">
              <w:t xml:space="preserve"> </w:t>
            </w:r>
            <w:r w:rsidR="00D26AED">
              <w:t>39/13 i</w:t>
            </w:r>
            <w:r w:rsidRPr="00D2156A">
              <w:t xml:space="preserve"> 47/14)</w:t>
            </w:r>
          </w:p>
        </w:tc>
      </w:tr>
      <w:tr w:rsidR="00317EE7" w:rsidRPr="00CB4024" w14:paraId="55C9265B" w14:textId="77777777" w:rsidTr="00B738C2">
        <w:trPr>
          <w:trHeight w:val="348"/>
        </w:trPr>
        <w:tc>
          <w:tcPr>
            <w:tcW w:w="9520" w:type="dxa"/>
            <w:tcBorders>
              <w:top w:val="single" w:sz="4" w:space="0" w:color="auto"/>
              <w:left w:val="single" w:sz="4" w:space="0" w:color="auto"/>
              <w:bottom w:val="single" w:sz="4" w:space="0" w:color="auto"/>
              <w:right w:val="single" w:sz="4" w:space="0" w:color="auto"/>
            </w:tcBorders>
            <w:vAlign w:val="center"/>
          </w:tcPr>
          <w:p w14:paraId="6289A699" w14:textId="77777777" w:rsidR="00317EE7" w:rsidRPr="00D2156A" w:rsidRDefault="00317EE7" w:rsidP="00DD7050">
            <w:pPr>
              <w:pStyle w:val="t-9-8-bez-uvl"/>
              <w:spacing w:before="0" w:beforeAutospacing="0" w:after="120" w:afterAutospacing="0"/>
              <w:jc w:val="both"/>
              <w:rPr>
                <w:color w:val="000000"/>
              </w:rPr>
            </w:pPr>
            <w:r w:rsidRPr="00D2156A">
              <w:t xml:space="preserve">Popis </w:t>
            </w:r>
            <w:proofErr w:type="spellStart"/>
            <w:r w:rsidRPr="00D2156A">
              <w:t>biocidnih</w:t>
            </w:r>
            <w:proofErr w:type="spellEnd"/>
            <w:r w:rsidRPr="00D2156A">
              <w:t xml:space="preserve"> pripravaka kojima je dano odobrenje za stavljanje na tržište (Narodne novine, broj 115/14)</w:t>
            </w:r>
          </w:p>
        </w:tc>
      </w:tr>
      <w:tr w:rsidR="00317EE7" w:rsidRPr="00CB4024" w14:paraId="174495F7"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0D144AE" w14:textId="77777777" w:rsidR="00317EE7" w:rsidRPr="00D2156A" w:rsidRDefault="00317EE7" w:rsidP="00DD7050">
            <w:pPr>
              <w:pStyle w:val="t-9-8-bez-uvl"/>
              <w:spacing w:before="0" w:beforeAutospacing="0" w:after="120" w:afterAutospacing="0"/>
              <w:jc w:val="both"/>
              <w:rPr>
                <w:color w:val="000000"/>
              </w:rPr>
            </w:pPr>
            <w:r w:rsidRPr="00D2156A">
              <w:t xml:space="preserve">Pravilnik o troškovima vezanim za stavljanje na raspolaganje </w:t>
            </w:r>
            <w:proofErr w:type="spellStart"/>
            <w:r w:rsidRPr="00D2156A">
              <w:t>biocidnih</w:t>
            </w:r>
            <w:proofErr w:type="spellEnd"/>
            <w:r w:rsidRPr="00D2156A">
              <w:t xml:space="preserve"> proizvoda na tržištu (Narodne novine, broj 55/14)</w:t>
            </w:r>
          </w:p>
        </w:tc>
      </w:tr>
      <w:tr w:rsidR="00317EE7" w:rsidRPr="00CB4024" w14:paraId="6E9B6143" w14:textId="77777777" w:rsidTr="00B738C2">
        <w:trPr>
          <w:trHeight w:val="365"/>
        </w:trPr>
        <w:tc>
          <w:tcPr>
            <w:tcW w:w="9520" w:type="dxa"/>
            <w:tcBorders>
              <w:top w:val="single" w:sz="4" w:space="0" w:color="auto"/>
              <w:left w:val="single" w:sz="4" w:space="0" w:color="auto"/>
              <w:bottom w:val="single" w:sz="4" w:space="0" w:color="auto"/>
              <w:right w:val="single" w:sz="4" w:space="0" w:color="auto"/>
            </w:tcBorders>
            <w:vAlign w:val="center"/>
          </w:tcPr>
          <w:p w14:paraId="3D39D489" w14:textId="77777777" w:rsidR="00317EE7" w:rsidRPr="00D2156A" w:rsidRDefault="00317EE7" w:rsidP="00DD7050">
            <w:pPr>
              <w:pStyle w:val="t-9-8-bez-uvl"/>
              <w:spacing w:before="0" w:beforeAutospacing="0" w:after="120" w:afterAutospacing="0"/>
              <w:jc w:val="both"/>
              <w:rPr>
                <w:color w:val="000000"/>
              </w:rPr>
            </w:pPr>
            <w:r w:rsidRPr="00D2156A">
              <w:t xml:space="preserve">Pravilnik o provedbi postupka odobravanja </w:t>
            </w:r>
            <w:proofErr w:type="spellStart"/>
            <w:r w:rsidRPr="00D2156A">
              <w:t>biocidnih</w:t>
            </w:r>
            <w:proofErr w:type="spellEnd"/>
            <w:r w:rsidRPr="00D2156A">
              <w:t xml:space="preserve"> proizvoda (Narodne novine, broj 55/14)</w:t>
            </w:r>
          </w:p>
        </w:tc>
      </w:tr>
      <w:tr w:rsidR="00317EE7" w:rsidRPr="00CB4024" w14:paraId="474B82B3" w14:textId="77777777" w:rsidTr="00B738C2">
        <w:trPr>
          <w:trHeight w:val="262"/>
        </w:trPr>
        <w:tc>
          <w:tcPr>
            <w:tcW w:w="9520" w:type="dxa"/>
            <w:tcBorders>
              <w:top w:val="single" w:sz="4" w:space="0" w:color="auto"/>
              <w:left w:val="single" w:sz="4" w:space="0" w:color="auto"/>
              <w:bottom w:val="single" w:sz="4" w:space="0" w:color="auto"/>
              <w:right w:val="single" w:sz="4" w:space="0" w:color="auto"/>
            </w:tcBorders>
            <w:vAlign w:val="center"/>
          </w:tcPr>
          <w:p w14:paraId="59EF2AD8" w14:textId="6B95CF7F" w:rsidR="00317EE7" w:rsidRPr="00D2156A" w:rsidRDefault="00317EE7" w:rsidP="00DD7050">
            <w:pPr>
              <w:pStyle w:val="t-9-8-bez-uvl"/>
              <w:spacing w:before="0" w:beforeAutospacing="0" w:after="120" w:afterAutospacing="0"/>
              <w:jc w:val="both"/>
              <w:rPr>
                <w:color w:val="000000"/>
              </w:rPr>
            </w:pPr>
            <w:r w:rsidRPr="00D2156A">
              <w:t>Pravilnik o načinu vođenja očevidnika o kemikalijama te o načinu i rokovima dostave podataka iz očevidnika (Narodne novine, br</w:t>
            </w:r>
            <w:r w:rsidR="000B6F61">
              <w:t>.</w:t>
            </w:r>
            <w:r w:rsidRPr="00D2156A">
              <w:t xml:space="preserve"> 99/13</w:t>
            </w:r>
            <w:r w:rsidR="000B6F61">
              <w:t xml:space="preserve"> i </w:t>
            </w:r>
            <w:r w:rsidRPr="00D2156A">
              <w:t>157/13)</w:t>
            </w:r>
          </w:p>
        </w:tc>
      </w:tr>
      <w:tr w:rsidR="00317EE7" w:rsidRPr="00CB4024" w14:paraId="14233BA9" w14:textId="77777777" w:rsidTr="00B738C2">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36E1EBE3" w14:textId="77777777" w:rsidR="00317EE7" w:rsidRPr="00D2156A" w:rsidRDefault="00317EE7" w:rsidP="00DD7050">
            <w:pPr>
              <w:pStyle w:val="t-9-8-bez-uvl"/>
              <w:spacing w:before="0" w:beforeAutospacing="0" w:after="120" w:afterAutospacing="0"/>
              <w:jc w:val="both"/>
              <w:rPr>
                <w:color w:val="000000"/>
              </w:rPr>
            </w:pPr>
            <w:r w:rsidRPr="00D2156A">
              <w:t>Pravilnik o skladištenju opasnih kemikalija koje djeluju u obliku plina (Narodne novine, broj 91/13)</w:t>
            </w:r>
          </w:p>
        </w:tc>
      </w:tr>
      <w:tr w:rsidR="00317EE7" w:rsidRPr="00CB4024" w14:paraId="72E72B85"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6B46DDB" w14:textId="6D46375E" w:rsidR="00317EE7" w:rsidRPr="00D2156A" w:rsidRDefault="00317EE7" w:rsidP="00DD7050">
            <w:pPr>
              <w:pStyle w:val="t-9-8-bez-uvl"/>
              <w:spacing w:before="0" w:beforeAutospacing="0" w:after="120" w:afterAutospacing="0"/>
              <w:jc w:val="both"/>
              <w:rPr>
                <w:color w:val="000000"/>
              </w:rPr>
            </w:pPr>
            <w:r w:rsidRPr="00D2156A">
              <w:t>Pravilnik o uvjetima za obavljanje djelatnosti proizvodnje, stavljanja na tržište i korištenja opasnih kemikalija (Narodne novine, br</w:t>
            </w:r>
            <w:r w:rsidR="000B6F61">
              <w:t>.</w:t>
            </w:r>
            <w:r w:rsidRPr="00D2156A">
              <w:t xml:space="preserve"> 99/13, 157/13</w:t>
            </w:r>
            <w:r w:rsidR="00A427A1">
              <w:t xml:space="preserve"> i</w:t>
            </w:r>
            <w:r w:rsidRPr="00D2156A">
              <w:t xml:space="preserve"> 122/14)</w:t>
            </w:r>
          </w:p>
        </w:tc>
      </w:tr>
      <w:tr w:rsidR="00317EE7" w:rsidRPr="00CB4024" w14:paraId="4DB13B69"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97D79AA" w14:textId="77777777" w:rsidR="00317EE7" w:rsidRPr="00D2156A" w:rsidRDefault="00317EE7" w:rsidP="00DD7050">
            <w:pPr>
              <w:pStyle w:val="t-9-8-bez-uvl"/>
              <w:spacing w:before="0" w:beforeAutospacing="0" w:after="120" w:afterAutospacing="0"/>
              <w:jc w:val="both"/>
              <w:rPr>
                <w:color w:val="000000"/>
              </w:rPr>
            </w:pPr>
            <w:r w:rsidRPr="00D2156A">
              <w:t>Pravilnik o dobroj laboratorijskoj praksi (Narodne novine, broj 73/12)</w:t>
            </w:r>
          </w:p>
        </w:tc>
      </w:tr>
      <w:tr w:rsidR="00317EE7" w:rsidRPr="00CB4024" w14:paraId="0F5DB540"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340FE04" w14:textId="09164779" w:rsidR="00317EE7" w:rsidRPr="00D2156A" w:rsidRDefault="00317EE7" w:rsidP="00DD7050">
            <w:pPr>
              <w:pStyle w:val="t-9-8-bez-uvl"/>
              <w:spacing w:before="0" w:beforeAutospacing="0" w:after="120" w:afterAutospacing="0"/>
              <w:jc w:val="both"/>
            </w:pPr>
            <w:r w:rsidRPr="00D2156A">
              <w:t>Zakon o</w:t>
            </w:r>
            <w:r w:rsidR="000478CB">
              <w:t xml:space="preserve"> provedbi Uredbe (EU) br. 649/20</w:t>
            </w:r>
            <w:r w:rsidRPr="00D2156A">
              <w:t>12 o izvozu i uvozu opasnih kemikalija (Narodne novine, broj 41/14)</w:t>
            </w:r>
          </w:p>
        </w:tc>
      </w:tr>
      <w:tr w:rsidR="00317EE7" w:rsidRPr="00CB4024" w14:paraId="0B5211AB"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18FF0AE7" w14:textId="77777777" w:rsidR="00317EE7" w:rsidRPr="00D2156A" w:rsidRDefault="00317EE7" w:rsidP="00DD7050">
            <w:pPr>
              <w:pStyle w:val="t-9-8-bez-uvl"/>
              <w:spacing w:before="0" w:beforeAutospacing="0" w:after="120" w:afterAutospacing="0"/>
              <w:jc w:val="both"/>
              <w:rPr>
                <w:color w:val="000000"/>
              </w:rPr>
            </w:pPr>
            <w:r w:rsidRPr="00D2156A">
              <w:t>Pravilnik o uvjetima koje moraju ispunjavati pravne i fizičke osobe koje obavljaju uslužne ili posredničke poslove pri kojima ne dolaze u neposredan doticaj s opasnim kemikalijama (Narodne novine, broj 73/09)</w:t>
            </w:r>
          </w:p>
        </w:tc>
      </w:tr>
      <w:tr w:rsidR="00317EE7" w:rsidRPr="00CB4024" w14:paraId="52585400"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67C871D" w14:textId="36D3EEAE" w:rsidR="00317EE7" w:rsidRPr="00D2156A" w:rsidRDefault="00317EE7" w:rsidP="00DD7050">
            <w:pPr>
              <w:pStyle w:val="t-9-8-bez-uvl"/>
              <w:spacing w:before="0" w:beforeAutospacing="0" w:after="120" w:afterAutospacing="0"/>
              <w:jc w:val="both"/>
              <w:rPr>
                <w:color w:val="000000"/>
              </w:rPr>
            </w:pPr>
            <w:r w:rsidRPr="00D2156A">
              <w:t>Pravilnik o uvjetima glede posebnih mjera zaštite na radu s otrovima u pravnim osobama koje rabe otrove u znanstvenoistraživačke sv</w:t>
            </w:r>
            <w:r w:rsidR="000478CB">
              <w:t>rhe (Narodne novine, broj 148/</w:t>
            </w:r>
            <w:r w:rsidRPr="00D2156A">
              <w:t>99)</w:t>
            </w:r>
          </w:p>
        </w:tc>
      </w:tr>
      <w:tr w:rsidR="00317EE7" w:rsidRPr="00CB4024" w14:paraId="641D883A"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19B767E" w14:textId="77777777" w:rsidR="00317EE7" w:rsidRPr="00D2156A" w:rsidRDefault="00317EE7" w:rsidP="00DD7050">
            <w:pPr>
              <w:pStyle w:val="t-9-8-bez-uvl"/>
              <w:spacing w:before="0" w:beforeAutospacing="0" w:after="120" w:afterAutospacing="0"/>
              <w:jc w:val="both"/>
              <w:rPr>
                <w:color w:val="000000"/>
              </w:rPr>
            </w:pPr>
            <w:r w:rsidRPr="00D2156A">
              <w:t>Pravilnik o malim količinama otrova namijenjenih za laboratorijske i znanstvene svrhe (Narodne novine, broj 39/03)</w:t>
            </w:r>
          </w:p>
        </w:tc>
      </w:tr>
      <w:tr w:rsidR="00317EE7" w:rsidRPr="00CB4024" w14:paraId="08CE1B83"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5C000BB6" w14:textId="77777777" w:rsidR="00317EE7" w:rsidRPr="00D2156A" w:rsidRDefault="00317EE7" w:rsidP="00DD7050">
            <w:pPr>
              <w:pStyle w:val="t-9-8-bez-uvl"/>
              <w:spacing w:before="0" w:beforeAutospacing="0" w:after="120" w:afterAutospacing="0"/>
              <w:jc w:val="both"/>
              <w:rPr>
                <w:color w:val="000000"/>
              </w:rPr>
            </w:pPr>
            <w:r w:rsidRPr="00D2156A">
              <w:t>Popis otrova namijenjenih održavanju komunalne higijene, za dezinfekciju, deratizaciju, odstranjenje lošeg mirisa i dekontaminaciju (Narodne novine, broj 151/02)</w:t>
            </w:r>
          </w:p>
        </w:tc>
      </w:tr>
      <w:tr w:rsidR="00317EE7" w:rsidRPr="00CB4024" w14:paraId="7DA9B543"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602349F" w14:textId="77777777" w:rsidR="00317EE7" w:rsidRPr="00D2156A" w:rsidRDefault="00317EE7" w:rsidP="00DD7050">
            <w:pPr>
              <w:pStyle w:val="t-9-8-bez-uvl"/>
              <w:spacing w:before="0" w:beforeAutospacing="0" w:after="120" w:afterAutospacing="0"/>
              <w:jc w:val="both"/>
              <w:rPr>
                <w:color w:val="000000"/>
              </w:rPr>
            </w:pPr>
            <w:r w:rsidRPr="00D2156A">
              <w:t>Pravilnik o uvjetima i načinu stjecanja te provjere znanja o zaštiti od opasnih kemikalija (Narodne novine, broj 99/13)</w:t>
            </w:r>
          </w:p>
        </w:tc>
      </w:tr>
      <w:tr w:rsidR="001F3D11" w:rsidRPr="00CB4024" w14:paraId="22EEEFE8"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532A904E" w14:textId="76B30526" w:rsidR="001F3D11" w:rsidRPr="00D2156A" w:rsidRDefault="001F3D11" w:rsidP="00DD7050">
            <w:pPr>
              <w:pStyle w:val="t-9-8-bez-uvl"/>
              <w:spacing w:before="0" w:beforeAutospacing="0" w:after="120" w:afterAutospacing="0"/>
              <w:jc w:val="both"/>
            </w:pPr>
            <w:r w:rsidRPr="001F3D11">
              <w:t>Uredba o određivanju robe koja se izvozi i uvozi na temelju dozvola (Narodne novine, broj 40/13)</w:t>
            </w:r>
          </w:p>
        </w:tc>
      </w:tr>
      <w:tr w:rsidR="00317EE7" w:rsidRPr="00CB4024" w14:paraId="5F4974E4"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29BD50E" w14:textId="6DE77DF1" w:rsidR="00317EE7" w:rsidRPr="00D2156A" w:rsidRDefault="001F3D11" w:rsidP="00DD7050">
            <w:pPr>
              <w:pStyle w:val="t-9-8-bez-uvl"/>
              <w:spacing w:before="0" w:beforeAutospacing="0" w:after="120" w:afterAutospacing="0"/>
              <w:jc w:val="both"/>
              <w:rPr>
                <w:color w:val="000000"/>
              </w:rPr>
            </w:pPr>
            <w:r w:rsidRPr="001F3D11">
              <w:rPr>
                <w:color w:val="000000"/>
              </w:rPr>
              <w:t>Zakon o zaštiti na radu</w:t>
            </w:r>
            <w:r>
              <w:rPr>
                <w:color w:val="000000"/>
              </w:rPr>
              <w:t xml:space="preserve"> (Narodne novine, br. 71/14 i 118/14)</w:t>
            </w:r>
          </w:p>
        </w:tc>
      </w:tr>
      <w:tr w:rsidR="001F3D11" w:rsidRPr="00CB4024" w14:paraId="2356B414"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8244ACE" w14:textId="5DE06722" w:rsidR="001F3D11" w:rsidRPr="001F3D11" w:rsidRDefault="001F3D11" w:rsidP="00DD7050">
            <w:pPr>
              <w:pStyle w:val="t-9-8-bez-uvl"/>
              <w:spacing w:before="0" w:beforeAutospacing="0" w:after="120" w:afterAutospacing="0"/>
              <w:jc w:val="both"/>
              <w:rPr>
                <w:color w:val="000000"/>
              </w:rPr>
            </w:pPr>
            <w:r w:rsidRPr="001F3D11">
              <w:rPr>
                <w:color w:val="000000"/>
              </w:rPr>
              <w:lastRenderedPageBreak/>
              <w:t>Pravilnik o ovlaštenjima za poslove zaštite na radu (Narodne novine br. 112/14 i 84/15)</w:t>
            </w:r>
          </w:p>
        </w:tc>
      </w:tr>
      <w:tr w:rsidR="001F3D11" w:rsidRPr="00CB4024" w14:paraId="0663AD09"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1CF1E179" w14:textId="20F01AB4" w:rsidR="001F3D11" w:rsidRPr="001F3D11" w:rsidRDefault="00D92CF1" w:rsidP="00DD7050">
            <w:pPr>
              <w:pStyle w:val="t-9-8-bez-uvl"/>
              <w:spacing w:before="0" w:beforeAutospacing="0" w:after="120" w:afterAutospacing="0"/>
              <w:jc w:val="both"/>
              <w:rPr>
                <w:color w:val="000000"/>
              </w:rPr>
            </w:pPr>
            <w:r w:rsidRPr="00D92CF1">
              <w:rPr>
                <w:color w:val="000000"/>
              </w:rPr>
              <w:t>Pravilnik o ispitivanju radnog okoliša (Narodne novine, broj 16/16)</w:t>
            </w:r>
          </w:p>
        </w:tc>
      </w:tr>
      <w:tr w:rsidR="00D92CF1" w:rsidRPr="00CB4024" w14:paraId="71763F20"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9223C76" w14:textId="5B8CDD74" w:rsidR="00D92CF1" w:rsidRPr="00D92CF1" w:rsidRDefault="00D92CF1" w:rsidP="00DD7050">
            <w:pPr>
              <w:pStyle w:val="t-9-8-bez-uvl"/>
              <w:spacing w:before="0" w:beforeAutospacing="0" w:after="120" w:afterAutospacing="0"/>
              <w:jc w:val="both"/>
              <w:rPr>
                <w:color w:val="000000"/>
              </w:rPr>
            </w:pPr>
            <w:r w:rsidRPr="00D92CF1">
              <w:rPr>
                <w:color w:val="000000"/>
              </w:rPr>
              <w:t>Pravilnik o zaštiti radnika od rizika zbog izloženosti opasnim kemikalijama na radu (Narodne novine, broj 91/15)</w:t>
            </w:r>
          </w:p>
        </w:tc>
      </w:tr>
      <w:tr w:rsidR="00D92CF1" w:rsidRPr="00CB4024" w14:paraId="1201A9EB"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99E892F" w14:textId="42E733AE" w:rsidR="00D92CF1" w:rsidRPr="00D92CF1" w:rsidRDefault="00D92CF1" w:rsidP="00DD7050">
            <w:pPr>
              <w:pStyle w:val="t-9-8-bez-uvl"/>
              <w:spacing w:before="0" w:beforeAutospacing="0" w:after="120" w:afterAutospacing="0"/>
              <w:jc w:val="both"/>
              <w:rPr>
                <w:color w:val="000000"/>
              </w:rPr>
            </w:pPr>
            <w:r w:rsidRPr="00D92CF1">
              <w:rPr>
                <w:color w:val="000000"/>
              </w:rPr>
              <w:t xml:space="preserve">Pravilnik o zaštiti radnika od rizika zbog izloženosti karcinogenima i/ili </w:t>
            </w:r>
            <w:proofErr w:type="spellStart"/>
            <w:r w:rsidRPr="00D92CF1">
              <w:rPr>
                <w:color w:val="000000"/>
              </w:rPr>
              <w:t>mutagenima</w:t>
            </w:r>
            <w:proofErr w:type="spellEnd"/>
            <w:r w:rsidRPr="00D92CF1">
              <w:rPr>
                <w:color w:val="000000"/>
              </w:rPr>
              <w:t xml:space="preserve"> (Narodne novine, broj 91/15)</w:t>
            </w:r>
          </w:p>
        </w:tc>
      </w:tr>
      <w:tr w:rsidR="00D92CF1" w:rsidRPr="00CB4024" w14:paraId="1527FBDD"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3C845BB" w14:textId="570FA6D6" w:rsidR="00D92CF1" w:rsidRPr="00D92CF1" w:rsidRDefault="00D92CF1" w:rsidP="00DD7050">
            <w:pPr>
              <w:pStyle w:val="t-9-8-bez-uvl"/>
              <w:spacing w:before="0" w:beforeAutospacing="0" w:after="120" w:afterAutospacing="0"/>
              <w:jc w:val="both"/>
              <w:rPr>
                <w:color w:val="000000"/>
              </w:rPr>
            </w:pPr>
            <w:r w:rsidRPr="00D92CF1">
              <w:rPr>
                <w:color w:val="000000"/>
              </w:rPr>
              <w:t>Pravilnik o graničnim vrijednostima izloženosti opasnim kemikalijama pri radu i o biološkim graničnim vrijednostima (Narodne novine br. 13/09 i 75/13)</w:t>
            </w:r>
          </w:p>
        </w:tc>
      </w:tr>
      <w:tr w:rsidR="00317EE7" w:rsidRPr="00CB4024" w14:paraId="11394AB9"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1643F1" w14:textId="77777777" w:rsidR="00317EE7" w:rsidRPr="00D2156A" w:rsidRDefault="00317EE7" w:rsidP="00782F5F">
            <w:pPr>
              <w:pStyle w:val="t-9-8-bez-uvl"/>
              <w:spacing w:before="0" w:beforeAutospacing="0" w:after="120" w:afterAutospacing="0"/>
              <w:jc w:val="center"/>
              <w:rPr>
                <w:color w:val="000000"/>
              </w:rPr>
            </w:pPr>
            <w:r w:rsidRPr="00D2156A">
              <w:rPr>
                <w:rStyle w:val="bold1"/>
                <w:bCs/>
                <w:color w:val="000000"/>
              </w:rPr>
              <w:t>VODE</w:t>
            </w:r>
          </w:p>
        </w:tc>
      </w:tr>
      <w:tr w:rsidR="00317EE7" w:rsidRPr="00CB4024" w14:paraId="7FD4A8BE"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5DF44A56" w14:textId="4114140B" w:rsidR="00317EE7" w:rsidRPr="00D2156A" w:rsidRDefault="00317EE7" w:rsidP="00DD7050">
            <w:pPr>
              <w:pStyle w:val="t-9-8-bez-uvl"/>
              <w:spacing w:before="0" w:beforeAutospacing="0" w:after="120" w:afterAutospacing="0"/>
              <w:jc w:val="both"/>
              <w:rPr>
                <w:color w:val="000000"/>
              </w:rPr>
            </w:pPr>
            <w:r w:rsidRPr="00D2156A">
              <w:t>Zakon o vodama (Narodne novine, br</w:t>
            </w:r>
            <w:r w:rsidR="000B6F61">
              <w:t>.</w:t>
            </w:r>
            <w:r w:rsidR="009E3F20">
              <w:t xml:space="preserve"> 153/09, 63/11, 130/11, 56/13 i</w:t>
            </w:r>
            <w:r w:rsidRPr="00D2156A">
              <w:t xml:space="preserve"> 14/14)</w:t>
            </w:r>
          </w:p>
        </w:tc>
      </w:tr>
      <w:tr w:rsidR="00317EE7" w:rsidRPr="00CB4024" w14:paraId="585E5155"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1C5A899F" w14:textId="7D57344A" w:rsidR="00317EE7" w:rsidRPr="00D2156A" w:rsidRDefault="00317EE7" w:rsidP="00782F5F">
            <w:pPr>
              <w:pStyle w:val="t-9-8-bez-uvl"/>
              <w:spacing w:before="0" w:beforeAutospacing="0" w:after="120" w:afterAutospacing="0"/>
              <w:jc w:val="both"/>
              <w:rPr>
                <w:color w:val="000000"/>
              </w:rPr>
            </w:pPr>
            <w:r w:rsidRPr="00D2156A">
              <w:t>Uredba o standardu kakvoće voda (</w:t>
            </w:r>
            <w:r>
              <w:t>Narodne novine, br</w:t>
            </w:r>
            <w:r w:rsidR="000B6F61">
              <w:t>.</w:t>
            </w:r>
            <w:r>
              <w:t xml:space="preserve"> 73/13</w:t>
            </w:r>
            <w:r w:rsidR="0006570D">
              <w:t>,</w:t>
            </w:r>
            <w:r>
              <w:t xml:space="preserve"> </w:t>
            </w:r>
            <w:r w:rsidRPr="00D2156A">
              <w:t>151/14</w:t>
            </w:r>
            <w:r w:rsidR="00DF3652">
              <w:t>,</w:t>
            </w:r>
            <w:r w:rsidR="0006570D">
              <w:t>78/15</w:t>
            </w:r>
            <w:r w:rsidR="00DF3652">
              <w:t xml:space="preserve"> i 61/16</w:t>
            </w:r>
            <w:r w:rsidR="00D26AED">
              <w:t>)</w:t>
            </w:r>
          </w:p>
        </w:tc>
      </w:tr>
      <w:tr w:rsidR="00317EE7" w:rsidRPr="00CB4024" w14:paraId="335E9256"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563090A" w14:textId="6685D84D" w:rsidR="00317EE7" w:rsidRPr="00D2156A" w:rsidRDefault="00317EE7" w:rsidP="00DD7050">
            <w:pPr>
              <w:pStyle w:val="t-9-8-bez-uvl"/>
              <w:spacing w:before="0" w:beforeAutospacing="0" w:after="120" w:afterAutospacing="0"/>
              <w:jc w:val="both"/>
            </w:pPr>
            <w:r w:rsidRPr="00317EE7">
              <w:t>Pravilnik o posebnim uvjetima za obavljanje djelatnosti uzimanja uzoraka i ispitivanja voda (Narodne novine, br</w:t>
            </w:r>
            <w:r w:rsidR="0006570D">
              <w:t>.</w:t>
            </w:r>
            <w:r w:rsidRPr="00317EE7">
              <w:t xml:space="preserve"> 74/13</w:t>
            </w:r>
            <w:r w:rsidR="0006570D">
              <w:t xml:space="preserve"> i 140/15</w:t>
            </w:r>
            <w:r w:rsidRPr="00317EE7">
              <w:t>)</w:t>
            </w:r>
          </w:p>
        </w:tc>
      </w:tr>
      <w:tr w:rsidR="00317EE7" w:rsidRPr="00CB4024" w14:paraId="56D64C97"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20AE94" w14:textId="77777777" w:rsidR="00317EE7" w:rsidRPr="00D2156A" w:rsidRDefault="00317EE7" w:rsidP="00782F5F">
            <w:pPr>
              <w:pStyle w:val="t-9-8-bez-uvl"/>
              <w:spacing w:before="0" w:beforeAutospacing="0" w:after="120" w:afterAutospacing="0"/>
              <w:jc w:val="center"/>
              <w:rPr>
                <w:color w:val="000000"/>
              </w:rPr>
            </w:pPr>
            <w:r w:rsidRPr="00D2156A">
              <w:rPr>
                <w:rStyle w:val="bold1"/>
                <w:bCs/>
                <w:color w:val="000000"/>
              </w:rPr>
              <w:t>VETERINARSTVO</w:t>
            </w:r>
          </w:p>
        </w:tc>
      </w:tr>
      <w:tr w:rsidR="00317EE7" w:rsidRPr="00CB4024" w14:paraId="542E14B4"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6451B1D" w14:textId="1F1027F1" w:rsidR="00317EE7" w:rsidRPr="00D2156A" w:rsidRDefault="005C534B" w:rsidP="00DD7050">
            <w:pPr>
              <w:pStyle w:val="t-9-8-bez-uvl"/>
              <w:spacing w:before="0" w:beforeAutospacing="0" w:after="120" w:afterAutospacing="0"/>
              <w:jc w:val="both"/>
              <w:rPr>
                <w:color w:val="000000"/>
              </w:rPr>
            </w:pPr>
            <w:r>
              <w:t>Zakon o veterinarsko</w:t>
            </w:r>
            <w:r w:rsidR="003310CC">
              <w:t>-</w:t>
            </w:r>
            <w:r w:rsidR="00317EE7" w:rsidRPr="00D2156A">
              <w:t>medicinskim proizvodima (Narodne novine, br</w:t>
            </w:r>
            <w:r w:rsidR="000B6F61">
              <w:t>.</w:t>
            </w:r>
            <w:r w:rsidR="00317EE7" w:rsidRPr="00D2156A">
              <w:t xml:space="preserve"> 84/08</w:t>
            </w:r>
            <w:r w:rsidR="009E3F20">
              <w:t xml:space="preserve"> i</w:t>
            </w:r>
            <w:r w:rsidR="00317EE7" w:rsidRPr="00D2156A">
              <w:t xml:space="preserve"> 56/13)</w:t>
            </w:r>
          </w:p>
        </w:tc>
      </w:tr>
      <w:tr w:rsidR="00317EE7" w:rsidRPr="00CB4024" w14:paraId="61E8DFFB"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9D66B8D" w14:textId="1A78ED73" w:rsidR="00317EE7" w:rsidRPr="00D2156A" w:rsidRDefault="00317EE7" w:rsidP="00DD7050">
            <w:pPr>
              <w:pStyle w:val="t-9-8-bez-uvl"/>
              <w:spacing w:before="0" w:beforeAutospacing="0" w:after="120" w:afterAutospacing="0"/>
              <w:jc w:val="both"/>
            </w:pPr>
            <w:r w:rsidRPr="00D2156A">
              <w:t>Zakon o veterinarstvu (Narodne novine, br</w:t>
            </w:r>
            <w:r w:rsidR="000B6F61">
              <w:t>.</w:t>
            </w:r>
            <w:r w:rsidRPr="00D2156A">
              <w:t xml:space="preserve"> 82/13</w:t>
            </w:r>
            <w:r w:rsidR="00B738C2">
              <w:t xml:space="preserve"> i</w:t>
            </w:r>
            <w:r w:rsidRPr="00D2156A">
              <w:t xml:space="preserve"> 148/13)</w:t>
            </w:r>
          </w:p>
        </w:tc>
      </w:tr>
      <w:tr w:rsidR="00317EE7" w:rsidRPr="00CB4024" w14:paraId="14CD3BEA"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9D2BDEF" w14:textId="77777777" w:rsidR="00317EE7" w:rsidRPr="00D2156A" w:rsidRDefault="00317EE7" w:rsidP="00DD7050">
            <w:pPr>
              <w:pStyle w:val="t-9-8-bez-uvl"/>
              <w:spacing w:before="0" w:beforeAutospacing="0" w:after="120" w:afterAutospacing="0"/>
              <w:jc w:val="both"/>
              <w:rPr>
                <w:color w:val="000000"/>
              </w:rPr>
            </w:pPr>
            <w:r w:rsidRPr="00D2156A">
              <w:t>Pravilnik o ljekovitoj hrani za životinje (Narodne novine, broj 120/11)</w:t>
            </w:r>
          </w:p>
        </w:tc>
      </w:tr>
      <w:tr w:rsidR="00317EE7" w:rsidRPr="00CB4024" w14:paraId="7274A002"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0803B6E" w14:textId="2C3A2447" w:rsidR="00317EE7" w:rsidRPr="00D2156A" w:rsidRDefault="00317EE7" w:rsidP="00DD7050">
            <w:pPr>
              <w:pStyle w:val="t-9-8-bez-uvl"/>
              <w:spacing w:before="0" w:beforeAutospacing="0" w:after="120" w:afterAutospacing="0"/>
              <w:jc w:val="both"/>
              <w:rPr>
                <w:color w:val="000000"/>
              </w:rPr>
            </w:pPr>
            <w:r w:rsidRPr="00D2156A">
              <w:t>Pravilnik o monitoringu određenih tvari i njihovih rezidua u živim životinjama i proizvodima životinjskoga podrijetla (Narodne novine, br</w:t>
            </w:r>
            <w:r w:rsidR="000B6F61">
              <w:t>.</w:t>
            </w:r>
            <w:r w:rsidRPr="00D2156A">
              <w:t xml:space="preserve"> 79/08</w:t>
            </w:r>
            <w:r w:rsidR="00092E64">
              <w:t xml:space="preserve"> i</w:t>
            </w:r>
            <w:r w:rsidRPr="00D2156A">
              <w:t xml:space="preserve"> 51/13)</w:t>
            </w:r>
          </w:p>
        </w:tc>
      </w:tr>
      <w:tr w:rsidR="00317EE7" w:rsidRPr="00CB4024" w14:paraId="3DB45297"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F2B5DA4" w14:textId="0E59F64C" w:rsidR="00317EE7" w:rsidRPr="00D2156A" w:rsidRDefault="00165336" w:rsidP="00DD7050">
            <w:pPr>
              <w:pStyle w:val="t-9-8-bez-uvl"/>
              <w:spacing w:before="0" w:beforeAutospacing="0" w:after="120" w:afterAutospacing="0"/>
              <w:jc w:val="both"/>
              <w:rPr>
                <w:color w:val="000000"/>
              </w:rPr>
            </w:pPr>
            <w:r w:rsidRPr="00165336">
              <w:t>Pravilnik o sigurnosti hrane za životinje  (Narodne novine,</w:t>
            </w:r>
            <w:r>
              <w:t xml:space="preserve"> broj</w:t>
            </w:r>
            <w:r w:rsidRPr="00165336">
              <w:t xml:space="preserve"> 102/16)</w:t>
            </w:r>
          </w:p>
        </w:tc>
      </w:tr>
      <w:tr w:rsidR="00317EE7" w:rsidRPr="00CB4024" w14:paraId="7CC3ACA4"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9D147FE" w14:textId="466BE05C" w:rsidR="00317EE7" w:rsidRPr="00D2156A" w:rsidRDefault="00317EE7" w:rsidP="00DD7050">
            <w:pPr>
              <w:pStyle w:val="t-9-8-bez-uvl"/>
              <w:spacing w:before="0" w:beforeAutospacing="0" w:after="120" w:afterAutospacing="0"/>
              <w:jc w:val="both"/>
              <w:rPr>
                <w:color w:val="000000"/>
              </w:rPr>
            </w:pPr>
            <w:r w:rsidRPr="00D2156A">
              <w:t>Zakon o provedbi Uredbe (EZ) 396/</w:t>
            </w:r>
            <w:r w:rsidR="003310CC">
              <w:t>20</w:t>
            </w:r>
            <w:r w:rsidRPr="00D2156A">
              <w:t xml:space="preserve">05 o maksimalnim razinama ostataka pesticida u i na hrani i hrani za životinje biljnog i životinjskog podrijetla (Narodne novine, broj 80/13) </w:t>
            </w:r>
          </w:p>
        </w:tc>
      </w:tr>
      <w:tr w:rsidR="00317EE7" w:rsidRPr="00CB4024" w14:paraId="4CC26C13"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9C319D1" w14:textId="77777777" w:rsidR="00317EE7" w:rsidRPr="00D2156A" w:rsidRDefault="00317EE7" w:rsidP="00DD7050">
            <w:pPr>
              <w:pStyle w:val="t-9-8-bez-uvl"/>
              <w:spacing w:before="0" w:beforeAutospacing="0" w:after="120" w:afterAutospacing="0"/>
              <w:jc w:val="both"/>
              <w:rPr>
                <w:color w:val="000000"/>
              </w:rPr>
            </w:pPr>
            <w:r w:rsidRPr="00D2156A">
              <w:t xml:space="preserve">Zakon o </w:t>
            </w:r>
            <w:proofErr w:type="spellStart"/>
            <w:r w:rsidRPr="00D2156A">
              <w:t>kontaminantima</w:t>
            </w:r>
            <w:proofErr w:type="spellEnd"/>
            <w:r w:rsidRPr="00D2156A">
              <w:t xml:space="preserve"> (Narodne novine, broj 39/13)</w:t>
            </w:r>
          </w:p>
        </w:tc>
      </w:tr>
      <w:tr w:rsidR="00317EE7" w:rsidRPr="00CB4024" w14:paraId="78F8F152"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10A0841C" w14:textId="25BF0ADF" w:rsidR="00317EE7" w:rsidRPr="00D2156A" w:rsidRDefault="00317EE7" w:rsidP="00DD7050">
            <w:pPr>
              <w:pStyle w:val="t-9-8-bez-uvl"/>
              <w:spacing w:before="0" w:beforeAutospacing="0" w:after="120" w:afterAutospacing="0"/>
              <w:jc w:val="both"/>
              <w:rPr>
                <w:color w:val="000000"/>
              </w:rPr>
            </w:pPr>
            <w:r w:rsidRPr="00D2156A">
              <w:t>Zakon o službenim kontrolama koje se provode sukladno propisima o hrani, hrani za životinje, o zdravlju i dobrobiti životinja (Narodne novine</w:t>
            </w:r>
            <w:r w:rsidR="00092E64">
              <w:t>,</w:t>
            </w:r>
            <w:r w:rsidRPr="00D2156A">
              <w:t xml:space="preserve"> br</w:t>
            </w:r>
            <w:r w:rsidR="000B6F61">
              <w:t>.</w:t>
            </w:r>
            <w:r w:rsidR="00165336">
              <w:t xml:space="preserve"> 81/13, </w:t>
            </w:r>
            <w:r w:rsidRPr="00D2156A">
              <w:t>14/14</w:t>
            </w:r>
            <w:r w:rsidR="00165336" w:rsidRPr="00165336">
              <w:t xml:space="preserve"> i 56/15</w:t>
            </w:r>
            <w:r w:rsidRPr="00D2156A">
              <w:t>)</w:t>
            </w:r>
          </w:p>
        </w:tc>
      </w:tr>
      <w:tr w:rsidR="00317EE7" w:rsidRPr="00CB4024" w14:paraId="5B1DEBA8"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9ABB3CF" w14:textId="34D258B5" w:rsidR="00317EE7" w:rsidRPr="00B738C2" w:rsidRDefault="00317EE7" w:rsidP="00DD7050">
            <w:pPr>
              <w:pStyle w:val="t-9-8-bez-uvl"/>
              <w:spacing w:before="0" w:beforeAutospacing="0" w:after="120" w:afterAutospacing="0"/>
              <w:jc w:val="both"/>
              <w:rPr>
                <w:color w:val="000000"/>
              </w:rPr>
            </w:pPr>
            <w:r w:rsidRPr="00B738C2">
              <w:rPr>
                <w:iCs/>
              </w:rPr>
              <w:t>Zakon o hrani (Narodne novine, br</w:t>
            </w:r>
            <w:r w:rsidR="000B6F61">
              <w:rPr>
                <w:iCs/>
              </w:rPr>
              <w:t>.</w:t>
            </w:r>
            <w:r w:rsidRPr="00B738C2">
              <w:rPr>
                <w:iCs/>
              </w:rPr>
              <w:t xml:space="preserve"> 81/13 i 14/14)</w:t>
            </w:r>
          </w:p>
        </w:tc>
      </w:tr>
      <w:tr w:rsidR="00317EE7" w:rsidRPr="00CB4024" w14:paraId="2B462A90"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295246" w14:textId="77777777" w:rsidR="00317EE7" w:rsidRPr="00D2156A" w:rsidRDefault="00317EE7" w:rsidP="00782F5F">
            <w:pPr>
              <w:pStyle w:val="t-9-8-bez-uvl"/>
              <w:spacing w:before="0" w:beforeAutospacing="0" w:after="120" w:afterAutospacing="0"/>
              <w:jc w:val="center"/>
              <w:rPr>
                <w:color w:val="000000"/>
              </w:rPr>
            </w:pPr>
            <w:r w:rsidRPr="00D2156A">
              <w:rPr>
                <w:rStyle w:val="bold1"/>
                <w:bCs/>
                <w:color w:val="000000"/>
              </w:rPr>
              <w:t>OKOLIŠ</w:t>
            </w:r>
          </w:p>
        </w:tc>
      </w:tr>
      <w:tr w:rsidR="00317EE7" w:rsidRPr="00CB4024" w14:paraId="2C0DC75D"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DDB95C7" w14:textId="16D00950" w:rsidR="00317EE7" w:rsidRPr="00D2156A" w:rsidRDefault="00317EE7" w:rsidP="00DD7050">
            <w:pPr>
              <w:pStyle w:val="t-9-8-bez-uvl"/>
              <w:spacing w:before="0" w:beforeAutospacing="0" w:after="120" w:afterAutospacing="0"/>
              <w:jc w:val="both"/>
              <w:rPr>
                <w:color w:val="000000"/>
              </w:rPr>
            </w:pPr>
            <w:r w:rsidRPr="00D2156A">
              <w:t>Zakon o zaštiti okoliša (Narodne novine, br</w:t>
            </w:r>
            <w:r w:rsidR="007B4C0A">
              <w:t xml:space="preserve">. </w:t>
            </w:r>
            <w:r w:rsidR="007B4C0A" w:rsidRPr="008D55AC">
              <w:rPr>
                <w:color w:val="333333"/>
              </w:rPr>
              <w:t>80/13,</w:t>
            </w:r>
            <w:r w:rsidR="008D55AC" w:rsidRPr="008D55AC">
              <w:rPr>
                <w:color w:val="333333"/>
              </w:rPr>
              <w:t xml:space="preserve"> 153/13 i 78/15)</w:t>
            </w:r>
          </w:p>
        </w:tc>
      </w:tr>
      <w:tr w:rsidR="006F0E6B" w:rsidRPr="00CB4024" w14:paraId="098C1D1E"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D95DEAB" w14:textId="0845F6AF" w:rsidR="006F0E6B" w:rsidRPr="00D2156A" w:rsidRDefault="006F0E6B" w:rsidP="00DD7050">
            <w:pPr>
              <w:pStyle w:val="t-9-8-bez-uvl"/>
              <w:spacing w:before="0" w:beforeAutospacing="0" w:after="120" w:afterAutospacing="0"/>
              <w:jc w:val="both"/>
            </w:pPr>
            <w:r>
              <w:t xml:space="preserve">Zakon o potvrđivanju Protokola </w:t>
            </w:r>
            <w:r w:rsidRPr="006F0E6B">
              <w:t>o postojanim organskim onečišćujućim tvarima</w:t>
            </w:r>
            <w:r>
              <w:t xml:space="preserve"> </w:t>
            </w:r>
            <w:r w:rsidR="003310CC">
              <w:t>uz K</w:t>
            </w:r>
            <w:r w:rsidR="003310CC" w:rsidRPr="003310CC">
              <w:t xml:space="preserve">onvenciju o dalekosežnom prekograničnom onečišćenju zraka iz 1979. godine </w:t>
            </w:r>
            <w:r>
              <w:t>(</w:t>
            </w:r>
            <w:r w:rsidR="00355500">
              <w:t>Narodne novine-Međunarodni ugovori</w:t>
            </w:r>
            <w:r>
              <w:t xml:space="preserve"> broj 5/07)</w:t>
            </w:r>
          </w:p>
        </w:tc>
      </w:tr>
      <w:tr w:rsidR="00317EE7" w:rsidRPr="00CB4024" w14:paraId="284CDCFD"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7A60CFC" w14:textId="77777777" w:rsidR="00317EE7" w:rsidRPr="00D2156A" w:rsidRDefault="00317EE7" w:rsidP="00DD7050">
            <w:pPr>
              <w:pStyle w:val="t-9-8-bez-uvl"/>
              <w:spacing w:before="0" w:beforeAutospacing="0" w:after="120" w:afterAutospacing="0"/>
              <w:jc w:val="both"/>
              <w:rPr>
                <w:color w:val="000000"/>
              </w:rPr>
            </w:pPr>
            <w:r w:rsidRPr="00D2156A">
              <w:t>Uredba o procjeni utjecaja zahvata na okoliš (Narodne novine, broj 61/14)</w:t>
            </w:r>
          </w:p>
        </w:tc>
      </w:tr>
      <w:tr w:rsidR="00317EE7" w:rsidRPr="00CB4024" w14:paraId="0C00AE0C"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7C6ADA7" w14:textId="77777777" w:rsidR="00317EE7" w:rsidRPr="00D2156A" w:rsidRDefault="00317EE7" w:rsidP="00DD7050">
            <w:pPr>
              <w:spacing w:after="120"/>
              <w:jc w:val="both"/>
              <w:rPr>
                <w:color w:val="000000"/>
              </w:rPr>
            </w:pPr>
            <w:r w:rsidRPr="00D2156A">
              <w:t>Uredba o okolišnoj dozvoli (Narodne novine, broj 8/14)</w:t>
            </w:r>
          </w:p>
        </w:tc>
      </w:tr>
      <w:tr w:rsidR="00317EE7" w:rsidRPr="00CB4024" w14:paraId="5543E4AC"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1121B5B0" w14:textId="7F153A6A" w:rsidR="00317EE7" w:rsidRPr="00D2156A" w:rsidRDefault="00317EE7" w:rsidP="00DD7050">
            <w:pPr>
              <w:spacing w:after="120"/>
              <w:jc w:val="both"/>
            </w:pPr>
            <w:r w:rsidRPr="00D2156A">
              <w:t>Zakon o provedbi Uredbe (EZ) br. 850/</w:t>
            </w:r>
            <w:r w:rsidR="003310CC">
              <w:t>20</w:t>
            </w:r>
            <w:r w:rsidRPr="00D2156A">
              <w:t>04 o postojanim organskim onečišćujućim tvarima (Narodne novine, broj 148/13)</w:t>
            </w:r>
          </w:p>
        </w:tc>
      </w:tr>
      <w:tr w:rsidR="00317EE7" w:rsidRPr="00CB4024" w14:paraId="62AE585F"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8A87C1E" w14:textId="77777777" w:rsidR="00317EE7" w:rsidRPr="00D2156A" w:rsidRDefault="00317EE7" w:rsidP="00DD7050">
            <w:pPr>
              <w:spacing w:after="120"/>
              <w:jc w:val="both"/>
            </w:pPr>
            <w:r w:rsidRPr="00D2156A">
              <w:t>Uredba o izradi i provedbi dokumenata Strategije upravljanja morskim okolišem i obalnim područjem (Narodne novine, broj 112/14)</w:t>
            </w:r>
          </w:p>
        </w:tc>
      </w:tr>
      <w:tr w:rsidR="00D26AED" w:rsidRPr="00D2156A" w14:paraId="6C500D57" w14:textId="77777777" w:rsidTr="00280784">
        <w:tc>
          <w:tcPr>
            <w:tcW w:w="9520" w:type="dxa"/>
            <w:tcBorders>
              <w:top w:val="single" w:sz="4" w:space="0" w:color="auto"/>
              <w:left w:val="single" w:sz="4" w:space="0" w:color="auto"/>
              <w:bottom w:val="single" w:sz="4" w:space="0" w:color="auto"/>
              <w:right w:val="single" w:sz="4" w:space="0" w:color="auto"/>
            </w:tcBorders>
            <w:vAlign w:val="center"/>
          </w:tcPr>
          <w:p w14:paraId="159410AA" w14:textId="00D79FD9" w:rsidR="00D26AED" w:rsidRPr="00D2156A" w:rsidRDefault="00D26AED" w:rsidP="002A39A4">
            <w:pPr>
              <w:spacing w:after="120"/>
              <w:jc w:val="both"/>
            </w:pPr>
            <w:r w:rsidRPr="00C27EBE">
              <w:t>Uredba o sprječavanju velikih nesreća koje uključuju op</w:t>
            </w:r>
            <w:r>
              <w:t>asne tvari (Narodne novine, br</w:t>
            </w:r>
            <w:r w:rsidR="00667FB6">
              <w:t>.</w:t>
            </w:r>
            <w:r w:rsidRPr="00C27EBE">
              <w:t xml:space="preserve"> 44/14</w:t>
            </w:r>
            <w:r w:rsidR="002A39A4">
              <w:t>, 31/17 i 45/17</w:t>
            </w:r>
            <w:r w:rsidRPr="00C27EBE">
              <w:t>)</w:t>
            </w:r>
          </w:p>
        </w:tc>
      </w:tr>
      <w:tr w:rsidR="00D26AED" w:rsidRPr="00D2156A" w14:paraId="277E9B8D" w14:textId="77777777" w:rsidTr="00280784">
        <w:tc>
          <w:tcPr>
            <w:tcW w:w="9520" w:type="dxa"/>
            <w:tcBorders>
              <w:top w:val="single" w:sz="4" w:space="0" w:color="auto"/>
              <w:left w:val="single" w:sz="4" w:space="0" w:color="auto"/>
              <w:bottom w:val="single" w:sz="4" w:space="0" w:color="auto"/>
              <w:right w:val="single" w:sz="4" w:space="0" w:color="auto"/>
            </w:tcBorders>
            <w:vAlign w:val="center"/>
          </w:tcPr>
          <w:p w14:paraId="561CBCAA" w14:textId="77777777" w:rsidR="00D26AED" w:rsidRPr="00D2156A" w:rsidRDefault="00D26AED" w:rsidP="00DD7050">
            <w:pPr>
              <w:spacing w:after="120"/>
              <w:jc w:val="both"/>
              <w:rPr>
                <w:lang w:val="pl-PL"/>
              </w:rPr>
            </w:pPr>
            <w:r w:rsidRPr="00C27EBE">
              <w:lastRenderedPageBreak/>
              <w:t>Pravilnik o registru postrojenja u kojima su prisutne opasne tvari i o očevidniku prijavljenih velikih nesreća (Narodne novine, broj 113/08 i 139/14)</w:t>
            </w:r>
          </w:p>
        </w:tc>
      </w:tr>
      <w:tr w:rsidR="00D26AED" w:rsidRPr="00D2156A" w14:paraId="21607AE9" w14:textId="77777777" w:rsidTr="00280784">
        <w:tc>
          <w:tcPr>
            <w:tcW w:w="9520" w:type="dxa"/>
            <w:tcBorders>
              <w:top w:val="single" w:sz="4" w:space="0" w:color="auto"/>
              <w:left w:val="single" w:sz="4" w:space="0" w:color="auto"/>
              <w:bottom w:val="single" w:sz="4" w:space="0" w:color="auto"/>
              <w:right w:val="single" w:sz="4" w:space="0" w:color="auto"/>
            </w:tcBorders>
            <w:vAlign w:val="center"/>
          </w:tcPr>
          <w:p w14:paraId="3D440833" w14:textId="77777777" w:rsidR="00D26AED" w:rsidRDefault="00D26AED" w:rsidP="00DD7050">
            <w:pPr>
              <w:spacing w:after="120"/>
              <w:jc w:val="both"/>
            </w:pPr>
            <w:r w:rsidRPr="00C27EBE">
              <w:t>Pravilnik o registru onečišćavanja okoliša (Narodne novine, broj 35/08</w:t>
            </w:r>
            <w:r w:rsidR="003C4F05">
              <w:t>, 87/15</w:t>
            </w:r>
            <w:r w:rsidRPr="00C27EBE">
              <w:t>)</w:t>
            </w:r>
          </w:p>
          <w:p w14:paraId="3F22493D" w14:textId="14C74F90" w:rsidR="00D92CF1" w:rsidRPr="00D2156A" w:rsidRDefault="00D92CF1" w:rsidP="00DD7050">
            <w:pPr>
              <w:spacing w:after="120"/>
              <w:jc w:val="both"/>
              <w:rPr>
                <w:lang w:val="pl-PL"/>
              </w:rPr>
            </w:pPr>
          </w:p>
        </w:tc>
      </w:tr>
      <w:tr w:rsidR="00317EE7" w:rsidRPr="00CB4024" w14:paraId="57C1EE4F"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812DAB" w14:textId="77777777" w:rsidR="00317EE7" w:rsidRPr="00D2156A" w:rsidRDefault="00317EE7" w:rsidP="00782F5F">
            <w:pPr>
              <w:spacing w:after="120"/>
              <w:jc w:val="center"/>
              <w:rPr>
                <w:b/>
                <w:bCs/>
                <w:color w:val="4F5557"/>
              </w:rPr>
            </w:pPr>
            <w:r w:rsidRPr="00D2156A">
              <w:rPr>
                <w:b/>
                <w:bCs/>
                <w:color w:val="000000"/>
              </w:rPr>
              <w:t>STRATEŠKO-PLANSKI DOKUMENTI</w:t>
            </w:r>
          </w:p>
        </w:tc>
      </w:tr>
      <w:tr w:rsidR="00317EE7" w:rsidRPr="00CB4024" w14:paraId="43B1C81D"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5E029D6" w14:textId="77777777" w:rsidR="00317EE7" w:rsidRPr="00D2156A" w:rsidRDefault="00317EE7" w:rsidP="00DD7050">
            <w:pPr>
              <w:spacing w:after="120"/>
              <w:jc w:val="both"/>
            </w:pPr>
            <w:r w:rsidRPr="00D2156A">
              <w:t>Nacionalni plan djelovanja na okoliš (Narodne novine, broj 46/02)</w:t>
            </w:r>
          </w:p>
        </w:tc>
      </w:tr>
      <w:tr w:rsidR="00317EE7" w:rsidRPr="00CB4024" w14:paraId="1E859538"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1656E46B" w14:textId="77777777" w:rsidR="00317EE7" w:rsidRPr="00D2156A" w:rsidRDefault="00317EE7" w:rsidP="00DD7050">
            <w:pPr>
              <w:spacing w:after="120"/>
              <w:jc w:val="both"/>
            </w:pPr>
            <w:r w:rsidRPr="00D2156A">
              <w:t>Strategija gospodarenja otpadom Republike Hrvatske (Narodne novine, broj 130/05)</w:t>
            </w:r>
          </w:p>
        </w:tc>
      </w:tr>
      <w:tr w:rsidR="00317EE7" w:rsidRPr="00CB4024" w14:paraId="578C7AA5"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05BA4F9A" w14:textId="2434CC51" w:rsidR="00317EE7" w:rsidRPr="00D2156A" w:rsidRDefault="00317EE7" w:rsidP="00DD7050">
            <w:pPr>
              <w:spacing w:after="120"/>
              <w:jc w:val="both"/>
            </w:pPr>
            <w:r w:rsidRPr="00D2156A">
              <w:t>Plan gospodarenja otpadom u Republici Hrvatskoj za razdoblje 2007. do 2015. godine (Narodne novine, br</w:t>
            </w:r>
            <w:r w:rsidR="000B6F61">
              <w:t>.</w:t>
            </w:r>
            <w:r w:rsidRPr="00D2156A">
              <w:t xml:space="preserve"> 85/07, 126/10</w:t>
            </w:r>
            <w:r w:rsidR="00B40940">
              <w:t>,</w:t>
            </w:r>
            <w:r w:rsidRPr="00D2156A">
              <w:t xml:space="preserve"> 31/11</w:t>
            </w:r>
            <w:r w:rsidR="00B40940">
              <w:t xml:space="preserve"> i 46/15</w:t>
            </w:r>
            <w:r w:rsidRPr="00D2156A">
              <w:t>)</w:t>
            </w:r>
          </w:p>
        </w:tc>
      </w:tr>
      <w:tr w:rsidR="00B40940" w:rsidRPr="00CB4024" w14:paraId="07395933"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563F84D" w14:textId="1E1CB36A" w:rsidR="00B40940" w:rsidRPr="00105C32" w:rsidRDefault="00B40940" w:rsidP="00DD7050">
            <w:pPr>
              <w:pStyle w:val="t-9-8-bez-uvl"/>
              <w:spacing w:before="0" w:beforeAutospacing="0" w:after="120" w:afterAutospacing="0"/>
              <w:jc w:val="both"/>
            </w:pPr>
            <w:r w:rsidRPr="00B40940">
              <w:t>Plan gospodarenja otpadom Republik</w:t>
            </w:r>
            <w:r w:rsidR="00782F5F">
              <w:t xml:space="preserve">e Hrvatske za razdoblje 2017. – </w:t>
            </w:r>
            <w:r w:rsidRPr="00B40940">
              <w:t>2022. godine (Narodne novine, br. 3/17)</w:t>
            </w:r>
          </w:p>
        </w:tc>
      </w:tr>
      <w:tr w:rsidR="00317EE7" w:rsidRPr="00CB4024" w14:paraId="06E9A559"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349F285" w14:textId="2CFAE215" w:rsidR="00317EE7" w:rsidRPr="004465EB" w:rsidRDefault="00317EE7" w:rsidP="00DD7050">
            <w:pPr>
              <w:pStyle w:val="t-9-8-bez-uvl"/>
              <w:spacing w:before="0" w:beforeAutospacing="0" w:after="120" w:afterAutospacing="0"/>
              <w:jc w:val="both"/>
              <w:rPr>
                <w:color w:val="000000"/>
                <w:highlight w:val="yellow"/>
              </w:rPr>
            </w:pPr>
            <w:r w:rsidRPr="00105C32">
              <w:t>Plan intervencija u zašti</w:t>
            </w:r>
            <w:r w:rsidR="000F1A2A">
              <w:t>ti okoliša (Narodne novine, br.</w:t>
            </w:r>
            <w:r w:rsidRPr="00105C32">
              <w:t xml:space="preserve"> </w:t>
            </w:r>
            <w:r w:rsidR="000F1A2A">
              <w:t xml:space="preserve">82/99, 86/99 i </w:t>
            </w:r>
            <w:r w:rsidRPr="00105C32">
              <w:t>12/01)</w:t>
            </w:r>
          </w:p>
        </w:tc>
      </w:tr>
      <w:tr w:rsidR="00317EE7" w:rsidRPr="00CB4024" w14:paraId="56A83AFA"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C78F051" w14:textId="77777777" w:rsidR="00317EE7" w:rsidRPr="00D2156A" w:rsidRDefault="00317EE7" w:rsidP="00DD7050">
            <w:pPr>
              <w:pStyle w:val="t-9-8-bez-uvl"/>
              <w:spacing w:before="0" w:beforeAutospacing="0" w:after="120" w:afterAutospacing="0"/>
              <w:jc w:val="both"/>
              <w:rPr>
                <w:color w:val="000000"/>
              </w:rPr>
            </w:pPr>
            <w:r w:rsidRPr="00D2156A">
              <w:t>Odluka o donošenju plana zaštite zraka, ozonskog sloja i ublažavanja klimatskih promjena u Republici Hrvatskoj za razdoblje od 2013. do 2017. godine (Narodne novine, broj 139/13)</w:t>
            </w:r>
          </w:p>
        </w:tc>
      </w:tr>
      <w:tr w:rsidR="00317EE7" w:rsidRPr="00CB4024" w14:paraId="775CFD41"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0EEB63B6" w14:textId="77777777" w:rsidR="00317EE7" w:rsidRPr="00D2156A" w:rsidRDefault="00317EE7" w:rsidP="00DD7050">
            <w:pPr>
              <w:spacing w:after="120"/>
              <w:jc w:val="both"/>
              <w:rPr>
                <w:b/>
                <w:bCs/>
                <w:lang w:val="pl-PL"/>
              </w:rPr>
            </w:pPr>
            <w:r w:rsidRPr="00D2156A">
              <w:t>Plan intervencija kod iznenadnih onečišćenja mora (Narodne novine, broj 92/08)</w:t>
            </w:r>
          </w:p>
        </w:tc>
      </w:tr>
      <w:tr w:rsidR="00317EE7" w:rsidRPr="00CB4024" w14:paraId="715193D0"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56C9309" w14:textId="7CD39276" w:rsidR="00165336" w:rsidRPr="00D2156A" w:rsidRDefault="00317EE7" w:rsidP="00DD7050">
            <w:pPr>
              <w:spacing w:after="120"/>
              <w:jc w:val="both"/>
              <w:rPr>
                <w:rStyle w:val="Naglaeno"/>
                <w:b w:val="0"/>
                <w:bCs w:val="0"/>
              </w:rPr>
            </w:pPr>
            <w:r w:rsidRPr="00D2156A">
              <w:t>Strategija održivog razvitka Republike Hrvatske (Narodne novine, broj 30/09)</w:t>
            </w:r>
          </w:p>
        </w:tc>
      </w:tr>
      <w:tr w:rsidR="00317EE7" w:rsidRPr="00CB4024" w14:paraId="65767A31"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A080B5" w14:textId="56ABD17E" w:rsidR="00317EE7" w:rsidRPr="00D2156A" w:rsidRDefault="00D26AED" w:rsidP="00782F5F">
            <w:pPr>
              <w:spacing w:after="120"/>
              <w:jc w:val="center"/>
              <w:rPr>
                <w:b/>
                <w:bCs/>
              </w:rPr>
            </w:pPr>
            <w:r>
              <w:rPr>
                <w:b/>
                <w:bCs/>
                <w:lang w:val="en-US"/>
              </w:rPr>
              <w:t xml:space="preserve">ODRŽIVO </w:t>
            </w:r>
            <w:r w:rsidR="00317EE7" w:rsidRPr="00D2156A">
              <w:rPr>
                <w:b/>
                <w:bCs/>
                <w:lang w:val="en-US"/>
              </w:rPr>
              <w:t>GOSPODARENJE OTPADOM</w:t>
            </w:r>
          </w:p>
        </w:tc>
      </w:tr>
      <w:tr w:rsidR="00317EE7" w:rsidRPr="00CB4024" w14:paraId="1A3A8C58"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0D3A8CDC" w14:textId="1A28EE6B" w:rsidR="00317EE7" w:rsidRPr="00D2156A" w:rsidRDefault="00317EE7" w:rsidP="00277611">
            <w:pPr>
              <w:spacing w:after="120"/>
              <w:jc w:val="both"/>
            </w:pPr>
            <w:r w:rsidRPr="00D2156A">
              <w:t>Zakon o potvrđivanju</w:t>
            </w:r>
            <w:r w:rsidR="00D663A8">
              <w:t xml:space="preserve"> </w:t>
            </w:r>
            <w:r w:rsidRPr="00D2156A">
              <w:t>konvencije o nadzoru prekograničnog prometa opasnog otpada i njegovu odlaganju (</w:t>
            </w:r>
            <w:r w:rsidR="00355500">
              <w:t>Narodne novine</w:t>
            </w:r>
            <w:r w:rsidR="00B40940">
              <w:t xml:space="preserve"> </w:t>
            </w:r>
            <w:r w:rsidR="00782F5F">
              <w:t>–</w:t>
            </w:r>
            <w:r w:rsidR="00B40940" w:rsidRPr="00363268">
              <w:rPr>
                <w:i/>
              </w:rPr>
              <w:t xml:space="preserve"> </w:t>
            </w:r>
            <w:r w:rsidR="00355500">
              <w:t>Međunarodni ugovori</w:t>
            </w:r>
            <w:r w:rsidRPr="00D2156A">
              <w:t>, broj 3/94)</w:t>
            </w:r>
          </w:p>
        </w:tc>
      </w:tr>
      <w:tr w:rsidR="00317EE7" w:rsidRPr="00CB4024" w14:paraId="150076BF"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5326DD31" w14:textId="1ECF0796" w:rsidR="00317EE7" w:rsidRPr="00D2156A" w:rsidRDefault="00317EE7" w:rsidP="00DD7050">
            <w:pPr>
              <w:spacing w:after="120"/>
              <w:jc w:val="both"/>
            </w:pPr>
            <w:r w:rsidRPr="00D2156A">
              <w:t>Zakon o održivom gospodarenju otpadom (Narodne novine, br</w:t>
            </w:r>
            <w:r w:rsidR="00806467">
              <w:t>.</w:t>
            </w:r>
            <w:r w:rsidRPr="00D2156A">
              <w:t xml:space="preserve"> 94/13</w:t>
            </w:r>
            <w:r w:rsidR="00C24732">
              <w:t xml:space="preserve"> i </w:t>
            </w:r>
            <w:r w:rsidR="00080CC4">
              <w:t>73/17</w:t>
            </w:r>
            <w:r w:rsidRPr="00D2156A">
              <w:t>)</w:t>
            </w:r>
          </w:p>
        </w:tc>
      </w:tr>
      <w:tr w:rsidR="00317EE7" w:rsidRPr="00CB4024" w14:paraId="7BCE6952"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DD83DF9" w14:textId="29A2FA61" w:rsidR="00317EE7" w:rsidRPr="00D2156A" w:rsidRDefault="00317EE7" w:rsidP="00DD7050">
            <w:pPr>
              <w:spacing w:after="120"/>
              <w:jc w:val="both"/>
            </w:pPr>
            <w:r w:rsidRPr="00D2156A">
              <w:t>Pravilnik o gospodarenju otpadom (Narodne novine, br</w:t>
            </w:r>
            <w:r w:rsidR="000B6F61">
              <w:t>.</w:t>
            </w:r>
            <w:r w:rsidRPr="00D2156A">
              <w:t xml:space="preserve"> 23/14</w:t>
            </w:r>
            <w:r w:rsidR="00B40940">
              <w:t>,</w:t>
            </w:r>
            <w:r w:rsidRPr="00D2156A">
              <w:t xml:space="preserve"> 51/14</w:t>
            </w:r>
            <w:r w:rsidR="00B40940">
              <w:t>, 121/15 i</w:t>
            </w:r>
            <w:r w:rsidR="00B40940" w:rsidRPr="007E38A3">
              <w:t xml:space="preserve"> 132/15</w:t>
            </w:r>
            <w:r w:rsidR="008543D9">
              <w:t>)</w:t>
            </w:r>
          </w:p>
        </w:tc>
      </w:tr>
      <w:tr w:rsidR="00B40940" w:rsidRPr="00CB4024" w14:paraId="7BD40760"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B183C74" w14:textId="0C21593E" w:rsidR="00B40940" w:rsidRPr="00D2156A" w:rsidRDefault="00B40940" w:rsidP="00DD7050">
            <w:pPr>
              <w:spacing w:after="120"/>
              <w:jc w:val="both"/>
            </w:pPr>
            <w:r w:rsidRPr="00B40940">
              <w:t>Pravilnik o gospodarenju otpadom (Narodne novine 117/17)</w:t>
            </w:r>
          </w:p>
        </w:tc>
      </w:tr>
      <w:tr w:rsidR="00317EE7" w:rsidRPr="00CB4024" w14:paraId="24E4AB67"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8AB7643" w14:textId="77777777" w:rsidR="00317EE7" w:rsidRPr="00D2156A" w:rsidRDefault="00317EE7" w:rsidP="00DD7050">
            <w:pPr>
              <w:spacing w:after="120"/>
              <w:jc w:val="both"/>
              <w:rPr>
                <w:b/>
                <w:bCs/>
              </w:rPr>
            </w:pPr>
            <w:r w:rsidRPr="00D2156A">
              <w:t xml:space="preserve">Pravilnik o gospodarenju </w:t>
            </w:r>
            <w:proofErr w:type="spellStart"/>
            <w:r w:rsidRPr="00D2156A">
              <w:t>polikloriranim</w:t>
            </w:r>
            <w:proofErr w:type="spellEnd"/>
            <w:r w:rsidRPr="00D2156A">
              <w:t xml:space="preserve"> </w:t>
            </w:r>
            <w:proofErr w:type="spellStart"/>
            <w:r w:rsidRPr="00D2156A">
              <w:t>bifenilima</w:t>
            </w:r>
            <w:proofErr w:type="spellEnd"/>
            <w:r w:rsidRPr="00D2156A">
              <w:t xml:space="preserve"> i </w:t>
            </w:r>
            <w:proofErr w:type="spellStart"/>
            <w:r w:rsidRPr="00D2156A">
              <w:t>polikloriranim</w:t>
            </w:r>
            <w:proofErr w:type="spellEnd"/>
            <w:r w:rsidRPr="00D2156A">
              <w:t xml:space="preserve"> </w:t>
            </w:r>
            <w:proofErr w:type="spellStart"/>
            <w:r w:rsidRPr="00D2156A">
              <w:t>terfenilima</w:t>
            </w:r>
            <w:proofErr w:type="spellEnd"/>
            <w:r w:rsidRPr="00D2156A">
              <w:t xml:space="preserve"> (Narodne novine, broj 103/14)</w:t>
            </w:r>
          </w:p>
        </w:tc>
      </w:tr>
      <w:tr w:rsidR="00317EE7" w:rsidRPr="00CB4024" w14:paraId="03813A3C"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39057B2" w14:textId="3FB0D222" w:rsidR="00C1571B" w:rsidRPr="00D55E4A" w:rsidRDefault="00317EE7" w:rsidP="00DD7050">
            <w:pPr>
              <w:spacing w:after="120"/>
              <w:jc w:val="both"/>
              <w:rPr>
                <w:rStyle w:val="Naglaeno"/>
                <w:b w:val="0"/>
                <w:bCs w:val="0"/>
              </w:rPr>
            </w:pPr>
            <w:r w:rsidRPr="00D2156A">
              <w:t>Pravilnik o gospodarenju otpadnom električnom i elektroničkom opremom (Narodne no</w:t>
            </w:r>
            <w:r>
              <w:t>vine, br</w:t>
            </w:r>
            <w:r w:rsidR="000B6F61">
              <w:t>.</w:t>
            </w:r>
            <w:r>
              <w:t xml:space="preserve"> 42/14, 48/14, 107/14 i</w:t>
            </w:r>
            <w:r w:rsidRPr="00D2156A">
              <w:t xml:space="preserve"> 139/14)</w:t>
            </w:r>
          </w:p>
        </w:tc>
      </w:tr>
      <w:tr w:rsidR="00317EE7" w:rsidRPr="00CB4024" w14:paraId="270C0440"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0DC359" w14:textId="77777777" w:rsidR="00317EE7" w:rsidRPr="00D2156A" w:rsidRDefault="00317EE7" w:rsidP="00363268">
            <w:pPr>
              <w:spacing w:after="120"/>
              <w:jc w:val="center"/>
              <w:rPr>
                <w:b/>
                <w:bCs/>
                <w:lang w:val="pl-PL"/>
              </w:rPr>
            </w:pPr>
            <w:r w:rsidRPr="00D2156A">
              <w:rPr>
                <w:b/>
                <w:bCs/>
                <w:lang w:val="pl-PL"/>
              </w:rPr>
              <w:t>KVALITETA ZRAKA</w:t>
            </w:r>
          </w:p>
        </w:tc>
      </w:tr>
      <w:tr w:rsidR="00317EE7" w:rsidRPr="00CB4024" w14:paraId="48AB88AF"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130BD9B4" w14:textId="4C61806A" w:rsidR="00317EE7" w:rsidRPr="00D2156A" w:rsidRDefault="00317EE7" w:rsidP="00DD7050">
            <w:pPr>
              <w:spacing w:after="120"/>
              <w:jc w:val="both"/>
              <w:rPr>
                <w:rStyle w:val="Naglaeno"/>
                <w:b w:val="0"/>
                <w:bCs w:val="0"/>
              </w:rPr>
            </w:pPr>
            <w:r w:rsidRPr="00D2156A">
              <w:t>Zakon o zaš</w:t>
            </w:r>
            <w:r w:rsidR="000F1A2A">
              <w:t>titi zraka (Narodne novine, br.</w:t>
            </w:r>
            <w:r w:rsidRPr="00D2156A">
              <w:t xml:space="preserve"> 130/11</w:t>
            </w:r>
            <w:r w:rsidR="00806467">
              <w:t>,</w:t>
            </w:r>
            <w:r w:rsidRPr="00D2156A">
              <w:t>47/14</w:t>
            </w:r>
            <w:r w:rsidR="008406BC">
              <w:t>, 61/17</w:t>
            </w:r>
            <w:r w:rsidRPr="00D2156A">
              <w:t>)</w:t>
            </w:r>
          </w:p>
        </w:tc>
      </w:tr>
      <w:tr w:rsidR="00317EE7" w:rsidRPr="00CB4024" w14:paraId="71080E3A"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7A7878C" w14:textId="32BB2C68" w:rsidR="00317EE7" w:rsidRPr="00D2156A" w:rsidRDefault="00317EE7" w:rsidP="00DD7050">
            <w:pPr>
              <w:spacing w:after="120"/>
              <w:jc w:val="both"/>
              <w:rPr>
                <w:b/>
                <w:bCs/>
                <w:lang w:val="pl-PL"/>
              </w:rPr>
            </w:pPr>
            <w:r w:rsidRPr="00D2156A">
              <w:t xml:space="preserve">Pravilnik o praćenju kvalitete zraka (Narodne novine, broj </w:t>
            </w:r>
            <w:r w:rsidR="008406BC">
              <w:t>79/17</w:t>
            </w:r>
            <w:r w:rsidRPr="00D2156A">
              <w:t>)</w:t>
            </w:r>
          </w:p>
        </w:tc>
      </w:tr>
      <w:tr w:rsidR="00317EE7" w:rsidRPr="00CB4024" w14:paraId="4B863598"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5D16B763" w14:textId="77777777" w:rsidR="00317EE7" w:rsidRPr="00D2156A" w:rsidRDefault="00317EE7" w:rsidP="00DD7050">
            <w:pPr>
              <w:spacing w:after="120"/>
              <w:jc w:val="both"/>
              <w:rPr>
                <w:rStyle w:val="Naglaeno"/>
                <w:b w:val="0"/>
                <w:bCs w:val="0"/>
              </w:rPr>
            </w:pPr>
            <w:r w:rsidRPr="00D2156A">
              <w:t>Uredba o razinama onečišćujućih tvari u zraku (Narodne novine, broj 117/12)</w:t>
            </w:r>
          </w:p>
        </w:tc>
      </w:tr>
      <w:tr w:rsidR="00317EE7" w:rsidRPr="00CB4024" w14:paraId="2D13CEDF"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76C2DFE2" w14:textId="699919F3" w:rsidR="00317EE7" w:rsidRPr="00D2156A" w:rsidRDefault="00317EE7" w:rsidP="00DD7050">
            <w:pPr>
              <w:spacing w:after="120"/>
              <w:jc w:val="both"/>
              <w:rPr>
                <w:b/>
                <w:bCs/>
                <w:lang w:val="pl-PL"/>
              </w:rPr>
            </w:pPr>
            <w:r w:rsidRPr="00D2156A">
              <w:t>Pravilnik o praćenju emisija onečišćujućih tvari u zrak iz nepokretnih izvora (Narodne novine, br</w:t>
            </w:r>
            <w:r w:rsidR="00D663A8">
              <w:t>.</w:t>
            </w:r>
            <w:r w:rsidRPr="00D2156A">
              <w:t xml:space="preserve"> 129/12</w:t>
            </w:r>
            <w:r w:rsidR="00D663A8">
              <w:t xml:space="preserve"> i 9</w:t>
            </w:r>
            <w:r w:rsidR="00224978">
              <w:t>7</w:t>
            </w:r>
            <w:r w:rsidR="00D663A8">
              <w:t>/1</w:t>
            </w:r>
            <w:r w:rsidR="00224978">
              <w:t>3</w:t>
            </w:r>
            <w:r w:rsidRPr="00D2156A">
              <w:t>)</w:t>
            </w:r>
          </w:p>
        </w:tc>
      </w:tr>
      <w:tr w:rsidR="00317EE7" w:rsidRPr="00CB4024" w14:paraId="0F5227E3"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BF41EE5" w14:textId="52227488" w:rsidR="00317EE7" w:rsidRPr="00806467" w:rsidRDefault="00E7597D" w:rsidP="00DD7050">
            <w:pPr>
              <w:spacing w:after="120"/>
              <w:jc w:val="both"/>
              <w:rPr>
                <w:rStyle w:val="Naglaeno"/>
                <w:b w:val="0"/>
                <w:bCs w:val="0"/>
              </w:rPr>
            </w:pPr>
            <w:r>
              <w:t>Uredba o kvaliteti tekućih naftnih goriva i načinu praćenja i izvješćivanja te metodologiji izračuna emisija stakleničkih plinova u životnom vijeku isporučenih goriva i energije (</w:t>
            </w:r>
            <w:r w:rsidR="00363268" w:rsidRPr="00363268">
              <w:t>Narodne novine, broj</w:t>
            </w:r>
            <w:r>
              <w:t xml:space="preserve"> 57/17) </w:t>
            </w:r>
          </w:p>
        </w:tc>
      </w:tr>
      <w:tr w:rsidR="00317EE7" w:rsidRPr="00CB4024" w14:paraId="32B2FCCF"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5DD0EA22" w14:textId="50CE2609" w:rsidR="00317EE7" w:rsidRPr="00D2156A" w:rsidRDefault="00317EE7" w:rsidP="00DD7050">
            <w:pPr>
              <w:spacing w:after="120"/>
              <w:jc w:val="both"/>
              <w:rPr>
                <w:b/>
                <w:bCs/>
                <w:lang w:val="pl-PL"/>
              </w:rPr>
            </w:pPr>
            <w:r w:rsidRPr="00D2156A">
              <w:t>Uredba o graničnim vrijednostima emisija onečišćujućih tvari u zrak iz nepokretnih izvora (Narodne novine, br</w:t>
            </w:r>
            <w:r w:rsidR="00806467">
              <w:t>oj</w:t>
            </w:r>
            <w:r w:rsidR="000B6F61">
              <w:t xml:space="preserve"> </w:t>
            </w:r>
            <w:r w:rsidR="008406BC">
              <w:t>87/17</w:t>
            </w:r>
            <w:r w:rsidRPr="00D2156A">
              <w:t>)</w:t>
            </w:r>
          </w:p>
        </w:tc>
      </w:tr>
      <w:tr w:rsidR="00317EE7" w:rsidRPr="00CB4024" w14:paraId="71CF05C5"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95E9A" w14:textId="09787159" w:rsidR="00317EE7" w:rsidRPr="00D2156A" w:rsidRDefault="006B1B72" w:rsidP="00363268">
            <w:pPr>
              <w:pStyle w:val="t-9-8-bez-uvl"/>
              <w:spacing w:before="0" w:beforeAutospacing="0" w:after="120" w:afterAutospacing="0"/>
              <w:jc w:val="center"/>
              <w:rPr>
                <w:b/>
                <w:bCs/>
                <w:color w:val="000000"/>
              </w:rPr>
            </w:pPr>
            <w:r>
              <w:rPr>
                <w:b/>
                <w:bCs/>
                <w:color w:val="000000"/>
              </w:rPr>
              <w:t>ZAŠTITA POLJOPRIVREDNOG ZEMLJIŠTA</w:t>
            </w:r>
          </w:p>
        </w:tc>
      </w:tr>
      <w:tr w:rsidR="00317EE7" w:rsidRPr="00CB4024" w14:paraId="358E2136"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E1D4FE0" w14:textId="7F1E83B5" w:rsidR="00317EE7" w:rsidRPr="00D2156A" w:rsidRDefault="00317EE7" w:rsidP="00DD7050">
            <w:pPr>
              <w:pStyle w:val="t-9-8-bez-uvl"/>
              <w:spacing w:before="0" w:beforeAutospacing="0" w:after="120" w:afterAutospacing="0"/>
              <w:jc w:val="both"/>
              <w:rPr>
                <w:color w:val="000000"/>
              </w:rPr>
            </w:pPr>
            <w:r w:rsidRPr="00D2156A">
              <w:t>Zakon o poljoprivrednom zemljištu (Narodne novine, broj 39/13</w:t>
            </w:r>
            <w:r w:rsidR="00DA5D8D">
              <w:t>)</w:t>
            </w:r>
          </w:p>
        </w:tc>
      </w:tr>
      <w:tr w:rsidR="00317EE7" w:rsidRPr="00CB4024" w14:paraId="27C26CB0"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89CF07B" w14:textId="77777777" w:rsidR="00317EE7" w:rsidRPr="00D2156A" w:rsidRDefault="00317EE7" w:rsidP="00DD7050">
            <w:pPr>
              <w:pStyle w:val="t-9-8-bez-uvl"/>
              <w:spacing w:before="0" w:beforeAutospacing="0" w:after="120" w:afterAutospacing="0"/>
              <w:jc w:val="both"/>
              <w:rPr>
                <w:color w:val="000000"/>
              </w:rPr>
            </w:pPr>
            <w:r w:rsidRPr="00D2156A">
              <w:lastRenderedPageBreak/>
              <w:t>Pravilnik o zaštiti poljoprivrednog zemljišta od onečišćenja (Narodne novine, broj 9/14)</w:t>
            </w:r>
          </w:p>
        </w:tc>
      </w:tr>
      <w:tr w:rsidR="00317EE7" w:rsidRPr="00CB4024" w14:paraId="1B04C15D"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8D052C8" w14:textId="77777777" w:rsidR="00317EE7" w:rsidRPr="00D2156A" w:rsidRDefault="00317EE7" w:rsidP="00DD7050">
            <w:pPr>
              <w:pStyle w:val="t-9-8-bez-uvl"/>
              <w:spacing w:before="0" w:beforeAutospacing="0" w:after="120" w:afterAutospacing="0"/>
              <w:jc w:val="both"/>
              <w:rPr>
                <w:color w:val="000000"/>
              </w:rPr>
            </w:pPr>
            <w:r w:rsidRPr="00D2156A">
              <w:t>Pravilnik o metodologiji za praćenje stanja poljoprivrednog zemljišta (Narodne novine, broj 43/14)</w:t>
            </w:r>
          </w:p>
        </w:tc>
      </w:tr>
      <w:tr w:rsidR="00317EE7" w:rsidRPr="00CB4024" w14:paraId="2111B1CC"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207AC62F" w14:textId="77777777" w:rsidR="00317EE7" w:rsidRPr="00D2156A" w:rsidRDefault="00317EE7" w:rsidP="00DD7050">
            <w:pPr>
              <w:pStyle w:val="t-9-8-bez-uvl"/>
              <w:spacing w:before="0" w:beforeAutospacing="0" w:after="120" w:afterAutospacing="0"/>
              <w:jc w:val="both"/>
              <w:rPr>
                <w:color w:val="000000"/>
              </w:rPr>
            </w:pPr>
            <w:r w:rsidRPr="00D2156A">
              <w:t>Pravilnik o agrotehničkim mjerama (Narodne novine, broj 142/13)</w:t>
            </w:r>
          </w:p>
        </w:tc>
      </w:tr>
      <w:tr w:rsidR="00317EE7" w:rsidRPr="00CB4024" w14:paraId="7E8D14EC"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3EDEA5D8" w14:textId="77777777" w:rsidR="00317EE7" w:rsidRPr="00D2156A" w:rsidRDefault="00317EE7" w:rsidP="00DD7050">
            <w:pPr>
              <w:pStyle w:val="t-9-8-bez-uvl"/>
              <w:spacing w:before="0" w:beforeAutospacing="0" w:after="120" w:afterAutospacing="0"/>
              <w:jc w:val="both"/>
              <w:rPr>
                <w:color w:val="000000"/>
              </w:rPr>
            </w:pPr>
            <w:r w:rsidRPr="00D2156A">
              <w:t>Pravilnik o mjerilima za utvrđivanje osobito vrijednog obradivog (P1) i vrijednog obradivog (P2) poljoprivrednog zemljišta (Narodne novine, broj 151/13)</w:t>
            </w:r>
          </w:p>
        </w:tc>
      </w:tr>
      <w:tr w:rsidR="00317EE7" w:rsidRPr="00CB4024" w14:paraId="1C49CCCB"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0568B08D" w14:textId="3A036284" w:rsidR="00317EE7" w:rsidRPr="00D2156A" w:rsidRDefault="00317EE7" w:rsidP="00DD7050">
            <w:pPr>
              <w:pStyle w:val="t-9-8-bez-uvl"/>
              <w:spacing w:before="0" w:beforeAutospacing="0" w:after="120" w:afterAutospacing="0"/>
              <w:jc w:val="both"/>
              <w:rPr>
                <w:color w:val="000000"/>
              </w:rPr>
            </w:pPr>
            <w:r w:rsidRPr="00D2156A">
              <w:t>Pravilnik o postupku registracije sredstava za zaštitu bilja (Narodne novine, br</w:t>
            </w:r>
            <w:r w:rsidR="000B6F61">
              <w:t>.</w:t>
            </w:r>
            <w:r w:rsidRPr="00D2156A">
              <w:t xml:space="preserve"> 57/07, 119/09, 142/12</w:t>
            </w:r>
            <w:r w:rsidR="000B6F61">
              <w:t xml:space="preserve"> i</w:t>
            </w:r>
            <w:r w:rsidRPr="00D2156A">
              <w:t xml:space="preserve"> 80/13)</w:t>
            </w:r>
          </w:p>
        </w:tc>
      </w:tr>
      <w:tr w:rsidR="00317EE7" w:rsidRPr="00CB4024" w14:paraId="4839D09C" w14:textId="77777777" w:rsidTr="00B738C2">
        <w:tc>
          <w:tcPr>
            <w:tcW w:w="9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424ABB" w14:textId="3D3D8614" w:rsidR="00317EE7" w:rsidRPr="00D2156A" w:rsidRDefault="006B1B72" w:rsidP="00363268">
            <w:pPr>
              <w:pStyle w:val="t-9-8-bez-uvl"/>
              <w:spacing w:before="0" w:beforeAutospacing="0" w:after="120" w:afterAutospacing="0"/>
              <w:jc w:val="center"/>
              <w:rPr>
                <w:b/>
              </w:rPr>
            </w:pPr>
            <w:r>
              <w:rPr>
                <w:b/>
              </w:rPr>
              <w:t>ZAŠTITA ŠUMSKIH EKOSUSTAVA</w:t>
            </w:r>
          </w:p>
        </w:tc>
      </w:tr>
      <w:tr w:rsidR="00317EE7" w:rsidRPr="00CB4024" w14:paraId="6A6CC5AF"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D04C0FE" w14:textId="5A9DCB8D" w:rsidR="00317EE7" w:rsidRPr="00CB4024" w:rsidRDefault="00317EE7" w:rsidP="00DD7050">
            <w:pPr>
              <w:pStyle w:val="t-9-8-bez-uvl"/>
              <w:spacing w:before="0" w:beforeAutospacing="0" w:after="120" w:afterAutospacing="0"/>
              <w:jc w:val="both"/>
            </w:pPr>
            <w:r w:rsidRPr="00CB4024">
              <w:t xml:space="preserve">Zakon o šumama (Narodne novine, br. 140/05, 82/06, 129/08, 80/10, 124/10, 25/12, 68/12, 148/13 i 94/14) </w:t>
            </w:r>
          </w:p>
        </w:tc>
      </w:tr>
      <w:tr w:rsidR="00317EE7" w:rsidRPr="00CB4024" w14:paraId="209B9E48"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69E8BCB0" w14:textId="05D5DE77" w:rsidR="00317EE7" w:rsidRPr="00CB4024" w:rsidRDefault="00CA4423" w:rsidP="00DD7050">
            <w:pPr>
              <w:pStyle w:val="t-9-8-bez-uvl"/>
              <w:spacing w:before="0" w:beforeAutospacing="0" w:after="120" w:afterAutospacing="0"/>
              <w:jc w:val="both"/>
            </w:pPr>
            <w:r w:rsidRPr="00CA4423">
              <w:t>Pravilnik o zaštiti šuma od požara (Narodne novine, br. 26/03 i 33/14)</w:t>
            </w:r>
          </w:p>
        </w:tc>
      </w:tr>
      <w:tr w:rsidR="00CA4423" w:rsidRPr="00CB4024" w14:paraId="501EC35E"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0D13EAAE" w14:textId="013E7197" w:rsidR="00CA4423" w:rsidRPr="00CB4024" w:rsidRDefault="00CA4423" w:rsidP="00DD7050">
            <w:pPr>
              <w:pStyle w:val="t-9-8-bez-uvl"/>
              <w:spacing w:before="0" w:beforeAutospacing="0" w:after="120" w:afterAutospacing="0"/>
              <w:jc w:val="both"/>
            </w:pPr>
            <w:r w:rsidRPr="00CB4024">
              <w:t>Pravilnik o načinu prikupljanja podataka, vođenju registra te uvjetima korištenja podataka o šumskim požarima (</w:t>
            </w:r>
            <w:r>
              <w:t xml:space="preserve">Narodne novine, </w:t>
            </w:r>
            <w:r w:rsidRPr="00363268">
              <w:t>br. 75/13, 150/14 i 21/17)</w:t>
            </w:r>
          </w:p>
        </w:tc>
      </w:tr>
      <w:tr w:rsidR="00CA4423" w:rsidRPr="00CB4024" w14:paraId="0DF2B0D4" w14:textId="77777777" w:rsidTr="00B738C2">
        <w:tc>
          <w:tcPr>
            <w:tcW w:w="9520" w:type="dxa"/>
            <w:tcBorders>
              <w:top w:val="single" w:sz="4" w:space="0" w:color="auto"/>
              <w:left w:val="single" w:sz="4" w:space="0" w:color="auto"/>
              <w:bottom w:val="single" w:sz="4" w:space="0" w:color="auto"/>
              <w:right w:val="single" w:sz="4" w:space="0" w:color="auto"/>
            </w:tcBorders>
            <w:vAlign w:val="center"/>
          </w:tcPr>
          <w:p w14:paraId="4739C2CB" w14:textId="75BCEA4D" w:rsidR="00CA4423" w:rsidRPr="00CB4024" w:rsidRDefault="00CA4423" w:rsidP="00DD7050">
            <w:pPr>
              <w:pStyle w:val="t-9-8-bez-uvl"/>
              <w:spacing w:before="0" w:beforeAutospacing="0" w:after="120" w:afterAutospacing="0"/>
              <w:jc w:val="both"/>
            </w:pPr>
            <w:r w:rsidRPr="00CA4423">
              <w:t>Pravilnik o načinu motrenja oštećenosti šumskih e</w:t>
            </w:r>
            <w:r w:rsidR="00363268">
              <w:t xml:space="preserve">kosustava (Narodne novine, br. </w:t>
            </w:r>
            <w:r w:rsidRPr="00CA4423">
              <w:t>76/13 i 122/14)</w:t>
            </w:r>
          </w:p>
        </w:tc>
      </w:tr>
    </w:tbl>
    <w:p w14:paraId="5287D9F7" w14:textId="77777777" w:rsidR="007F486F" w:rsidRPr="00317EE7" w:rsidRDefault="007F486F" w:rsidP="00317EE7">
      <w:pPr>
        <w:spacing w:after="120"/>
      </w:pPr>
    </w:p>
    <w:p w14:paraId="03993B31" w14:textId="332905F3" w:rsidR="00317EE7" w:rsidRPr="00165336" w:rsidRDefault="002664D6" w:rsidP="00165336">
      <w:pPr>
        <w:pStyle w:val="Naslov2"/>
        <w:numPr>
          <w:ilvl w:val="1"/>
          <w:numId w:val="8"/>
        </w:numPr>
        <w:spacing w:after="120"/>
        <w:rPr>
          <w:b w:val="0"/>
        </w:rPr>
      </w:pPr>
      <w:r>
        <w:rPr>
          <w:b w:val="0"/>
        </w:rPr>
        <w:t xml:space="preserve"> </w:t>
      </w:r>
      <w:bookmarkStart w:id="4" w:name="_Toc8637298"/>
      <w:r w:rsidR="00D55E4A" w:rsidRPr="00D55E4A">
        <w:rPr>
          <w:b w:val="0"/>
        </w:rPr>
        <w:t>PREGLED PODATAKA O IZVRŠENIM OBVEZAMA U GOSPODARENJU POLIKLORIRANIM BIFENILIMA I POLIKLORIRANIM TERFENILIMA (PCB</w:t>
      </w:r>
      <w:r w:rsidR="00BC5A46">
        <w:rPr>
          <w:b w:val="0"/>
        </w:rPr>
        <w:t>/PCT</w:t>
      </w:r>
      <w:r w:rsidR="00D55E4A" w:rsidRPr="00D55E4A">
        <w:rPr>
          <w:b w:val="0"/>
        </w:rPr>
        <w:t xml:space="preserve">) SUKLADNO PRAVILNIKU O GOSPODARENJU POLIKLORIRANIM BIFENILIMA I POLIKLORIRANIM TERFENILIMA (NARODNE NOVINE, BROJ 103/14), STATUS </w:t>
      </w:r>
      <w:r w:rsidR="00D55E4A" w:rsidRPr="00D55E4A">
        <w:rPr>
          <w:b w:val="0"/>
          <w:color w:val="000000" w:themeColor="text1"/>
        </w:rPr>
        <w:t>U RAZDOBLJU 2015.</w:t>
      </w:r>
      <w:r w:rsidR="00165336">
        <w:rPr>
          <w:b w:val="0"/>
          <w:color w:val="000000" w:themeColor="text1"/>
        </w:rPr>
        <w:t xml:space="preserve"> – </w:t>
      </w:r>
      <w:r w:rsidR="00D55E4A" w:rsidRPr="00165336">
        <w:rPr>
          <w:b w:val="0"/>
          <w:color w:val="000000" w:themeColor="text1"/>
        </w:rPr>
        <w:t>2017. GODINE</w:t>
      </w:r>
      <w:bookmarkEnd w:id="4"/>
    </w:p>
    <w:p w14:paraId="62925677" w14:textId="00CA760D" w:rsidR="00317EE7" w:rsidRPr="00CB4024" w:rsidRDefault="00317EE7" w:rsidP="00D55E4A">
      <w:pPr>
        <w:spacing w:after="120"/>
        <w:jc w:val="both"/>
      </w:pPr>
      <w:r w:rsidRPr="00CB4024">
        <w:t xml:space="preserve">Direktiva </w:t>
      </w:r>
      <w:r w:rsidR="0043390C">
        <w:t xml:space="preserve">Vijeća </w:t>
      </w:r>
      <w:r w:rsidRPr="00CB4024">
        <w:t xml:space="preserve">96/59/EZ od 16. rujna 1996. o </w:t>
      </w:r>
      <w:r w:rsidR="0043390C">
        <w:t xml:space="preserve">odlaganju </w:t>
      </w:r>
      <w:proofErr w:type="spellStart"/>
      <w:r w:rsidRPr="00CB4024">
        <w:t>polikloriranih</w:t>
      </w:r>
      <w:proofErr w:type="spellEnd"/>
      <w:r w:rsidRPr="00CB4024">
        <w:t xml:space="preserve"> </w:t>
      </w:r>
      <w:proofErr w:type="spellStart"/>
      <w:r w:rsidRPr="00CB4024">
        <w:t>bifenila</w:t>
      </w:r>
      <w:proofErr w:type="spellEnd"/>
      <w:r w:rsidRPr="00CB4024">
        <w:t xml:space="preserve"> i </w:t>
      </w:r>
      <w:proofErr w:type="spellStart"/>
      <w:r w:rsidRPr="00CB4024">
        <w:t>polikloriranih</w:t>
      </w:r>
      <w:proofErr w:type="spellEnd"/>
      <w:r w:rsidRPr="00CB4024">
        <w:t xml:space="preserve"> </w:t>
      </w:r>
      <w:proofErr w:type="spellStart"/>
      <w:r w:rsidRPr="00CB4024">
        <w:t>terfenila</w:t>
      </w:r>
      <w:proofErr w:type="spellEnd"/>
      <w:r w:rsidRPr="00CB4024">
        <w:t xml:space="preserve"> (PCB/PCT) (SL L 243, 24. 9. 1996.) (u daljnjem tekstu: Direktiva 96/59/EZ) propisuje zabrane i ograničenja kao i svako drugo obvezno postupanje pri zbrinjavanju </w:t>
      </w:r>
      <w:proofErr w:type="spellStart"/>
      <w:r w:rsidRPr="00CB4024">
        <w:t>polikloriranih</w:t>
      </w:r>
      <w:proofErr w:type="spellEnd"/>
      <w:r w:rsidRPr="00CB4024">
        <w:t xml:space="preserve"> </w:t>
      </w:r>
      <w:proofErr w:type="spellStart"/>
      <w:r w:rsidRPr="00CB4024">
        <w:t>bifenila</w:t>
      </w:r>
      <w:proofErr w:type="spellEnd"/>
      <w:r w:rsidRPr="00CB4024">
        <w:t xml:space="preserve"> i </w:t>
      </w:r>
      <w:proofErr w:type="spellStart"/>
      <w:r w:rsidRPr="00CB4024">
        <w:t>polikloriranih</w:t>
      </w:r>
      <w:proofErr w:type="spellEnd"/>
      <w:r w:rsidRPr="00CB4024">
        <w:t xml:space="preserve"> </w:t>
      </w:r>
      <w:proofErr w:type="spellStart"/>
      <w:r w:rsidRPr="00CB4024">
        <w:t>terfenila</w:t>
      </w:r>
      <w:proofErr w:type="spellEnd"/>
      <w:r w:rsidRPr="00CB4024">
        <w:t xml:space="preserve"> (u daljnjem tekstu: PCB) i otpadnih PCB-a pri dekontaminaciji i zbrinjavanju opreme koja sadrži PCB kako bi se oni u potpunosti zbrinuli i uklonili zbog opasnosti koje predstavljaju za okoliš i ljudsko zdravlje te se propisuje obveza izvješćivanja Europskoj komisiji.</w:t>
      </w:r>
    </w:p>
    <w:p w14:paraId="230BFE4E" w14:textId="4C3AFFCF" w:rsidR="00317EE7" w:rsidRPr="00CB4024" w:rsidRDefault="00317EE7" w:rsidP="00D55E4A">
      <w:pPr>
        <w:spacing w:after="120"/>
        <w:jc w:val="both"/>
        <w:rPr>
          <w:rFonts w:eastAsia="Calibri"/>
          <w:lang w:eastAsia="en-US"/>
        </w:rPr>
      </w:pPr>
      <w:r w:rsidRPr="00CB4024">
        <w:t xml:space="preserve">Direktiva 96/59/EZ prenesena je u nacionalno zakonodavstvo Pravilnikom o </w:t>
      </w:r>
      <w:r>
        <w:t xml:space="preserve">gospodarenju </w:t>
      </w:r>
      <w:proofErr w:type="spellStart"/>
      <w:r w:rsidRPr="00CB4024">
        <w:t>polikloriranim</w:t>
      </w:r>
      <w:proofErr w:type="spellEnd"/>
      <w:r w:rsidRPr="00CB4024">
        <w:t xml:space="preserve"> </w:t>
      </w:r>
      <w:proofErr w:type="spellStart"/>
      <w:r w:rsidRPr="00CB4024">
        <w:t>bifenilima</w:t>
      </w:r>
      <w:proofErr w:type="spellEnd"/>
      <w:r w:rsidRPr="00CB4024">
        <w:t xml:space="preserve"> i </w:t>
      </w:r>
      <w:proofErr w:type="spellStart"/>
      <w:r w:rsidRPr="00CB4024">
        <w:t>polikloriranim</w:t>
      </w:r>
      <w:proofErr w:type="spellEnd"/>
      <w:r w:rsidRPr="00CB4024">
        <w:t xml:space="preserve"> </w:t>
      </w:r>
      <w:proofErr w:type="spellStart"/>
      <w:r w:rsidRPr="00CB4024">
        <w:t>terfenilima</w:t>
      </w:r>
      <w:proofErr w:type="spellEnd"/>
      <w:r w:rsidR="003E2039">
        <w:t xml:space="preserve"> </w:t>
      </w:r>
      <w:r w:rsidRPr="00CB4024">
        <w:t>(Narodne novine, broj 103/14</w:t>
      </w:r>
      <w:r>
        <w:t>; u daljnjem tekstu: Pravilnik</w:t>
      </w:r>
      <w:r w:rsidRPr="00CB4024">
        <w:t>)</w:t>
      </w:r>
      <w:r w:rsidR="000F1A2A">
        <w:t>. Donošenjem ovoga</w:t>
      </w:r>
      <w:r w:rsidRPr="00CB4024">
        <w:t xml:space="preserve"> Pravilnika stavljen je izvan snage Pravilnik o </w:t>
      </w:r>
      <w:r>
        <w:t xml:space="preserve">gospodarenju </w:t>
      </w:r>
      <w:proofErr w:type="spellStart"/>
      <w:r w:rsidRPr="00CB4024">
        <w:t>polikloriranim</w:t>
      </w:r>
      <w:proofErr w:type="spellEnd"/>
      <w:r w:rsidRPr="00CB4024">
        <w:t xml:space="preserve"> </w:t>
      </w:r>
      <w:proofErr w:type="spellStart"/>
      <w:r w:rsidRPr="00CB4024">
        <w:t>bifenilima</w:t>
      </w:r>
      <w:proofErr w:type="spellEnd"/>
      <w:r w:rsidRPr="00CB4024">
        <w:t xml:space="preserve"> i </w:t>
      </w:r>
      <w:proofErr w:type="spellStart"/>
      <w:r w:rsidRPr="00CB4024">
        <w:t>polikloriranim</w:t>
      </w:r>
      <w:proofErr w:type="spellEnd"/>
      <w:r w:rsidRPr="00CB4024">
        <w:t xml:space="preserve"> </w:t>
      </w:r>
      <w:proofErr w:type="spellStart"/>
      <w:r w:rsidRPr="00CB4024">
        <w:t>terfenilima</w:t>
      </w:r>
      <w:proofErr w:type="spellEnd"/>
      <w:r w:rsidRPr="00CB4024">
        <w:t xml:space="preserve"> (Narodne novine, broj 105/08). Nadalje, </w:t>
      </w:r>
      <w:r w:rsidR="00BC5A46">
        <w:t xml:space="preserve">Pravilnik </w:t>
      </w:r>
      <w:r w:rsidRPr="00CB4024">
        <w:t>propisuje uvjete gospodarenja PCB-ima, otpadnim PCB-ima i opremom koja sadrži PCB, zahtjev</w:t>
      </w:r>
      <w:r w:rsidR="00DC151D">
        <w:t>e</w:t>
      </w:r>
      <w:r w:rsidRPr="00CB4024">
        <w:t xml:space="preserve"> u pogledu označavanja, skladištenja, prijevoza i obrade, obvez</w:t>
      </w:r>
      <w:r w:rsidR="00DC151D">
        <w:t>e vođenja evidencije, dokazivanje</w:t>
      </w:r>
      <w:r w:rsidRPr="00CB4024">
        <w:t xml:space="preserve"> te dostav</w:t>
      </w:r>
      <w:r w:rsidR="00DC151D">
        <w:t>u</w:t>
      </w:r>
      <w:r w:rsidRPr="00CB4024">
        <w:t xml:space="preserve"> izvješća, uključujući izvješćivanje prema Europskoj komisiji.</w:t>
      </w:r>
    </w:p>
    <w:p w14:paraId="1E27BF78" w14:textId="46F08C79" w:rsidR="00317EE7" w:rsidRPr="00CB4024" w:rsidRDefault="00277611" w:rsidP="00317EE7">
      <w:pPr>
        <w:spacing w:after="120"/>
        <w:jc w:val="both"/>
        <w:rPr>
          <w:rFonts w:eastAsia="Calibri"/>
          <w:lang w:eastAsia="en-US"/>
        </w:rPr>
      </w:pPr>
      <w:r>
        <w:rPr>
          <w:rFonts w:eastAsia="Calibri"/>
          <w:lang w:eastAsia="en-US"/>
        </w:rPr>
        <w:t>T</w:t>
      </w:r>
      <w:r w:rsidR="00317EE7" w:rsidRPr="00CB4024">
        <w:rPr>
          <w:rFonts w:eastAsia="Calibri"/>
          <w:lang w:eastAsia="en-US"/>
        </w:rPr>
        <w:t xml:space="preserve">emeljem Direktive 96/59/EZ i Pravilnika o </w:t>
      </w:r>
      <w:r w:rsidR="00317EE7">
        <w:rPr>
          <w:rFonts w:eastAsia="Calibri"/>
          <w:lang w:eastAsia="en-US"/>
        </w:rPr>
        <w:t xml:space="preserve">gospodarenju </w:t>
      </w:r>
      <w:proofErr w:type="spellStart"/>
      <w:r w:rsidR="00317EE7" w:rsidRPr="00CB4024">
        <w:rPr>
          <w:rFonts w:eastAsia="Calibri"/>
          <w:lang w:eastAsia="en-US"/>
        </w:rPr>
        <w:t>polikloriranim</w:t>
      </w:r>
      <w:proofErr w:type="spellEnd"/>
      <w:r w:rsidR="00317EE7" w:rsidRPr="00CB4024">
        <w:rPr>
          <w:rFonts w:eastAsia="Calibri"/>
          <w:lang w:eastAsia="en-US"/>
        </w:rPr>
        <w:t xml:space="preserve"> </w:t>
      </w:r>
      <w:proofErr w:type="spellStart"/>
      <w:r w:rsidR="00317EE7" w:rsidRPr="00CB4024">
        <w:rPr>
          <w:rFonts w:eastAsia="Calibri"/>
          <w:lang w:eastAsia="en-US"/>
        </w:rPr>
        <w:t>bifenilima</w:t>
      </w:r>
      <w:proofErr w:type="spellEnd"/>
      <w:r w:rsidR="00317EE7" w:rsidRPr="00CB4024">
        <w:rPr>
          <w:rFonts w:eastAsia="Calibri"/>
          <w:lang w:eastAsia="en-US"/>
        </w:rPr>
        <w:t xml:space="preserve"> i </w:t>
      </w:r>
      <w:proofErr w:type="spellStart"/>
      <w:r w:rsidR="00317EE7" w:rsidRPr="00CB4024">
        <w:rPr>
          <w:rFonts w:eastAsia="Calibri"/>
          <w:lang w:eastAsia="en-US"/>
        </w:rPr>
        <w:t>polikloriranim</w:t>
      </w:r>
      <w:proofErr w:type="spellEnd"/>
      <w:r w:rsidR="00317EE7" w:rsidRPr="00CB4024">
        <w:rPr>
          <w:rFonts w:eastAsia="Calibri"/>
          <w:lang w:eastAsia="en-US"/>
        </w:rPr>
        <w:t xml:space="preserve"> </w:t>
      </w:r>
      <w:proofErr w:type="spellStart"/>
      <w:r w:rsidR="00317EE7">
        <w:rPr>
          <w:rFonts w:eastAsia="Calibri"/>
          <w:lang w:eastAsia="en-US"/>
        </w:rPr>
        <w:t>terfenilima</w:t>
      </w:r>
      <w:proofErr w:type="spellEnd"/>
      <w:r w:rsidR="00317EE7">
        <w:rPr>
          <w:rFonts w:eastAsia="Calibri"/>
          <w:lang w:eastAsia="en-US"/>
        </w:rPr>
        <w:t xml:space="preserve"> (Narodne novine, broj</w:t>
      </w:r>
      <w:r w:rsidR="00317EE7" w:rsidRPr="00CB4024">
        <w:rPr>
          <w:rFonts w:eastAsia="Calibri"/>
          <w:lang w:eastAsia="en-US"/>
        </w:rPr>
        <w:t xml:space="preserve"> 105/08)</w:t>
      </w:r>
      <w:r>
        <w:rPr>
          <w:rFonts w:eastAsia="Calibri"/>
          <w:lang w:eastAsia="en-US"/>
        </w:rPr>
        <w:t xml:space="preserve"> </w:t>
      </w:r>
      <w:r w:rsidRPr="00277611">
        <w:rPr>
          <w:rFonts w:eastAsia="Calibri"/>
          <w:lang w:eastAsia="en-US"/>
        </w:rPr>
        <w:t>oprem</w:t>
      </w:r>
      <w:r>
        <w:rPr>
          <w:rFonts w:eastAsia="Calibri"/>
          <w:lang w:eastAsia="en-US"/>
        </w:rPr>
        <w:t>a</w:t>
      </w:r>
      <w:r w:rsidRPr="00277611">
        <w:rPr>
          <w:rFonts w:eastAsia="Calibri"/>
          <w:lang w:eastAsia="en-US"/>
        </w:rPr>
        <w:t xml:space="preserve"> s volumenom PCB-a većim od 5 dm</w:t>
      </w:r>
      <w:r w:rsidRPr="00277611">
        <w:rPr>
          <w:rFonts w:eastAsia="Calibri"/>
          <w:vertAlign w:val="superscript"/>
          <w:lang w:eastAsia="en-US"/>
        </w:rPr>
        <w:t>3</w:t>
      </w:r>
      <w:r w:rsidR="00317EE7" w:rsidRPr="00CB4024">
        <w:rPr>
          <w:rFonts w:eastAsia="Calibri"/>
          <w:lang w:eastAsia="en-US"/>
        </w:rPr>
        <w:t xml:space="preserve"> morala </w:t>
      </w:r>
      <w:r>
        <w:rPr>
          <w:rFonts w:eastAsia="Calibri"/>
          <w:lang w:eastAsia="en-US"/>
        </w:rPr>
        <w:t xml:space="preserve">je biti </w:t>
      </w:r>
      <w:r w:rsidR="00317EE7" w:rsidRPr="00CB4024">
        <w:rPr>
          <w:rFonts w:eastAsia="Calibri"/>
          <w:lang w:eastAsia="en-US"/>
        </w:rPr>
        <w:t>dekontaminira</w:t>
      </w:r>
      <w:r>
        <w:rPr>
          <w:rFonts w:eastAsia="Calibri"/>
          <w:lang w:eastAsia="en-US"/>
        </w:rPr>
        <w:t>na</w:t>
      </w:r>
      <w:r w:rsidR="00317EE7" w:rsidRPr="00CB4024">
        <w:rPr>
          <w:rFonts w:eastAsia="Calibri"/>
          <w:lang w:eastAsia="en-US"/>
        </w:rPr>
        <w:t xml:space="preserve"> do 31. prosinca 2010. godine</w:t>
      </w:r>
      <w:r>
        <w:rPr>
          <w:rFonts w:eastAsia="Calibri"/>
          <w:lang w:eastAsia="en-US"/>
        </w:rPr>
        <w:t>. O</w:t>
      </w:r>
      <w:r w:rsidR="00317EE7" w:rsidRPr="00CB4024">
        <w:rPr>
          <w:rFonts w:eastAsia="Calibri"/>
          <w:lang w:eastAsia="en-US"/>
        </w:rPr>
        <w:t>stalu opremu</w:t>
      </w:r>
      <w:r>
        <w:rPr>
          <w:rFonts w:eastAsia="Calibri"/>
          <w:lang w:eastAsia="en-US"/>
        </w:rPr>
        <w:t xml:space="preserve">, </w:t>
      </w:r>
      <w:r w:rsidRPr="00277611">
        <w:rPr>
          <w:rFonts w:eastAsia="Calibri"/>
          <w:lang w:eastAsia="en-US"/>
        </w:rPr>
        <w:t>nakon što su uređaji čiji je bila sastavni dio povučeni iz upora</w:t>
      </w:r>
      <w:r>
        <w:rPr>
          <w:rFonts w:eastAsia="Calibri"/>
          <w:lang w:eastAsia="en-US"/>
        </w:rPr>
        <w:t xml:space="preserve">be, </w:t>
      </w:r>
      <w:r w:rsidR="00317EE7" w:rsidRPr="00CB4024">
        <w:rPr>
          <w:rFonts w:eastAsia="Calibri"/>
          <w:lang w:eastAsia="en-US"/>
        </w:rPr>
        <w:t xml:space="preserve">potrebno je zasebno sakupiti te predati ovlaštenoj osobi na dekontaminaciju i/ili zbrinjavanje u najkraćem mogućem roku u skladu s odredbama Pravilnika i Zakona o održivom gospodarenju otpadom </w:t>
      </w:r>
      <w:r w:rsidR="00806467">
        <w:rPr>
          <w:rFonts w:eastAsia="Calibri"/>
          <w:lang w:eastAsia="en-US"/>
        </w:rPr>
        <w:t>(</w:t>
      </w:r>
      <w:r w:rsidR="008F1CD6" w:rsidRPr="008F1CD6">
        <w:rPr>
          <w:rFonts w:eastAsia="Calibri"/>
          <w:lang w:eastAsia="en-US"/>
        </w:rPr>
        <w:t>Narodne novine, br</w:t>
      </w:r>
      <w:r w:rsidR="00806467">
        <w:rPr>
          <w:rFonts w:eastAsia="Calibri"/>
          <w:lang w:eastAsia="en-US"/>
        </w:rPr>
        <w:t>.</w:t>
      </w:r>
      <w:r w:rsidR="008F1CD6" w:rsidRPr="008F1CD6">
        <w:rPr>
          <w:rFonts w:eastAsia="Calibri"/>
          <w:lang w:eastAsia="en-US"/>
        </w:rPr>
        <w:t xml:space="preserve"> 94/13</w:t>
      </w:r>
      <w:r w:rsidR="008D55AC">
        <w:rPr>
          <w:rFonts w:eastAsia="Calibri"/>
          <w:lang w:eastAsia="en-US"/>
        </w:rPr>
        <w:t xml:space="preserve"> i</w:t>
      </w:r>
      <w:r w:rsidR="008F1CD6" w:rsidRPr="008F1CD6">
        <w:rPr>
          <w:rFonts w:eastAsia="Calibri"/>
          <w:lang w:eastAsia="en-US"/>
        </w:rPr>
        <w:t xml:space="preserve"> 73/17</w:t>
      </w:r>
      <w:r w:rsidR="008F1CD6">
        <w:rPr>
          <w:rFonts w:eastAsia="Calibri"/>
          <w:lang w:eastAsia="en-US"/>
        </w:rPr>
        <w:t>)</w:t>
      </w:r>
      <w:r w:rsidR="00317EE7" w:rsidRPr="00CB4024">
        <w:rPr>
          <w:rFonts w:eastAsia="Calibri"/>
          <w:lang w:eastAsia="en-US"/>
        </w:rPr>
        <w:t>, a najkasnije u roku određenom Zakonom o potvrđivanju Stockholmske konvencije o postojanim organskim onečišćujućim tvarima.</w:t>
      </w:r>
    </w:p>
    <w:p w14:paraId="75E91CDB" w14:textId="1FE67655" w:rsidR="00317EE7" w:rsidRPr="00CB4024" w:rsidRDefault="00317EE7" w:rsidP="00317EE7">
      <w:pPr>
        <w:spacing w:after="120"/>
        <w:jc w:val="both"/>
        <w:rPr>
          <w:rFonts w:eastAsia="Calibri"/>
          <w:lang w:eastAsia="en-US"/>
        </w:rPr>
      </w:pPr>
      <w:r w:rsidRPr="00DA37B6">
        <w:rPr>
          <w:rFonts w:eastAsia="Calibri"/>
          <w:lang w:eastAsia="en-US"/>
        </w:rPr>
        <w:t xml:space="preserve">Posjednik opreme dužan je popisati i prijaviti </w:t>
      </w:r>
      <w:r w:rsidR="00507E93">
        <w:rPr>
          <w:rFonts w:eastAsia="Calibri"/>
          <w:lang w:eastAsia="en-US"/>
        </w:rPr>
        <w:t xml:space="preserve">u </w:t>
      </w:r>
      <w:r w:rsidR="00507E93" w:rsidRPr="008D55AC">
        <w:rPr>
          <w:rFonts w:eastAsia="Calibri"/>
          <w:lang w:eastAsia="en-US"/>
        </w:rPr>
        <w:t>HAOP</w:t>
      </w:r>
      <w:r w:rsidRPr="00CB4024">
        <w:rPr>
          <w:rFonts w:eastAsia="Calibri"/>
          <w:lang w:eastAsia="en-US"/>
        </w:rPr>
        <w:t xml:space="preserve"> putem propisanih </w:t>
      </w:r>
      <w:r w:rsidR="003E2039">
        <w:rPr>
          <w:rFonts w:eastAsia="Calibri"/>
          <w:lang w:eastAsia="en-US"/>
        </w:rPr>
        <w:t>o</w:t>
      </w:r>
      <w:r w:rsidRPr="00CB4024">
        <w:rPr>
          <w:rFonts w:eastAsia="Calibri"/>
          <w:lang w:eastAsia="en-US"/>
        </w:rPr>
        <w:t xml:space="preserve">brazaca iz </w:t>
      </w:r>
      <w:r w:rsidR="003E2039">
        <w:rPr>
          <w:rFonts w:eastAsia="Calibri"/>
          <w:lang w:eastAsia="en-US"/>
        </w:rPr>
        <w:t>d</w:t>
      </w:r>
      <w:r w:rsidRPr="00CB4024">
        <w:rPr>
          <w:rFonts w:eastAsia="Calibri"/>
          <w:lang w:eastAsia="en-US"/>
        </w:rPr>
        <w:t>odatka Pravilnika, opremu s volumenom PCB-a većim od 5 dm</w:t>
      </w:r>
      <w:r w:rsidRPr="00CB4024">
        <w:rPr>
          <w:rFonts w:eastAsia="Calibri"/>
          <w:vertAlign w:val="superscript"/>
          <w:lang w:eastAsia="en-US"/>
        </w:rPr>
        <w:t>3</w:t>
      </w:r>
      <w:r w:rsidRPr="00CB4024">
        <w:rPr>
          <w:rFonts w:eastAsia="Calibri"/>
          <w:lang w:eastAsia="en-US"/>
        </w:rPr>
        <w:t>. Kod električnih kondenzatora, granična vrijednost od 5 dm</w:t>
      </w:r>
      <w:r w:rsidRPr="00CB4024">
        <w:rPr>
          <w:rFonts w:eastAsia="Calibri"/>
          <w:vertAlign w:val="superscript"/>
          <w:lang w:eastAsia="en-US"/>
        </w:rPr>
        <w:t>3</w:t>
      </w:r>
      <w:r w:rsidRPr="00CB4024">
        <w:rPr>
          <w:rFonts w:eastAsia="Calibri"/>
          <w:lang w:eastAsia="en-US"/>
        </w:rPr>
        <w:t xml:space="preserve"> odnosi se na cjelokupnu zapreminu svih pojedinih elemenata koji sadrže PCB i </w:t>
      </w:r>
      <w:r w:rsidRPr="00CB4024">
        <w:rPr>
          <w:rFonts w:eastAsia="Calibri"/>
          <w:lang w:eastAsia="en-US"/>
        </w:rPr>
        <w:lastRenderedPageBreak/>
        <w:t xml:space="preserve">čine dio uređaja. Za opremu za koju se opravdano može pretpostaviti da sadrži PCB u stopi od 0,05% do 0,005% ukupne mase tekućine, posjednik opreme dužan je uz prijavu priložiti i rezultate mjerenja koji navedeno dokazuju, a </w:t>
      </w:r>
      <w:r w:rsidR="00BC5A46">
        <w:rPr>
          <w:rFonts w:eastAsia="Calibri"/>
          <w:lang w:eastAsia="en-US"/>
        </w:rPr>
        <w:t xml:space="preserve">oprema se </w:t>
      </w:r>
      <w:r w:rsidRPr="00CB4024">
        <w:rPr>
          <w:rFonts w:eastAsia="Calibri"/>
          <w:lang w:eastAsia="en-US"/>
        </w:rPr>
        <w:t>mora dekontaminirati i/ili zbrinuti sukl</w:t>
      </w:r>
      <w:r w:rsidR="000F1A2A">
        <w:rPr>
          <w:rFonts w:eastAsia="Calibri"/>
          <w:lang w:eastAsia="en-US"/>
        </w:rPr>
        <w:t>adno uvjetima propisanima čl</w:t>
      </w:r>
      <w:r w:rsidR="008D55AC">
        <w:rPr>
          <w:rFonts w:eastAsia="Calibri"/>
          <w:lang w:eastAsia="en-US"/>
        </w:rPr>
        <w:t>ank</w:t>
      </w:r>
      <w:r w:rsidR="00BC5A46">
        <w:rPr>
          <w:rFonts w:eastAsia="Calibri"/>
          <w:lang w:eastAsia="en-US"/>
        </w:rPr>
        <w:t>om</w:t>
      </w:r>
      <w:r w:rsidR="000F1A2A">
        <w:rPr>
          <w:rFonts w:eastAsia="Calibri"/>
          <w:lang w:eastAsia="en-US"/>
        </w:rPr>
        <w:t xml:space="preserve"> 9</w:t>
      </w:r>
      <w:r w:rsidR="008D55AC">
        <w:rPr>
          <w:rFonts w:eastAsia="Calibri"/>
          <w:lang w:eastAsia="en-US"/>
        </w:rPr>
        <w:t>.</w:t>
      </w:r>
      <w:r w:rsidRPr="00CB4024">
        <w:rPr>
          <w:rFonts w:eastAsia="Calibri"/>
          <w:lang w:eastAsia="en-US"/>
        </w:rPr>
        <w:t xml:space="preserve"> navedenog Pravilnika.</w:t>
      </w:r>
    </w:p>
    <w:p w14:paraId="0B04FB97" w14:textId="06DF0335" w:rsidR="00317EE7" w:rsidRDefault="00317EE7" w:rsidP="00317EE7">
      <w:pPr>
        <w:spacing w:after="120"/>
        <w:jc w:val="both"/>
        <w:rPr>
          <w:rFonts w:eastAsia="Calibri"/>
          <w:lang w:eastAsia="en-US"/>
        </w:rPr>
      </w:pPr>
      <w:r w:rsidRPr="00CB4024">
        <w:rPr>
          <w:rFonts w:eastAsia="Calibri"/>
          <w:lang w:eastAsia="en-US"/>
        </w:rPr>
        <w:t xml:space="preserve">Sukladno istom Pravilniku, </w:t>
      </w:r>
      <w:r w:rsidR="003E2039" w:rsidRPr="008D55AC">
        <w:rPr>
          <w:rFonts w:eastAsia="Calibri"/>
          <w:lang w:eastAsia="en-US"/>
        </w:rPr>
        <w:t>HAOP</w:t>
      </w:r>
      <w:r w:rsidRPr="00CB4024">
        <w:rPr>
          <w:rFonts w:eastAsia="Calibri"/>
          <w:lang w:eastAsia="en-US"/>
        </w:rPr>
        <w:t xml:space="preserve"> ima obvezu vođenja evidencije o dostavljenim obrascima o opremi koja sadrži PCB i PCB opremi koja je dekontaminirana/zbrinuta. Pravilnikom je i propisano da osobe koje posjeduju dozvolu za gospodarenje otpadnim PCB-om trebaju do 31. ožujka tekuće godine za prethodnu godinu dostaviti </w:t>
      </w:r>
      <w:r w:rsidRPr="008D55AC">
        <w:rPr>
          <w:rFonts w:eastAsia="Calibri"/>
          <w:lang w:eastAsia="en-US"/>
        </w:rPr>
        <w:t>H</w:t>
      </w:r>
      <w:r w:rsidR="003E2039" w:rsidRPr="008D55AC">
        <w:rPr>
          <w:rFonts w:eastAsia="Calibri"/>
          <w:lang w:eastAsia="en-US"/>
        </w:rPr>
        <w:t>AOP-u</w:t>
      </w:r>
      <w:r w:rsidR="003E2039">
        <w:rPr>
          <w:rFonts w:eastAsia="Calibri"/>
          <w:lang w:eastAsia="en-US"/>
        </w:rPr>
        <w:t xml:space="preserve"> </w:t>
      </w:r>
      <w:r w:rsidR="000F1A2A">
        <w:rPr>
          <w:rFonts w:eastAsia="Calibri"/>
          <w:lang w:eastAsia="en-US"/>
        </w:rPr>
        <w:t>g</w:t>
      </w:r>
      <w:r w:rsidRPr="00CB4024">
        <w:rPr>
          <w:rFonts w:eastAsia="Calibri"/>
          <w:lang w:eastAsia="en-US"/>
        </w:rPr>
        <w:t>odišnje izvješće o dekontaminiranom/zbrinutom PCB-u. Također, podaci o postupanju s ovim otpadom dostavljaju</w:t>
      </w:r>
      <w:r w:rsidR="00572B97">
        <w:rPr>
          <w:rFonts w:eastAsia="Calibri"/>
          <w:lang w:eastAsia="en-US"/>
        </w:rPr>
        <w:t xml:space="preserve"> se</w:t>
      </w:r>
      <w:r w:rsidRPr="00CB4024">
        <w:rPr>
          <w:rFonts w:eastAsia="Calibri"/>
          <w:lang w:eastAsia="en-US"/>
        </w:rPr>
        <w:t xml:space="preserve"> u bazu </w:t>
      </w:r>
      <w:r w:rsidR="008D55AC">
        <w:rPr>
          <w:rFonts w:eastAsia="Calibri"/>
          <w:lang w:eastAsia="en-US"/>
        </w:rPr>
        <w:t>R</w:t>
      </w:r>
      <w:r w:rsidR="008D55AC" w:rsidRPr="00CB4024">
        <w:rPr>
          <w:rFonts w:eastAsia="Calibri"/>
          <w:lang w:eastAsia="en-US"/>
        </w:rPr>
        <w:t>egist</w:t>
      </w:r>
      <w:r w:rsidR="008D55AC">
        <w:rPr>
          <w:rFonts w:eastAsia="Calibri"/>
          <w:lang w:eastAsia="en-US"/>
        </w:rPr>
        <w:t>ar</w:t>
      </w:r>
      <w:r w:rsidR="008D55AC" w:rsidRPr="00CB4024">
        <w:rPr>
          <w:rFonts w:eastAsia="Calibri"/>
          <w:lang w:eastAsia="en-US"/>
        </w:rPr>
        <w:t xml:space="preserve"> </w:t>
      </w:r>
      <w:r w:rsidRPr="00CB4024">
        <w:rPr>
          <w:rFonts w:eastAsia="Calibri"/>
          <w:lang w:eastAsia="en-US"/>
        </w:rPr>
        <w:t xml:space="preserve">onečišćavanja okoliša (baza ROO) koju vodi </w:t>
      </w:r>
      <w:r w:rsidRPr="008D55AC">
        <w:rPr>
          <w:rFonts w:eastAsia="Calibri"/>
          <w:lang w:eastAsia="en-US"/>
        </w:rPr>
        <w:t>HAOP</w:t>
      </w:r>
      <w:r w:rsidRPr="00CB4024">
        <w:rPr>
          <w:rFonts w:eastAsia="Calibri"/>
          <w:lang w:eastAsia="en-US"/>
        </w:rPr>
        <w:t xml:space="preserve">. </w:t>
      </w:r>
    </w:p>
    <w:p w14:paraId="45A83F51" w14:textId="511D7C2A" w:rsidR="008F1CD6" w:rsidRDefault="00772945" w:rsidP="00AA4D81">
      <w:pPr>
        <w:spacing w:after="120"/>
        <w:jc w:val="both"/>
        <w:rPr>
          <w:rFonts w:eastAsia="Calibri"/>
          <w:lang w:eastAsia="en-US"/>
        </w:rPr>
      </w:pPr>
      <w:r>
        <w:rPr>
          <w:rFonts w:eastAsia="Calibri"/>
          <w:lang w:eastAsia="en-US"/>
        </w:rPr>
        <w:t xml:space="preserve">Pregled podataka o izvršenju obveza sukladno Pravilniku, kojeg izrađuje HAOP dostupan je na </w:t>
      </w:r>
      <w:r w:rsidR="0043390C">
        <w:rPr>
          <w:rFonts w:eastAsia="Calibri"/>
          <w:lang w:eastAsia="en-US"/>
        </w:rPr>
        <w:t>mrežnim</w:t>
      </w:r>
      <w:r w:rsidR="00C24732">
        <w:rPr>
          <w:rFonts w:eastAsia="Calibri"/>
          <w:lang w:eastAsia="en-US"/>
        </w:rPr>
        <w:t xml:space="preserve"> </w:t>
      </w:r>
      <w:r>
        <w:rPr>
          <w:rFonts w:eastAsia="Calibri"/>
          <w:lang w:eastAsia="en-US"/>
        </w:rPr>
        <w:t>stranicama</w:t>
      </w:r>
      <w:r w:rsidR="008F1CD6">
        <w:rPr>
          <w:rFonts w:eastAsia="Calibri"/>
          <w:lang w:eastAsia="en-US"/>
        </w:rPr>
        <w:t xml:space="preserve"> </w:t>
      </w:r>
      <w:r w:rsidR="00AA4D81" w:rsidRPr="00AA4D81">
        <w:rPr>
          <w:rStyle w:val="Hiperveza"/>
          <w:rFonts w:eastAsia="Calibri"/>
          <w:color w:val="auto"/>
          <w:u w:val="none"/>
          <w:lang w:eastAsia="en-US"/>
        </w:rPr>
        <w:t>http://www.haop.hr/hr/tematska-podrucja/otpad-i-registri-oneciscavanja/go</w:t>
      </w:r>
      <w:r w:rsidR="00AA4D81">
        <w:rPr>
          <w:rStyle w:val="Hiperveza"/>
          <w:rFonts w:eastAsia="Calibri"/>
          <w:color w:val="auto"/>
          <w:u w:val="none"/>
          <w:lang w:eastAsia="en-US"/>
        </w:rPr>
        <w:br/>
      </w:r>
      <w:proofErr w:type="spellStart"/>
      <w:r w:rsidR="008F1CD6" w:rsidRPr="00AA4D81">
        <w:rPr>
          <w:rStyle w:val="Hiperveza"/>
          <w:rFonts w:eastAsia="Calibri"/>
          <w:color w:val="auto"/>
          <w:u w:val="none"/>
          <w:lang w:eastAsia="en-US"/>
        </w:rPr>
        <w:t>spodarenje</w:t>
      </w:r>
      <w:proofErr w:type="spellEnd"/>
      <w:r w:rsidR="008F1CD6" w:rsidRPr="00AA4D81">
        <w:rPr>
          <w:rStyle w:val="Hiperveza"/>
          <w:rFonts w:eastAsia="Calibri"/>
          <w:color w:val="auto"/>
          <w:u w:val="none"/>
          <w:lang w:eastAsia="en-US"/>
        </w:rPr>
        <w:t>-otpadom/</w:t>
      </w:r>
      <w:proofErr w:type="spellStart"/>
      <w:r w:rsidR="008F1CD6" w:rsidRPr="00AA4D81">
        <w:rPr>
          <w:rStyle w:val="Hiperveza"/>
          <w:rFonts w:eastAsia="Calibri"/>
          <w:color w:val="auto"/>
          <w:u w:val="none"/>
          <w:lang w:eastAsia="en-US"/>
        </w:rPr>
        <w:t>izvjesca</w:t>
      </w:r>
      <w:proofErr w:type="spellEnd"/>
    </w:p>
    <w:p w14:paraId="51A182E4" w14:textId="7EB1D69D" w:rsidR="00772945" w:rsidRDefault="00317EE7" w:rsidP="00667FB6">
      <w:pPr>
        <w:jc w:val="both"/>
        <w:rPr>
          <w:rFonts w:eastAsia="Calibri"/>
          <w:lang w:eastAsia="en-US"/>
        </w:rPr>
      </w:pPr>
      <w:r w:rsidRPr="00CB4024">
        <w:rPr>
          <w:rFonts w:eastAsia="Calibri"/>
          <w:lang w:eastAsia="en-US"/>
        </w:rPr>
        <w:t xml:space="preserve">Izvješćivanje prema Europskoj komisiji o provedbi Pravilnika obavlja </w:t>
      </w:r>
      <w:r w:rsidR="003E2039">
        <w:rPr>
          <w:rFonts w:eastAsia="Calibri"/>
          <w:lang w:eastAsia="en-US"/>
        </w:rPr>
        <w:t>HAOP</w:t>
      </w:r>
      <w:r w:rsidRPr="00CB4024">
        <w:rPr>
          <w:rFonts w:eastAsia="Calibri"/>
          <w:lang w:eastAsia="en-US"/>
        </w:rPr>
        <w:t xml:space="preserve"> sukladno odredbama </w:t>
      </w:r>
      <w:r w:rsidR="00DC151D">
        <w:rPr>
          <w:rFonts w:eastAsia="Calibri"/>
          <w:lang w:eastAsia="en-US"/>
        </w:rPr>
        <w:t>istog</w:t>
      </w:r>
      <w:r>
        <w:rPr>
          <w:rFonts w:eastAsia="Calibri"/>
          <w:lang w:eastAsia="en-US"/>
        </w:rPr>
        <w:t xml:space="preserve"> te Zakonu o provedbi </w:t>
      </w:r>
      <w:proofErr w:type="spellStart"/>
      <w:r w:rsidR="003E2039">
        <w:rPr>
          <w:rFonts w:eastAsia="Calibri"/>
          <w:lang w:eastAsia="en-US"/>
        </w:rPr>
        <w:t>POPs</w:t>
      </w:r>
      <w:proofErr w:type="spellEnd"/>
      <w:r w:rsidR="003E2039">
        <w:rPr>
          <w:rFonts w:eastAsia="Calibri"/>
          <w:lang w:eastAsia="en-US"/>
        </w:rPr>
        <w:t xml:space="preserve"> Uredbe</w:t>
      </w:r>
      <w:r w:rsidRPr="00842365">
        <w:rPr>
          <w:rFonts w:eastAsia="Calibri"/>
          <w:lang w:eastAsia="en-US"/>
        </w:rPr>
        <w:t>.</w:t>
      </w:r>
    </w:p>
    <w:p w14:paraId="60BE551D" w14:textId="4F5E3EF8" w:rsidR="00165336" w:rsidRDefault="00165336" w:rsidP="00667FB6">
      <w:pPr>
        <w:jc w:val="both"/>
        <w:rPr>
          <w:rFonts w:eastAsia="Calibri"/>
          <w:lang w:eastAsia="en-US"/>
        </w:rPr>
      </w:pPr>
    </w:p>
    <w:p w14:paraId="49C12A9A" w14:textId="3B2C3D1C" w:rsidR="00317EE7" w:rsidRPr="004C192E" w:rsidRDefault="00317EE7" w:rsidP="00D55E4A">
      <w:pPr>
        <w:spacing w:before="120"/>
        <w:jc w:val="both"/>
        <w:rPr>
          <w:i/>
        </w:rPr>
      </w:pPr>
      <w:r w:rsidRPr="004C192E">
        <w:rPr>
          <w:i/>
        </w:rPr>
        <w:t xml:space="preserve">Tablica </w:t>
      </w:r>
      <w:r w:rsidR="00C90C55" w:rsidRPr="004C192E">
        <w:rPr>
          <w:i/>
        </w:rPr>
        <w:t>2</w:t>
      </w:r>
      <w:r w:rsidRPr="004C192E">
        <w:rPr>
          <w:i/>
        </w:rPr>
        <w:t>.</w:t>
      </w:r>
      <w:r w:rsidR="00C26CFF" w:rsidRPr="004C192E">
        <w:rPr>
          <w:i/>
        </w:rPr>
        <w:t>2-1</w:t>
      </w:r>
      <w:r w:rsidR="00713479" w:rsidRPr="004C192E">
        <w:rPr>
          <w:i/>
        </w:rPr>
        <w:t>:</w:t>
      </w:r>
      <w:r w:rsidRPr="004C192E">
        <w:rPr>
          <w:i/>
        </w:rPr>
        <w:t xml:space="preserve"> Prikaz ključnih brojeva otpada koji sadrže PCB</w:t>
      </w:r>
    </w:p>
    <w:p w14:paraId="6F72A286" w14:textId="77777777" w:rsidR="00363268" w:rsidRPr="00C20842" w:rsidRDefault="00363268" w:rsidP="00667FB6">
      <w:pPr>
        <w:jc w:val="both"/>
        <w:rPr>
          <w:i/>
          <w:sz w:val="20"/>
          <w:szCs w:val="20"/>
        </w:rPr>
      </w:pPr>
    </w:p>
    <w:tbl>
      <w:tblPr>
        <w:tblW w:w="9062" w:type="dxa"/>
        <w:jc w:val="center"/>
        <w:tblLook w:val="04A0" w:firstRow="1" w:lastRow="0" w:firstColumn="1" w:lastColumn="0" w:noHBand="0" w:noVBand="1"/>
      </w:tblPr>
      <w:tblGrid>
        <w:gridCol w:w="1696"/>
        <w:gridCol w:w="7366"/>
      </w:tblGrid>
      <w:tr w:rsidR="00317EE7" w:rsidRPr="00604AB1" w14:paraId="5D8B14F0" w14:textId="77777777" w:rsidTr="00317EE7">
        <w:trPr>
          <w:jc w:val="center"/>
        </w:trPr>
        <w:tc>
          <w:tcPr>
            <w:tcW w:w="1696" w:type="dxa"/>
            <w:tcBorders>
              <w:top w:val="single" w:sz="8" w:space="0" w:color="999999"/>
              <w:left w:val="single" w:sz="8" w:space="0" w:color="999999"/>
              <w:bottom w:val="single" w:sz="8" w:space="0" w:color="999999"/>
              <w:right w:val="single" w:sz="8" w:space="0" w:color="999999"/>
            </w:tcBorders>
            <w:shd w:val="clear" w:color="auto" w:fill="D9D9D9"/>
            <w:vAlign w:val="center"/>
          </w:tcPr>
          <w:p w14:paraId="128C30FC" w14:textId="77777777" w:rsidR="00317EE7" w:rsidRPr="00604AB1" w:rsidRDefault="00317EE7" w:rsidP="00DC151D">
            <w:pPr>
              <w:jc w:val="center"/>
              <w:rPr>
                <w:b/>
                <w:bCs/>
                <w:color w:val="000000"/>
              </w:rPr>
            </w:pPr>
            <w:r w:rsidRPr="00604AB1">
              <w:rPr>
                <w:b/>
                <w:bCs/>
                <w:color w:val="000000"/>
              </w:rPr>
              <w:t>Ključni broj otpada</w:t>
            </w:r>
          </w:p>
        </w:tc>
        <w:tc>
          <w:tcPr>
            <w:tcW w:w="7366" w:type="dxa"/>
            <w:tcBorders>
              <w:top w:val="single" w:sz="8" w:space="0" w:color="999999"/>
              <w:left w:val="nil"/>
              <w:bottom w:val="single" w:sz="8" w:space="0" w:color="999999"/>
              <w:right w:val="single" w:sz="8" w:space="0" w:color="999999"/>
            </w:tcBorders>
            <w:shd w:val="clear" w:color="auto" w:fill="D9D9D9"/>
            <w:vAlign w:val="center"/>
          </w:tcPr>
          <w:p w14:paraId="274001A0" w14:textId="77777777" w:rsidR="00317EE7" w:rsidRPr="00604AB1" w:rsidRDefault="00317EE7" w:rsidP="00DC151D">
            <w:pPr>
              <w:jc w:val="center"/>
              <w:rPr>
                <w:b/>
                <w:bCs/>
                <w:color w:val="000000"/>
              </w:rPr>
            </w:pPr>
            <w:r w:rsidRPr="00604AB1">
              <w:rPr>
                <w:b/>
                <w:bCs/>
                <w:color w:val="000000"/>
              </w:rPr>
              <w:t>Naziv otpada</w:t>
            </w:r>
          </w:p>
        </w:tc>
      </w:tr>
      <w:tr w:rsidR="00317EE7" w:rsidRPr="00604AB1" w14:paraId="063DFC98"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3BAF35C5" w14:textId="77777777" w:rsidR="00317EE7" w:rsidRPr="00604AB1" w:rsidRDefault="00317EE7" w:rsidP="00317EE7">
            <w:pPr>
              <w:jc w:val="both"/>
              <w:rPr>
                <w:color w:val="000000"/>
              </w:rPr>
            </w:pPr>
            <w:r w:rsidRPr="00604AB1">
              <w:rPr>
                <w:color w:val="000000"/>
              </w:rPr>
              <w:t>13</w:t>
            </w:r>
          </w:p>
        </w:tc>
        <w:tc>
          <w:tcPr>
            <w:tcW w:w="7366" w:type="dxa"/>
            <w:tcBorders>
              <w:top w:val="nil"/>
              <w:left w:val="nil"/>
              <w:bottom w:val="single" w:sz="8" w:space="0" w:color="999999"/>
              <w:right w:val="single" w:sz="8" w:space="0" w:color="999999"/>
            </w:tcBorders>
            <w:shd w:val="clear" w:color="auto" w:fill="D9D9D9"/>
            <w:vAlign w:val="center"/>
          </w:tcPr>
          <w:p w14:paraId="4BAEA6B3" w14:textId="77777777" w:rsidR="00317EE7" w:rsidRPr="00604AB1" w:rsidRDefault="00317EE7" w:rsidP="00317EE7">
            <w:pPr>
              <w:jc w:val="both"/>
            </w:pPr>
            <w:r w:rsidRPr="00604AB1">
              <w:t>OTPADNA ULJA I OTPAD OD TEKUĆIH GORIVA (osim jestivih ulja i ulja iz poglavlja 05, 12 i 19)</w:t>
            </w:r>
          </w:p>
        </w:tc>
      </w:tr>
      <w:tr w:rsidR="00317EE7" w:rsidRPr="00604AB1" w14:paraId="5A35C699"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13100559" w14:textId="77777777" w:rsidR="00317EE7" w:rsidRPr="00604AB1" w:rsidRDefault="00317EE7" w:rsidP="00317EE7">
            <w:pPr>
              <w:jc w:val="both"/>
              <w:rPr>
                <w:color w:val="000000"/>
              </w:rPr>
            </w:pPr>
            <w:r w:rsidRPr="00604AB1">
              <w:rPr>
                <w:color w:val="000000"/>
              </w:rPr>
              <w:t>13 01</w:t>
            </w:r>
          </w:p>
        </w:tc>
        <w:tc>
          <w:tcPr>
            <w:tcW w:w="7366" w:type="dxa"/>
            <w:tcBorders>
              <w:top w:val="nil"/>
              <w:left w:val="nil"/>
              <w:bottom w:val="single" w:sz="8" w:space="0" w:color="999999"/>
              <w:right w:val="single" w:sz="8" w:space="0" w:color="999999"/>
            </w:tcBorders>
            <w:shd w:val="clear" w:color="auto" w:fill="D9D9D9"/>
            <w:vAlign w:val="center"/>
          </w:tcPr>
          <w:p w14:paraId="68A9EEA9" w14:textId="77777777" w:rsidR="00317EE7" w:rsidRPr="00604AB1" w:rsidRDefault="00317EE7" w:rsidP="00317EE7">
            <w:pPr>
              <w:jc w:val="both"/>
              <w:rPr>
                <w:color w:val="000000"/>
              </w:rPr>
            </w:pPr>
            <w:r w:rsidRPr="00604AB1">
              <w:t>otpadna hidraulična ulja</w:t>
            </w:r>
            <w:r w:rsidRPr="00604AB1">
              <w:rPr>
                <w:color w:val="000000"/>
              </w:rPr>
              <w:t xml:space="preserve"> </w:t>
            </w:r>
          </w:p>
        </w:tc>
      </w:tr>
      <w:tr w:rsidR="00317EE7" w:rsidRPr="00604AB1" w14:paraId="6FE82B7A"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auto"/>
            <w:vAlign w:val="center"/>
          </w:tcPr>
          <w:p w14:paraId="5C10C96D" w14:textId="77777777" w:rsidR="00317EE7" w:rsidRPr="00604AB1" w:rsidRDefault="00317EE7" w:rsidP="00317EE7">
            <w:pPr>
              <w:jc w:val="both"/>
              <w:rPr>
                <w:color w:val="000000"/>
              </w:rPr>
            </w:pPr>
            <w:r w:rsidRPr="00604AB1">
              <w:rPr>
                <w:color w:val="000000"/>
              </w:rPr>
              <w:t>13 01 01*</w:t>
            </w:r>
          </w:p>
        </w:tc>
        <w:tc>
          <w:tcPr>
            <w:tcW w:w="7366" w:type="dxa"/>
            <w:tcBorders>
              <w:top w:val="nil"/>
              <w:left w:val="nil"/>
              <w:bottom w:val="single" w:sz="8" w:space="0" w:color="999999"/>
              <w:right w:val="single" w:sz="8" w:space="0" w:color="999999"/>
            </w:tcBorders>
            <w:shd w:val="clear" w:color="auto" w:fill="auto"/>
            <w:vAlign w:val="center"/>
          </w:tcPr>
          <w:p w14:paraId="0B0C3F61" w14:textId="77777777" w:rsidR="00317EE7" w:rsidRPr="00604AB1" w:rsidRDefault="00317EE7" w:rsidP="00317EE7">
            <w:pPr>
              <w:jc w:val="both"/>
              <w:rPr>
                <w:color w:val="000000"/>
              </w:rPr>
            </w:pPr>
            <w:r w:rsidRPr="00604AB1">
              <w:t xml:space="preserve">hidraulična ulja koja sadrže </w:t>
            </w:r>
            <w:proofErr w:type="spellStart"/>
            <w:r w:rsidRPr="00604AB1">
              <w:t>poliklorirane</w:t>
            </w:r>
            <w:proofErr w:type="spellEnd"/>
            <w:r w:rsidRPr="00604AB1">
              <w:t xml:space="preserve"> </w:t>
            </w:r>
            <w:proofErr w:type="spellStart"/>
            <w:r w:rsidRPr="00604AB1">
              <w:t>bifenile</w:t>
            </w:r>
            <w:proofErr w:type="spellEnd"/>
            <w:r w:rsidRPr="00604AB1">
              <w:t xml:space="preserve"> (PCB)</w:t>
            </w:r>
          </w:p>
        </w:tc>
      </w:tr>
      <w:tr w:rsidR="00317EE7" w:rsidRPr="00604AB1" w14:paraId="1C21E1E2"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38D8CCD9" w14:textId="77777777" w:rsidR="00317EE7" w:rsidRPr="00604AB1" w:rsidRDefault="00317EE7" w:rsidP="00317EE7">
            <w:pPr>
              <w:jc w:val="both"/>
              <w:rPr>
                <w:color w:val="000000"/>
              </w:rPr>
            </w:pPr>
            <w:r w:rsidRPr="00604AB1">
              <w:t>13 03</w:t>
            </w:r>
          </w:p>
        </w:tc>
        <w:tc>
          <w:tcPr>
            <w:tcW w:w="7366" w:type="dxa"/>
            <w:tcBorders>
              <w:top w:val="nil"/>
              <w:left w:val="nil"/>
              <w:bottom w:val="single" w:sz="8" w:space="0" w:color="999999"/>
              <w:right w:val="single" w:sz="8" w:space="0" w:color="999999"/>
            </w:tcBorders>
            <w:shd w:val="clear" w:color="auto" w:fill="D9D9D9"/>
            <w:vAlign w:val="center"/>
          </w:tcPr>
          <w:p w14:paraId="70377F77" w14:textId="77777777" w:rsidR="00317EE7" w:rsidRPr="00604AB1" w:rsidRDefault="00317EE7" w:rsidP="00317EE7">
            <w:pPr>
              <w:jc w:val="both"/>
              <w:rPr>
                <w:color w:val="000000"/>
              </w:rPr>
            </w:pPr>
            <w:r w:rsidRPr="00604AB1">
              <w:t>otpadna izolacijska ulja i ulja za prijenos topline</w:t>
            </w:r>
          </w:p>
        </w:tc>
      </w:tr>
      <w:tr w:rsidR="00317EE7" w:rsidRPr="00604AB1" w14:paraId="603D5484"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auto"/>
            <w:vAlign w:val="center"/>
          </w:tcPr>
          <w:p w14:paraId="5AE35312" w14:textId="77777777" w:rsidR="00317EE7" w:rsidRPr="00604AB1" w:rsidRDefault="00317EE7" w:rsidP="00317EE7">
            <w:pPr>
              <w:jc w:val="both"/>
              <w:rPr>
                <w:color w:val="000000"/>
              </w:rPr>
            </w:pPr>
            <w:r w:rsidRPr="00604AB1">
              <w:t>13 03 01*</w:t>
            </w:r>
          </w:p>
        </w:tc>
        <w:tc>
          <w:tcPr>
            <w:tcW w:w="7366" w:type="dxa"/>
            <w:tcBorders>
              <w:top w:val="nil"/>
              <w:left w:val="nil"/>
              <w:bottom w:val="single" w:sz="8" w:space="0" w:color="999999"/>
              <w:right w:val="single" w:sz="8" w:space="0" w:color="999999"/>
            </w:tcBorders>
            <w:shd w:val="clear" w:color="auto" w:fill="auto"/>
            <w:vAlign w:val="center"/>
          </w:tcPr>
          <w:p w14:paraId="5DF6CDAD" w14:textId="77777777" w:rsidR="00317EE7" w:rsidRPr="00604AB1" w:rsidRDefault="00317EE7" w:rsidP="00317EE7">
            <w:pPr>
              <w:jc w:val="both"/>
              <w:rPr>
                <w:color w:val="000000"/>
              </w:rPr>
            </w:pPr>
            <w:r w:rsidRPr="00604AB1">
              <w:t>izolacijska ulja ili ulja za prijenos topline koja sadrže PCB-e</w:t>
            </w:r>
          </w:p>
        </w:tc>
      </w:tr>
      <w:tr w:rsidR="00317EE7" w:rsidRPr="00604AB1" w14:paraId="64101268"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2BE030A9" w14:textId="77777777" w:rsidR="00317EE7" w:rsidRPr="00604AB1" w:rsidRDefault="00317EE7" w:rsidP="00317EE7">
            <w:pPr>
              <w:jc w:val="both"/>
              <w:rPr>
                <w:color w:val="000000"/>
              </w:rPr>
            </w:pPr>
            <w:r w:rsidRPr="00604AB1">
              <w:rPr>
                <w:color w:val="000000"/>
              </w:rPr>
              <w:t>16</w:t>
            </w:r>
          </w:p>
        </w:tc>
        <w:tc>
          <w:tcPr>
            <w:tcW w:w="7366" w:type="dxa"/>
            <w:tcBorders>
              <w:top w:val="nil"/>
              <w:left w:val="nil"/>
              <w:bottom w:val="single" w:sz="8" w:space="0" w:color="999999"/>
              <w:right w:val="single" w:sz="8" w:space="0" w:color="999999"/>
            </w:tcBorders>
            <w:shd w:val="clear" w:color="auto" w:fill="D9D9D9"/>
            <w:vAlign w:val="center"/>
          </w:tcPr>
          <w:p w14:paraId="52B77BAA" w14:textId="77777777" w:rsidR="00317EE7" w:rsidRPr="00604AB1" w:rsidRDefault="00317EE7" w:rsidP="00317EE7">
            <w:pPr>
              <w:jc w:val="both"/>
              <w:rPr>
                <w:color w:val="000000"/>
              </w:rPr>
            </w:pPr>
            <w:r w:rsidRPr="00604AB1">
              <w:rPr>
                <w:color w:val="000000"/>
              </w:rPr>
              <w:t>OTPAD KOJI NIJE DRUGDJE SPECIFICIRAN U KATALOGU</w:t>
            </w:r>
          </w:p>
        </w:tc>
      </w:tr>
      <w:tr w:rsidR="00317EE7" w:rsidRPr="00604AB1" w14:paraId="5485EB5F"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579EFDF7" w14:textId="77777777" w:rsidR="00317EE7" w:rsidRPr="00604AB1" w:rsidRDefault="00317EE7" w:rsidP="00317EE7">
            <w:pPr>
              <w:jc w:val="both"/>
              <w:rPr>
                <w:color w:val="000000"/>
              </w:rPr>
            </w:pPr>
            <w:r w:rsidRPr="00604AB1">
              <w:rPr>
                <w:color w:val="000000"/>
              </w:rPr>
              <w:t>16 01</w:t>
            </w:r>
          </w:p>
        </w:tc>
        <w:tc>
          <w:tcPr>
            <w:tcW w:w="7366" w:type="dxa"/>
            <w:tcBorders>
              <w:top w:val="nil"/>
              <w:left w:val="nil"/>
              <w:bottom w:val="single" w:sz="8" w:space="0" w:color="999999"/>
              <w:right w:val="single" w:sz="8" w:space="0" w:color="999999"/>
            </w:tcBorders>
            <w:shd w:val="clear" w:color="auto" w:fill="D9D9D9"/>
            <w:vAlign w:val="center"/>
          </w:tcPr>
          <w:p w14:paraId="0981D2F0" w14:textId="77777777" w:rsidR="00317EE7" w:rsidRPr="00604AB1" w:rsidRDefault="00317EE7" w:rsidP="00317EE7">
            <w:pPr>
              <w:jc w:val="both"/>
              <w:rPr>
                <w:color w:val="000000"/>
              </w:rPr>
            </w:pPr>
            <w:r w:rsidRPr="00604AB1">
              <w:rPr>
                <w:color w:val="000000"/>
              </w:rPr>
              <w:t>istrošena vozila iz različitih načina prijevoza (uključujući ne cestovnu mehanizaciju) i otpad od rastavljanja istrošenih vozila i od održavanja vozila (osim 13, 14, 16 06 i 16 08)</w:t>
            </w:r>
          </w:p>
        </w:tc>
      </w:tr>
      <w:tr w:rsidR="00317EE7" w:rsidRPr="00604AB1" w14:paraId="2B16F9C7"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auto"/>
            <w:vAlign w:val="center"/>
          </w:tcPr>
          <w:p w14:paraId="30A37F78" w14:textId="77777777" w:rsidR="00317EE7" w:rsidRPr="00604AB1" w:rsidRDefault="00317EE7" w:rsidP="00317EE7">
            <w:pPr>
              <w:jc w:val="both"/>
              <w:rPr>
                <w:color w:val="000000"/>
              </w:rPr>
            </w:pPr>
            <w:r w:rsidRPr="00604AB1">
              <w:rPr>
                <w:color w:val="000000"/>
              </w:rPr>
              <w:t>16 01 09*</w:t>
            </w:r>
          </w:p>
        </w:tc>
        <w:tc>
          <w:tcPr>
            <w:tcW w:w="7366" w:type="dxa"/>
            <w:tcBorders>
              <w:top w:val="nil"/>
              <w:left w:val="nil"/>
              <w:bottom w:val="single" w:sz="8" w:space="0" w:color="999999"/>
              <w:right w:val="single" w:sz="8" w:space="0" w:color="999999"/>
            </w:tcBorders>
            <w:shd w:val="clear" w:color="auto" w:fill="auto"/>
            <w:vAlign w:val="center"/>
          </w:tcPr>
          <w:p w14:paraId="0B5DDDE9" w14:textId="77777777" w:rsidR="00317EE7" w:rsidRPr="00604AB1" w:rsidRDefault="00317EE7" w:rsidP="00317EE7">
            <w:pPr>
              <w:jc w:val="both"/>
              <w:rPr>
                <w:color w:val="000000"/>
              </w:rPr>
            </w:pPr>
            <w:r w:rsidRPr="00604AB1">
              <w:rPr>
                <w:color w:val="000000"/>
              </w:rPr>
              <w:t>komponente koje sadrže PCB-e</w:t>
            </w:r>
          </w:p>
        </w:tc>
      </w:tr>
      <w:tr w:rsidR="00317EE7" w:rsidRPr="00604AB1" w14:paraId="39F6F9B2"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2B7921BC" w14:textId="77777777" w:rsidR="00317EE7" w:rsidRPr="00604AB1" w:rsidRDefault="00317EE7" w:rsidP="00317EE7">
            <w:pPr>
              <w:jc w:val="both"/>
              <w:rPr>
                <w:color w:val="000000"/>
              </w:rPr>
            </w:pPr>
            <w:r w:rsidRPr="00604AB1">
              <w:rPr>
                <w:color w:val="000000"/>
              </w:rPr>
              <w:t>16 02</w:t>
            </w:r>
          </w:p>
        </w:tc>
        <w:tc>
          <w:tcPr>
            <w:tcW w:w="7366" w:type="dxa"/>
            <w:tcBorders>
              <w:top w:val="nil"/>
              <w:left w:val="nil"/>
              <w:bottom w:val="single" w:sz="8" w:space="0" w:color="999999"/>
              <w:right w:val="single" w:sz="8" w:space="0" w:color="999999"/>
            </w:tcBorders>
            <w:shd w:val="clear" w:color="auto" w:fill="D9D9D9"/>
            <w:vAlign w:val="center"/>
          </w:tcPr>
          <w:p w14:paraId="610FE5FD" w14:textId="77777777" w:rsidR="00317EE7" w:rsidRPr="00604AB1" w:rsidRDefault="00317EE7" w:rsidP="00317EE7">
            <w:pPr>
              <w:jc w:val="both"/>
              <w:rPr>
                <w:color w:val="000000"/>
              </w:rPr>
            </w:pPr>
            <w:r w:rsidRPr="00604AB1">
              <w:rPr>
                <w:color w:val="000000"/>
              </w:rPr>
              <w:t>otpad iz električne i elektroničke opreme</w:t>
            </w:r>
          </w:p>
        </w:tc>
      </w:tr>
      <w:tr w:rsidR="00317EE7" w:rsidRPr="00604AB1" w14:paraId="7B22B0BB"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auto"/>
            <w:vAlign w:val="center"/>
          </w:tcPr>
          <w:p w14:paraId="52D5F2E3" w14:textId="77777777" w:rsidR="00317EE7" w:rsidRPr="00604AB1" w:rsidRDefault="00317EE7" w:rsidP="00317EE7">
            <w:pPr>
              <w:jc w:val="both"/>
              <w:rPr>
                <w:color w:val="000000"/>
              </w:rPr>
            </w:pPr>
            <w:r w:rsidRPr="00604AB1">
              <w:rPr>
                <w:color w:val="000000"/>
              </w:rPr>
              <w:t>16 02 09*</w:t>
            </w:r>
          </w:p>
        </w:tc>
        <w:tc>
          <w:tcPr>
            <w:tcW w:w="7366" w:type="dxa"/>
            <w:tcBorders>
              <w:top w:val="nil"/>
              <w:left w:val="nil"/>
              <w:bottom w:val="single" w:sz="8" w:space="0" w:color="999999"/>
              <w:right w:val="single" w:sz="8" w:space="0" w:color="999999"/>
            </w:tcBorders>
            <w:shd w:val="clear" w:color="auto" w:fill="auto"/>
            <w:vAlign w:val="center"/>
          </w:tcPr>
          <w:p w14:paraId="74D3C468" w14:textId="77777777" w:rsidR="00317EE7" w:rsidRPr="00604AB1" w:rsidRDefault="00317EE7" w:rsidP="00317EE7">
            <w:pPr>
              <w:jc w:val="both"/>
              <w:rPr>
                <w:color w:val="000000"/>
              </w:rPr>
            </w:pPr>
            <w:r w:rsidRPr="00604AB1">
              <w:rPr>
                <w:color w:val="000000"/>
              </w:rPr>
              <w:t>transformatori i kondenzatori koji sadrže PCB-e</w:t>
            </w:r>
          </w:p>
        </w:tc>
      </w:tr>
      <w:tr w:rsidR="00317EE7" w:rsidRPr="00604AB1" w14:paraId="3B762CEB"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auto"/>
            <w:vAlign w:val="center"/>
          </w:tcPr>
          <w:p w14:paraId="7CE2E5F3" w14:textId="77777777" w:rsidR="00317EE7" w:rsidRPr="00604AB1" w:rsidRDefault="00317EE7" w:rsidP="00317EE7">
            <w:pPr>
              <w:jc w:val="both"/>
              <w:rPr>
                <w:color w:val="000000"/>
              </w:rPr>
            </w:pPr>
            <w:r w:rsidRPr="00604AB1">
              <w:rPr>
                <w:color w:val="000000"/>
              </w:rPr>
              <w:t>16 02 10*</w:t>
            </w:r>
          </w:p>
        </w:tc>
        <w:tc>
          <w:tcPr>
            <w:tcW w:w="7366" w:type="dxa"/>
            <w:tcBorders>
              <w:top w:val="nil"/>
              <w:left w:val="nil"/>
              <w:bottom w:val="single" w:sz="8" w:space="0" w:color="999999"/>
              <w:right w:val="single" w:sz="8" w:space="0" w:color="999999"/>
            </w:tcBorders>
            <w:shd w:val="clear" w:color="auto" w:fill="auto"/>
            <w:vAlign w:val="center"/>
          </w:tcPr>
          <w:p w14:paraId="279C8A66" w14:textId="77777777" w:rsidR="00317EE7" w:rsidRPr="00604AB1" w:rsidRDefault="00317EE7" w:rsidP="00317EE7">
            <w:pPr>
              <w:jc w:val="both"/>
              <w:rPr>
                <w:color w:val="000000"/>
              </w:rPr>
            </w:pPr>
            <w:r w:rsidRPr="00604AB1">
              <w:t>odbačena oprema koja sadrži PCB-e ili je onečišćena istima, a nije navedena pod 16 02 09</w:t>
            </w:r>
          </w:p>
        </w:tc>
      </w:tr>
      <w:tr w:rsidR="00317EE7" w:rsidRPr="00604AB1" w14:paraId="4AAA3B30"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3FA6003F" w14:textId="77777777" w:rsidR="00317EE7" w:rsidRPr="00604AB1" w:rsidRDefault="00317EE7" w:rsidP="00317EE7">
            <w:pPr>
              <w:jc w:val="both"/>
            </w:pPr>
            <w:r w:rsidRPr="00604AB1">
              <w:t>17</w:t>
            </w:r>
          </w:p>
        </w:tc>
        <w:tc>
          <w:tcPr>
            <w:tcW w:w="7366" w:type="dxa"/>
            <w:tcBorders>
              <w:top w:val="nil"/>
              <w:left w:val="nil"/>
              <w:bottom w:val="single" w:sz="8" w:space="0" w:color="999999"/>
              <w:right w:val="single" w:sz="8" w:space="0" w:color="999999"/>
            </w:tcBorders>
            <w:shd w:val="clear" w:color="auto" w:fill="D9D9D9"/>
            <w:vAlign w:val="center"/>
          </w:tcPr>
          <w:p w14:paraId="5E6458A9" w14:textId="77777777" w:rsidR="00317EE7" w:rsidRPr="00604AB1" w:rsidRDefault="00317EE7" w:rsidP="00317EE7">
            <w:pPr>
              <w:jc w:val="both"/>
            </w:pPr>
            <w:r w:rsidRPr="00604AB1">
              <w:t>GRAĐEVINSKI OTPAD I OTPAD OD RUŠENJA OBJEKATA (UKLJUČUJUĆI ISKOPANU ZEMLJU S ONEČIŠĆENIH LOKACIJA)</w:t>
            </w:r>
          </w:p>
        </w:tc>
      </w:tr>
      <w:tr w:rsidR="00317EE7" w:rsidRPr="00604AB1" w14:paraId="7F62A154"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D9D9D9"/>
            <w:vAlign w:val="center"/>
          </w:tcPr>
          <w:p w14:paraId="7FAD7A93" w14:textId="77777777" w:rsidR="00317EE7" w:rsidRPr="00604AB1" w:rsidRDefault="00317EE7" w:rsidP="00317EE7">
            <w:pPr>
              <w:jc w:val="both"/>
              <w:rPr>
                <w:color w:val="000000"/>
              </w:rPr>
            </w:pPr>
            <w:r w:rsidRPr="00604AB1">
              <w:rPr>
                <w:color w:val="000000"/>
              </w:rPr>
              <w:t>17 09</w:t>
            </w:r>
          </w:p>
        </w:tc>
        <w:tc>
          <w:tcPr>
            <w:tcW w:w="7366" w:type="dxa"/>
            <w:tcBorders>
              <w:top w:val="nil"/>
              <w:left w:val="nil"/>
              <w:bottom w:val="single" w:sz="8" w:space="0" w:color="999999"/>
              <w:right w:val="single" w:sz="8" w:space="0" w:color="999999"/>
            </w:tcBorders>
            <w:shd w:val="clear" w:color="auto" w:fill="D9D9D9"/>
            <w:vAlign w:val="center"/>
          </w:tcPr>
          <w:p w14:paraId="3D4446F3" w14:textId="77777777" w:rsidR="00317EE7" w:rsidRPr="00604AB1" w:rsidRDefault="00317EE7" w:rsidP="00317EE7">
            <w:pPr>
              <w:jc w:val="both"/>
              <w:rPr>
                <w:color w:val="000000"/>
              </w:rPr>
            </w:pPr>
            <w:r w:rsidRPr="00604AB1">
              <w:rPr>
                <w:color w:val="000000"/>
              </w:rPr>
              <w:t>ostali građevinski otpad i otpad od rušenja objekata</w:t>
            </w:r>
          </w:p>
        </w:tc>
      </w:tr>
      <w:tr w:rsidR="00317EE7" w:rsidRPr="00604AB1" w14:paraId="423BB882" w14:textId="77777777" w:rsidTr="00317EE7">
        <w:trPr>
          <w:jc w:val="center"/>
        </w:trPr>
        <w:tc>
          <w:tcPr>
            <w:tcW w:w="1696" w:type="dxa"/>
            <w:tcBorders>
              <w:top w:val="nil"/>
              <w:left w:val="single" w:sz="8" w:space="0" w:color="999999"/>
              <w:bottom w:val="single" w:sz="8" w:space="0" w:color="999999"/>
              <w:right w:val="single" w:sz="8" w:space="0" w:color="999999"/>
            </w:tcBorders>
            <w:shd w:val="clear" w:color="auto" w:fill="auto"/>
            <w:vAlign w:val="center"/>
          </w:tcPr>
          <w:p w14:paraId="05D4178B" w14:textId="77777777" w:rsidR="00317EE7" w:rsidRPr="00604AB1" w:rsidRDefault="00317EE7" w:rsidP="00317EE7">
            <w:pPr>
              <w:jc w:val="both"/>
              <w:rPr>
                <w:color w:val="000000"/>
              </w:rPr>
            </w:pPr>
            <w:r w:rsidRPr="00604AB1">
              <w:rPr>
                <w:color w:val="000000"/>
              </w:rPr>
              <w:t>17 09 02*</w:t>
            </w:r>
          </w:p>
        </w:tc>
        <w:tc>
          <w:tcPr>
            <w:tcW w:w="7366" w:type="dxa"/>
            <w:tcBorders>
              <w:top w:val="nil"/>
              <w:left w:val="nil"/>
              <w:bottom w:val="single" w:sz="8" w:space="0" w:color="999999"/>
              <w:right w:val="single" w:sz="8" w:space="0" w:color="999999"/>
            </w:tcBorders>
            <w:shd w:val="clear" w:color="auto" w:fill="auto"/>
            <w:vAlign w:val="center"/>
          </w:tcPr>
          <w:p w14:paraId="3497E512" w14:textId="77777777" w:rsidR="00317EE7" w:rsidRPr="00604AB1" w:rsidRDefault="00317EE7" w:rsidP="00317EE7">
            <w:pPr>
              <w:jc w:val="both"/>
              <w:rPr>
                <w:color w:val="000000"/>
              </w:rPr>
            </w:pPr>
            <w:r w:rsidRPr="00604AB1">
              <w:rPr>
                <w:color w:val="000000"/>
              </w:rPr>
              <w:t xml:space="preserve">građevinski otpad i otpad od rušenja koji sadrži </w:t>
            </w:r>
            <w:proofErr w:type="spellStart"/>
            <w:r w:rsidRPr="00604AB1">
              <w:rPr>
                <w:color w:val="000000"/>
              </w:rPr>
              <w:t>poliklorirane</w:t>
            </w:r>
            <w:proofErr w:type="spellEnd"/>
            <w:r w:rsidRPr="00604AB1">
              <w:rPr>
                <w:color w:val="000000"/>
              </w:rPr>
              <w:t xml:space="preserve"> </w:t>
            </w:r>
            <w:proofErr w:type="spellStart"/>
            <w:r w:rsidRPr="00604AB1">
              <w:rPr>
                <w:color w:val="000000"/>
              </w:rPr>
              <w:t>bifenile</w:t>
            </w:r>
            <w:proofErr w:type="spellEnd"/>
            <w:r w:rsidRPr="00604AB1">
              <w:rPr>
                <w:color w:val="000000"/>
              </w:rPr>
              <w:t xml:space="preserve"> (PCB) (npr. sredstva za brtvljenje koja sadrže PCB-e, podne obloge na bazi smola koje sadrže PCB-e, nepropusni prozorski elementi od </w:t>
            </w:r>
            <w:proofErr w:type="spellStart"/>
            <w:r w:rsidRPr="00604AB1">
              <w:rPr>
                <w:color w:val="000000"/>
              </w:rPr>
              <w:t>izostakla</w:t>
            </w:r>
            <w:proofErr w:type="spellEnd"/>
            <w:r w:rsidRPr="00604AB1">
              <w:rPr>
                <w:color w:val="000000"/>
              </w:rPr>
              <w:t xml:space="preserve"> koji sadrže PCB-e, kondenzatori koji sadrže PCB-e)</w:t>
            </w:r>
          </w:p>
        </w:tc>
      </w:tr>
    </w:tbl>
    <w:p w14:paraId="08222C52" w14:textId="77777777" w:rsidR="00317EE7" w:rsidRPr="00CB4024" w:rsidRDefault="00317EE7" w:rsidP="00317EE7">
      <w:pPr>
        <w:spacing w:after="120"/>
        <w:jc w:val="both"/>
        <w:rPr>
          <w:rFonts w:eastAsia="Calibri"/>
          <w:lang w:eastAsia="en-US"/>
        </w:rPr>
      </w:pPr>
    </w:p>
    <w:p w14:paraId="220AF825" w14:textId="5381F3A3" w:rsidR="00317EE7" w:rsidRPr="00D55E4A" w:rsidRDefault="00317EE7" w:rsidP="002664D6">
      <w:pPr>
        <w:pStyle w:val="Naslov3"/>
        <w:numPr>
          <w:ilvl w:val="2"/>
          <w:numId w:val="8"/>
        </w:numPr>
        <w:spacing w:after="120"/>
        <w:jc w:val="center"/>
        <w:rPr>
          <w:rFonts w:eastAsia="Calibri"/>
          <w:b w:val="0"/>
          <w:i/>
          <w:lang w:eastAsia="en-US"/>
        </w:rPr>
      </w:pPr>
      <w:bookmarkStart w:id="5" w:name="_Toc8637299"/>
      <w:r w:rsidRPr="00D55E4A">
        <w:rPr>
          <w:rFonts w:eastAsia="Calibri"/>
          <w:b w:val="0"/>
          <w:i/>
          <w:lang w:eastAsia="en-US"/>
        </w:rPr>
        <w:t>Pregled podataka o izvršenju obveza</w:t>
      </w:r>
      <w:bookmarkEnd w:id="5"/>
    </w:p>
    <w:p w14:paraId="021542E9" w14:textId="4D91BA8D" w:rsidR="00317EE7" w:rsidRDefault="00317EE7" w:rsidP="00317EE7">
      <w:pPr>
        <w:spacing w:after="120"/>
        <w:jc w:val="both"/>
        <w:rPr>
          <w:rFonts w:eastAsia="Calibri"/>
          <w:lang w:eastAsia="en-US"/>
        </w:rPr>
      </w:pPr>
      <w:r>
        <w:rPr>
          <w:rFonts w:eastAsia="Calibri"/>
          <w:lang w:eastAsia="en-US"/>
        </w:rPr>
        <w:t>Polazna osnova pri izradi Pregleda podataka o izvršenju obveza</w:t>
      </w:r>
      <w:r w:rsidR="00625F06">
        <w:rPr>
          <w:rFonts w:eastAsia="Calibri"/>
          <w:lang w:eastAsia="en-US"/>
        </w:rPr>
        <w:t xml:space="preserve"> </w:t>
      </w:r>
      <w:r>
        <w:rPr>
          <w:rFonts w:eastAsia="Calibri"/>
          <w:lang w:eastAsia="en-US"/>
        </w:rPr>
        <w:t>bili</w:t>
      </w:r>
      <w:r w:rsidR="00DA307C">
        <w:rPr>
          <w:rFonts w:eastAsia="Calibri"/>
          <w:lang w:eastAsia="en-US"/>
        </w:rPr>
        <w:t xml:space="preserve"> su</w:t>
      </w:r>
      <w:r>
        <w:rPr>
          <w:rFonts w:eastAsia="Calibri"/>
          <w:lang w:eastAsia="en-US"/>
        </w:rPr>
        <w:t xml:space="preserve"> podaci prikupljeni tijekom izrade inventara (Inventarizacije) opreme koja sadrži PCB i PCT provedene 2009. godine.</w:t>
      </w:r>
    </w:p>
    <w:p w14:paraId="23CA5559" w14:textId="5C0AE5CA" w:rsidR="008E75B2" w:rsidRDefault="00625F06" w:rsidP="00317EE7">
      <w:pPr>
        <w:spacing w:after="120"/>
        <w:jc w:val="both"/>
        <w:rPr>
          <w:rFonts w:eastAsia="Calibri"/>
          <w:bCs/>
          <w:lang w:eastAsia="en-US"/>
        </w:rPr>
      </w:pPr>
      <w:r>
        <w:rPr>
          <w:rFonts w:eastAsia="Calibri"/>
          <w:lang w:eastAsia="en-US"/>
        </w:rPr>
        <w:t xml:space="preserve">Zadnje raspoložive podatke </w:t>
      </w:r>
      <w:r w:rsidR="00A92020" w:rsidRPr="00C24732">
        <w:rPr>
          <w:rFonts w:eastAsia="Calibri"/>
          <w:lang w:eastAsia="en-US"/>
        </w:rPr>
        <w:t>HAOP</w:t>
      </w:r>
      <w:r w:rsidR="00317EE7">
        <w:rPr>
          <w:rFonts w:eastAsia="Calibri"/>
          <w:lang w:eastAsia="en-US"/>
        </w:rPr>
        <w:t xml:space="preserve"> je izradi</w:t>
      </w:r>
      <w:r w:rsidR="008B5D1E">
        <w:rPr>
          <w:rFonts w:eastAsia="Calibri"/>
          <w:lang w:eastAsia="en-US"/>
        </w:rPr>
        <w:t>o</w:t>
      </w:r>
      <w:r w:rsidR="00317EE7">
        <w:rPr>
          <w:rFonts w:eastAsia="Calibri"/>
          <w:lang w:eastAsia="en-US"/>
        </w:rPr>
        <w:t xml:space="preserve"> kori</w:t>
      </w:r>
      <w:r w:rsidR="00317EE7" w:rsidRPr="00204D2D">
        <w:rPr>
          <w:rFonts w:eastAsia="Calibri"/>
          <w:bCs/>
          <w:lang w:eastAsia="en-US"/>
        </w:rPr>
        <w:t>štenjem više izvora podatak</w:t>
      </w:r>
      <w:r w:rsidR="00317EE7">
        <w:rPr>
          <w:rFonts w:eastAsia="Calibri"/>
          <w:bCs/>
          <w:lang w:eastAsia="en-US"/>
        </w:rPr>
        <w:t>a</w:t>
      </w:r>
      <w:r w:rsidR="0008284C">
        <w:rPr>
          <w:rFonts w:eastAsia="Calibri"/>
          <w:bCs/>
          <w:lang w:eastAsia="en-US"/>
        </w:rPr>
        <w:t>:</w:t>
      </w:r>
      <w:r w:rsidR="00A7177C">
        <w:rPr>
          <w:rFonts w:eastAsia="Calibri"/>
          <w:bCs/>
          <w:lang w:eastAsia="en-US"/>
        </w:rPr>
        <w:t xml:space="preserve"> </w:t>
      </w:r>
      <w:r w:rsidR="00DC151D">
        <w:rPr>
          <w:rFonts w:eastAsia="Calibri"/>
          <w:bCs/>
          <w:lang w:eastAsia="en-US"/>
        </w:rPr>
        <w:t>–</w:t>
      </w:r>
      <w:r w:rsidR="00317EE7">
        <w:rPr>
          <w:rFonts w:eastAsia="Calibri"/>
          <w:bCs/>
          <w:lang w:eastAsia="en-US"/>
        </w:rPr>
        <w:t xml:space="preserve"> </w:t>
      </w:r>
      <w:r w:rsidR="0043390C">
        <w:rPr>
          <w:rFonts w:eastAsia="Calibri"/>
          <w:bCs/>
          <w:lang w:eastAsia="en-US"/>
        </w:rPr>
        <w:t>baza ROO</w:t>
      </w:r>
      <w:r w:rsidR="00DA307C">
        <w:rPr>
          <w:rFonts w:eastAsia="Calibri"/>
          <w:bCs/>
          <w:lang w:eastAsia="en-US"/>
        </w:rPr>
        <w:t>;</w:t>
      </w:r>
      <w:r w:rsidR="00317EE7" w:rsidRPr="00204D2D">
        <w:rPr>
          <w:rFonts w:eastAsia="Calibri"/>
          <w:bCs/>
          <w:lang w:eastAsia="en-US"/>
        </w:rPr>
        <w:t xml:space="preserve"> Godišnje izvješće o dekontaminiranom/zbrinutom PCB-u </w:t>
      </w:r>
      <w:r w:rsidR="00E66491">
        <w:rPr>
          <w:rFonts w:eastAsia="Calibri"/>
          <w:bCs/>
          <w:lang w:eastAsia="en-US"/>
        </w:rPr>
        <w:t>(2015.</w:t>
      </w:r>
      <w:r w:rsidR="00DC151D">
        <w:rPr>
          <w:rFonts w:eastAsia="Calibri"/>
          <w:bCs/>
          <w:lang w:eastAsia="en-US"/>
        </w:rPr>
        <w:t xml:space="preserve"> – </w:t>
      </w:r>
      <w:r w:rsidR="00E66491">
        <w:rPr>
          <w:rFonts w:eastAsia="Calibri"/>
          <w:bCs/>
          <w:lang w:eastAsia="en-US"/>
        </w:rPr>
        <w:t>2017.)</w:t>
      </w:r>
      <w:r w:rsidR="00DA307C">
        <w:rPr>
          <w:rFonts w:eastAsia="Calibri"/>
          <w:bCs/>
          <w:lang w:eastAsia="en-US"/>
        </w:rPr>
        <w:t>;</w:t>
      </w:r>
      <w:r w:rsidR="00317EE7" w:rsidRPr="00204D2D">
        <w:rPr>
          <w:rFonts w:eastAsia="Calibri"/>
          <w:bCs/>
          <w:lang w:eastAsia="en-US"/>
        </w:rPr>
        <w:t xml:space="preserve"> </w:t>
      </w:r>
      <w:r w:rsidR="00DA307C">
        <w:rPr>
          <w:rFonts w:eastAsia="Calibri"/>
          <w:bCs/>
          <w:lang w:eastAsia="en-US"/>
        </w:rPr>
        <w:t>I</w:t>
      </w:r>
      <w:r w:rsidR="00317EE7" w:rsidRPr="00204D2D">
        <w:rPr>
          <w:rFonts w:eastAsia="Calibri"/>
          <w:bCs/>
          <w:lang w:eastAsia="en-US"/>
        </w:rPr>
        <w:t>zvješć</w:t>
      </w:r>
      <w:r w:rsidR="00DA307C">
        <w:rPr>
          <w:rFonts w:eastAsia="Calibri"/>
          <w:bCs/>
          <w:lang w:eastAsia="en-US"/>
        </w:rPr>
        <w:t>e</w:t>
      </w:r>
      <w:r w:rsidR="00317EE7" w:rsidRPr="00204D2D">
        <w:rPr>
          <w:rFonts w:eastAsia="Calibri"/>
          <w:bCs/>
          <w:lang w:eastAsia="en-US"/>
        </w:rPr>
        <w:t xml:space="preserve"> o prekograničnom </w:t>
      </w:r>
      <w:r w:rsidR="00317EE7" w:rsidRPr="00204D2D">
        <w:rPr>
          <w:rFonts w:eastAsia="Calibri"/>
          <w:bCs/>
          <w:lang w:eastAsia="en-US"/>
        </w:rPr>
        <w:lastRenderedPageBreak/>
        <w:t>prometu otpada (20</w:t>
      </w:r>
      <w:r w:rsidR="00E66491">
        <w:rPr>
          <w:rFonts w:eastAsia="Calibri"/>
          <w:bCs/>
          <w:lang w:eastAsia="en-US"/>
        </w:rPr>
        <w:t>15</w:t>
      </w:r>
      <w:r w:rsidR="00317EE7" w:rsidRPr="00204D2D">
        <w:rPr>
          <w:rFonts w:eastAsia="Calibri"/>
          <w:bCs/>
          <w:lang w:eastAsia="en-US"/>
        </w:rPr>
        <w:t>.-201</w:t>
      </w:r>
      <w:r w:rsidR="00E66491">
        <w:rPr>
          <w:rFonts w:eastAsia="Calibri"/>
          <w:bCs/>
          <w:lang w:eastAsia="en-US"/>
        </w:rPr>
        <w:t>7</w:t>
      </w:r>
      <w:r w:rsidR="00317EE7" w:rsidRPr="00204D2D">
        <w:rPr>
          <w:rFonts w:eastAsia="Calibri"/>
          <w:bCs/>
          <w:lang w:eastAsia="en-US"/>
        </w:rPr>
        <w:t>.)</w:t>
      </w:r>
      <w:r w:rsidR="00DA307C">
        <w:rPr>
          <w:rFonts w:eastAsia="Calibri"/>
          <w:bCs/>
          <w:lang w:eastAsia="en-US"/>
        </w:rPr>
        <w:t>;</w:t>
      </w:r>
      <w:r>
        <w:rPr>
          <w:rFonts w:eastAsia="Calibri"/>
          <w:bCs/>
          <w:lang w:eastAsia="en-US"/>
        </w:rPr>
        <w:t xml:space="preserve"> </w:t>
      </w:r>
      <w:r w:rsidR="00DC151D">
        <w:rPr>
          <w:rFonts w:eastAsia="Calibri"/>
          <w:bCs/>
          <w:lang w:eastAsia="en-US"/>
        </w:rPr>
        <w:t>podaci koji su prikupljeni/</w:t>
      </w:r>
      <w:r w:rsidR="00A7177C" w:rsidRPr="00A7177C">
        <w:rPr>
          <w:rFonts w:eastAsia="Calibri"/>
          <w:bCs/>
          <w:lang w:eastAsia="en-US"/>
        </w:rPr>
        <w:t>dostavljeni od evidentiranih posjednika PCB opreme</w:t>
      </w:r>
      <w:r w:rsidR="00A7177C">
        <w:rPr>
          <w:rFonts w:eastAsia="Calibri"/>
          <w:bCs/>
          <w:lang w:eastAsia="en-US"/>
        </w:rPr>
        <w:t xml:space="preserve"> </w:t>
      </w:r>
      <w:r w:rsidR="00DC151D">
        <w:rPr>
          <w:rFonts w:eastAsia="Calibri"/>
          <w:bCs/>
          <w:lang w:eastAsia="en-US"/>
        </w:rPr>
        <w:t>–</w:t>
      </w:r>
      <w:r w:rsidR="00A7177C">
        <w:rPr>
          <w:rFonts w:eastAsia="Calibri"/>
          <w:bCs/>
          <w:lang w:eastAsia="en-US"/>
        </w:rPr>
        <w:t xml:space="preserve"> temeljem </w:t>
      </w:r>
      <w:r w:rsidR="00317EE7">
        <w:rPr>
          <w:rFonts w:eastAsia="Calibri"/>
          <w:bCs/>
          <w:lang w:eastAsia="en-US"/>
        </w:rPr>
        <w:t xml:space="preserve">kojih su ažurirani podaci </w:t>
      </w:r>
      <w:r w:rsidR="00317EE7" w:rsidRPr="00204D2D">
        <w:rPr>
          <w:rFonts w:eastAsia="Calibri"/>
          <w:bCs/>
          <w:lang w:eastAsia="en-US"/>
        </w:rPr>
        <w:t>o posjednicima, opremi koja sadrži PCB (kondenzatori i transformatori) i zbrinutoj količini otpada koji sadrži PCB (zbrinuta oprema koja sadrži PCB i</w:t>
      </w:r>
      <w:r w:rsidR="00D36397">
        <w:rPr>
          <w:rFonts w:eastAsia="Calibri"/>
          <w:bCs/>
          <w:lang w:eastAsia="en-US"/>
        </w:rPr>
        <w:t xml:space="preserve"> </w:t>
      </w:r>
      <w:r w:rsidR="00D36397" w:rsidRPr="00D36397">
        <w:rPr>
          <w:rFonts w:eastAsia="Calibri"/>
          <w:bCs/>
          <w:lang w:eastAsia="en-US"/>
        </w:rPr>
        <w:t>otp</w:t>
      </w:r>
      <w:r w:rsidR="00BC5A46">
        <w:rPr>
          <w:rFonts w:eastAsia="Calibri"/>
          <w:bCs/>
          <w:lang w:eastAsia="en-US"/>
        </w:rPr>
        <w:t>adni predmeti</w:t>
      </w:r>
      <w:r w:rsidR="00D36397" w:rsidRPr="00D36397">
        <w:rPr>
          <w:rFonts w:eastAsia="Calibri"/>
          <w:bCs/>
          <w:lang w:eastAsia="en-US"/>
        </w:rPr>
        <w:t>, materijal</w:t>
      </w:r>
      <w:r w:rsidR="00BC5A46">
        <w:rPr>
          <w:rFonts w:eastAsia="Calibri"/>
          <w:bCs/>
          <w:lang w:eastAsia="en-US"/>
        </w:rPr>
        <w:t>i</w:t>
      </w:r>
      <w:r w:rsidR="00D36397" w:rsidRPr="00D36397">
        <w:rPr>
          <w:rFonts w:eastAsia="Calibri"/>
          <w:bCs/>
          <w:lang w:eastAsia="en-US"/>
        </w:rPr>
        <w:t xml:space="preserve"> ili tekućin</w:t>
      </w:r>
      <w:r w:rsidR="00BC5A46">
        <w:rPr>
          <w:rFonts w:eastAsia="Calibri"/>
          <w:bCs/>
          <w:lang w:eastAsia="en-US"/>
        </w:rPr>
        <w:t>e</w:t>
      </w:r>
      <w:r w:rsidR="00D36397" w:rsidRPr="00D36397">
        <w:rPr>
          <w:rFonts w:eastAsia="Calibri"/>
          <w:bCs/>
          <w:lang w:eastAsia="en-US"/>
        </w:rPr>
        <w:t xml:space="preserve"> koje sadrže ili su onečišćene PCB-om</w:t>
      </w:r>
      <w:r w:rsidR="00317EE7" w:rsidRPr="00204D2D">
        <w:rPr>
          <w:rFonts w:eastAsia="Calibri"/>
          <w:bCs/>
          <w:lang w:eastAsia="en-US"/>
        </w:rPr>
        <w:t xml:space="preserve">). </w:t>
      </w:r>
    </w:p>
    <w:p w14:paraId="58800548" w14:textId="16C85A29" w:rsidR="00317EE7" w:rsidRPr="00D55E4A" w:rsidRDefault="00317EE7" w:rsidP="00317EE7">
      <w:pPr>
        <w:spacing w:after="120"/>
        <w:jc w:val="both"/>
        <w:rPr>
          <w:rFonts w:eastAsia="Calibri"/>
          <w:lang w:eastAsia="en-US"/>
        </w:rPr>
      </w:pPr>
      <w:r w:rsidRPr="00D55E4A">
        <w:rPr>
          <w:rFonts w:eastAsia="Calibri"/>
          <w:lang w:eastAsia="en-US"/>
        </w:rPr>
        <w:t>Izvršenje obveza od siječnja 2008. do prosinca 201</w:t>
      </w:r>
      <w:r w:rsidR="00E66491" w:rsidRPr="00D55E4A">
        <w:rPr>
          <w:rFonts w:eastAsia="Calibri"/>
          <w:lang w:eastAsia="en-US"/>
        </w:rPr>
        <w:t>7</w:t>
      </w:r>
      <w:r w:rsidRPr="00D55E4A">
        <w:rPr>
          <w:rFonts w:eastAsia="Calibri"/>
          <w:lang w:eastAsia="en-US"/>
        </w:rPr>
        <w:t>. godine:</w:t>
      </w:r>
    </w:p>
    <w:p w14:paraId="111D42F0" w14:textId="3D6CC6E4" w:rsidR="002A3FA4" w:rsidRPr="00713479" w:rsidRDefault="00317EE7" w:rsidP="00713479">
      <w:pPr>
        <w:numPr>
          <w:ilvl w:val="0"/>
          <w:numId w:val="2"/>
        </w:numPr>
        <w:spacing w:after="120"/>
        <w:contextualSpacing/>
        <w:jc w:val="both"/>
        <w:rPr>
          <w:rFonts w:eastAsia="Calibri"/>
          <w:lang w:eastAsia="en-US"/>
        </w:rPr>
      </w:pPr>
      <w:r>
        <w:rPr>
          <w:rFonts w:eastAsia="Calibri"/>
          <w:lang w:eastAsia="en-US"/>
        </w:rPr>
        <w:t xml:space="preserve">od </w:t>
      </w:r>
      <w:r w:rsidRPr="00CB4024">
        <w:rPr>
          <w:rFonts w:eastAsia="Calibri"/>
          <w:lang w:eastAsia="en-US"/>
        </w:rPr>
        <w:t>ukupn</w:t>
      </w:r>
      <w:r>
        <w:rPr>
          <w:rFonts w:eastAsia="Calibri"/>
          <w:lang w:eastAsia="en-US"/>
        </w:rPr>
        <w:t>e</w:t>
      </w:r>
      <w:r w:rsidRPr="00CB4024">
        <w:rPr>
          <w:rFonts w:eastAsia="Calibri"/>
          <w:lang w:eastAsia="en-US"/>
        </w:rPr>
        <w:t xml:space="preserve"> </w:t>
      </w:r>
      <w:r w:rsidR="000F1A2A">
        <w:rPr>
          <w:rFonts w:eastAsia="Calibri"/>
          <w:lang w:eastAsia="en-US"/>
        </w:rPr>
        <w:t>količine (</w:t>
      </w:r>
      <w:r w:rsidR="006E1A9C">
        <w:rPr>
          <w:rFonts w:eastAsia="Calibri"/>
          <w:lang w:eastAsia="en-US"/>
        </w:rPr>
        <w:t>716</w:t>
      </w:r>
      <w:r>
        <w:rPr>
          <w:rFonts w:eastAsia="Calibri"/>
          <w:lang w:eastAsia="en-US"/>
        </w:rPr>
        <w:t xml:space="preserve"> t)</w:t>
      </w:r>
      <w:r w:rsidRPr="00CB4024">
        <w:rPr>
          <w:rFonts w:eastAsia="Calibri"/>
          <w:lang w:eastAsia="en-US"/>
        </w:rPr>
        <w:t xml:space="preserve"> evidentirane opreme koja sadrži PCB</w:t>
      </w:r>
      <w:r>
        <w:rPr>
          <w:rFonts w:eastAsia="Calibri"/>
          <w:lang w:eastAsia="en-US"/>
        </w:rPr>
        <w:t xml:space="preserve">, </w:t>
      </w:r>
      <w:r w:rsidRPr="00CB4024">
        <w:rPr>
          <w:rFonts w:eastAsia="Calibri"/>
          <w:lang w:eastAsia="en-US"/>
        </w:rPr>
        <w:t>do prosinca 201</w:t>
      </w:r>
      <w:r w:rsidR="006E1A9C">
        <w:rPr>
          <w:rFonts w:eastAsia="Calibri"/>
          <w:lang w:eastAsia="en-US"/>
        </w:rPr>
        <w:t>5</w:t>
      </w:r>
      <w:r w:rsidRPr="00CB4024">
        <w:rPr>
          <w:rFonts w:eastAsia="Calibri"/>
          <w:lang w:eastAsia="en-US"/>
        </w:rPr>
        <w:t>.</w:t>
      </w:r>
      <w:r w:rsidR="00C72592">
        <w:rPr>
          <w:rFonts w:eastAsia="Calibri"/>
          <w:lang w:eastAsia="en-US"/>
        </w:rPr>
        <w:t xml:space="preserve"> godine</w:t>
      </w:r>
      <w:r w:rsidRPr="00CB4024">
        <w:rPr>
          <w:rFonts w:eastAsia="Calibri"/>
          <w:lang w:eastAsia="en-US"/>
        </w:rPr>
        <w:t xml:space="preserve"> zbrinuto </w:t>
      </w:r>
      <w:r>
        <w:rPr>
          <w:rFonts w:eastAsia="Calibri"/>
          <w:lang w:eastAsia="en-US"/>
        </w:rPr>
        <w:t xml:space="preserve">je </w:t>
      </w:r>
      <w:r w:rsidR="006E1A9C">
        <w:rPr>
          <w:rFonts w:eastAsia="Calibri"/>
          <w:lang w:eastAsia="en-US"/>
        </w:rPr>
        <w:t>459</w:t>
      </w:r>
      <w:r w:rsidRPr="00CB4024">
        <w:rPr>
          <w:rFonts w:eastAsia="Calibri"/>
          <w:lang w:eastAsia="en-US"/>
        </w:rPr>
        <w:t xml:space="preserve"> t</w:t>
      </w:r>
      <w:r w:rsidR="006E1A9C">
        <w:rPr>
          <w:rFonts w:eastAsia="Calibri"/>
          <w:lang w:eastAsia="en-US"/>
        </w:rPr>
        <w:t xml:space="preserve"> </w:t>
      </w:r>
      <w:r w:rsidR="002A3FA4">
        <w:rPr>
          <w:rFonts w:eastAsia="Calibri"/>
          <w:lang w:eastAsia="en-US"/>
        </w:rPr>
        <w:t>(</w:t>
      </w:r>
      <w:r w:rsidR="006E1A9C">
        <w:rPr>
          <w:rFonts w:eastAsia="Calibri"/>
          <w:lang w:eastAsia="en-US"/>
        </w:rPr>
        <w:t>preostalo je za zbrinuti</w:t>
      </w:r>
      <w:r w:rsidR="002A3FA4">
        <w:rPr>
          <w:rFonts w:eastAsia="Calibri"/>
          <w:lang w:eastAsia="en-US"/>
        </w:rPr>
        <w:t xml:space="preserve"> 257 t</w:t>
      </w:r>
      <w:r w:rsidR="006E1A9C">
        <w:rPr>
          <w:rFonts w:eastAsia="Calibri"/>
          <w:lang w:eastAsia="en-US"/>
        </w:rPr>
        <w:t>), do prosinca 2016. godine zbrinuta je 471 t</w:t>
      </w:r>
      <w:r w:rsidR="002A3FA4">
        <w:rPr>
          <w:rFonts w:eastAsia="Calibri"/>
          <w:lang w:eastAsia="en-US"/>
        </w:rPr>
        <w:t xml:space="preserve"> (</w:t>
      </w:r>
      <w:r w:rsidR="006E1A9C">
        <w:rPr>
          <w:rFonts w:eastAsia="Calibri"/>
          <w:lang w:eastAsia="en-US"/>
        </w:rPr>
        <w:t>preostalo je za zbrinuti</w:t>
      </w:r>
      <w:r w:rsidR="002A3FA4">
        <w:rPr>
          <w:rFonts w:eastAsia="Calibri"/>
          <w:lang w:eastAsia="en-US"/>
        </w:rPr>
        <w:t xml:space="preserve"> 245 t</w:t>
      </w:r>
      <w:r w:rsidR="006E1A9C">
        <w:rPr>
          <w:rFonts w:eastAsia="Calibri"/>
          <w:lang w:eastAsia="en-US"/>
        </w:rPr>
        <w:t>), a do prosinca 2017. godine zbrinute su 533 t (</w:t>
      </w:r>
      <w:r w:rsidR="002A3FA4">
        <w:rPr>
          <w:rFonts w:eastAsia="Calibri"/>
          <w:lang w:eastAsia="en-US"/>
        </w:rPr>
        <w:t>preostale su</w:t>
      </w:r>
      <w:r w:rsidR="002A3FA4" w:rsidRPr="002A3FA4">
        <w:rPr>
          <w:rFonts w:eastAsia="Calibri"/>
          <w:lang w:eastAsia="en-US"/>
        </w:rPr>
        <w:t xml:space="preserve"> za zbrinuti 183 t u posjedu ukupno 36 posjednika</w:t>
      </w:r>
      <w:r w:rsidR="002A3FA4">
        <w:rPr>
          <w:rFonts w:eastAsia="Calibri"/>
          <w:lang w:eastAsia="en-US"/>
        </w:rPr>
        <w:t>)</w:t>
      </w:r>
      <w:r w:rsidR="002A3FA4" w:rsidRPr="002A3FA4">
        <w:rPr>
          <w:rFonts w:eastAsia="Calibri"/>
          <w:lang w:eastAsia="en-US"/>
        </w:rPr>
        <w:t xml:space="preserve">, </w:t>
      </w:r>
      <w:r w:rsidR="00713479" w:rsidRPr="00713479">
        <w:rPr>
          <w:rFonts w:eastAsia="Calibri"/>
          <w:lang w:eastAsia="en-US"/>
        </w:rPr>
        <w:t>Grafikon 2.2-1.</w:t>
      </w:r>
    </w:p>
    <w:p w14:paraId="791DAB73" w14:textId="77777777" w:rsidR="008E75B2" w:rsidRDefault="008E75B2" w:rsidP="00005739">
      <w:pPr>
        <w:spacing w:after="120"/>
        <w:ind w:left="720"/>
        <w:contextualSpacing/>
        <w:jc w:val="both"/>
        <w:rPr>
          <w:rFonts w:eastAsia="Calibri"/>
          <w:lang w:eastAsia="en-US"/>
        </w:rPr>
      </w:pPr>
    </w:p>
    <w:p w14:paraId="3495F272" w14:textId="544E3D78" w:rsidR="00667FB6" w:rsidRDefault="002B62B1" w:rsidP="008A6257">
      <w:pPr>
        <w:spacing w:after="120"/>
        <w:jc w:val="center"/>
        <w:rPr>
          <w:bCs/>
        </w:rPr>
      </w:pPr>
      <w:r>
        <w:rPr>
          <w:rFonts w:eastAsia="Calibri"/>
          <w:noProof/>
        </w:rPr>
        <w:drawing>
          <wp:inline distT="0" distB="0" distL="0" distR="0" wp14:anchorId="25703B8A" wp14:editId="0F26ACA6">
            <wp:extent cx="4438831" cy="27254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1090" cy="2726832"/>
                    </a:xfrm>
                    <a:prstGeom prst="rect">
                      <a:avLst/>
                    </a:prstGeom>
                    <a:noFill/>
                  </pic:spPr>
                </pic:pic>
              </a:graphicData>
            </a:graphic>
          </wp:inline>
        </w:drawing>
      </w:r>
    </w:p>
    <w:p w14:paraId="570B5EF6" w14:textId="0A7DA739" w:rsidR="002A3FA4" w:rsidRPr="004C192E" w:rsidRDefault="00C26CFF" w:rsidP="008C59AE">
      <w:pPr>
        <w:pStyle w:val="Slika"/>
        <w:spacing w:before="0" w:after="120"/>
        <w:jc w:val="left"/>
        <w:rPr>
          <w:rFonts w:ascii="Times New Roman" w:hAnsi="Times New Roman"/>
          <w:sz w:val="24"/>
        </w:rPr>
      </w:pPr>
      <w:r w:rsidRPr="004C192E">
        <w:rPr>
          <w:rFonts w:ascii="Times New Roman" w:hAnsi="Times New Roman"/>
          <w:sz w:val="24"/>
        </w:rPr>
        <w:t>Grafikon</w:t>
      </w:r>
      <w:r w:rsidR="00713479" w:rsidRPr="004C192E">
        <w:rPr>
          <w:rFonts w:ascii="Times New Roman" w:hAnsi="Times New Roman"/>
          <w:sz w:val="24"/>
        </w:rPr>
        <w:t xml:space="preserve"> 2.2-1</w:t>
      </w:r>
      <w:r w:rsidR="002A3FA4" w:rsidRPr="004C192E">
        <w:rPr>
          <w:rFonts w:ascii="Times New Roman" w:hAnsi="Times New Roman"/>
          <w:sz w:val="24"/>
        </w:rPr>
        <w:t>. Ukupna količina opreme koja sadrži PCB, evidentirana / zbrinuta / preostala za zbrinuti, siječanj 2008.</w:t>
      </w:r>
      <w:r w:rsidR="00713479" w:rsidRPr="004C192E">
        <w:rPr>
          <w:rFonts w:ascii="Times New Roman" w:hAnsi="Times New Roman"/>
          <w:sz w:val="24"/>
        </w:rPr>
        <w:t xml:space="preserve"> –</w:t>
      </w:r>
      <w:r w:rsidR="002A3FA4" w:rsidRPr="004C192E">
        <w:rPr>
          <w:rFonts w:ascii="Times New Roman" w:hAnsi="Times New Roman"/>
          <w:sz w:val="24"/>
        </w:rPr>
        <w:t xml:space="preserve"> prosinac 2017</w:t>
      </w:r>
      <w:r w:rsidR="00597688" w:rsidRPr="004C192E">
        <w:rPr>
          <w:rFonts w:ascii="Times New Roman" w:hAnsi="Times New Roman"/>
          <w:sz w:val="24"/>
        </w:rPr>
        <w:t>.</w:t>
      </w:r>
      <w:r w:rsidR="00C722A3" w:rsidRPr="004C192E">
        <w:rPr>
          <w:rFonts w:ascii="Times New Roman" w:hAnsi="Times New Roman"/>
          <w:sz w:val="24"/>
        </w:rPr>
        <w:t xml:space="preserve"> godine</w:t>
      </w:r>
      <w:r w:rsidR="00597688" w:rsidRPr="004C192E">
        <w:rPr>
          <w:rFonts w:ascii="Times New Roman" w:hAnsi="Times New Roman"/>
          <w:sz w:val="24"/>
        </w:rPr>
        <w:t xml:space="preserve"> (Izvor: MZOE</w:t>
      </w:r>
      <w:r w:rsidR="006277E9" w:rsidRPr="004C192E">
        <w:rPr>
          <w:rFonts w:ascii="Times New Roman" w:hAnsi="Times New Roman"/>
          <w:sz w:val="24"/>
        </w:rPr>
        <w:t>, 2019</w:t>
      </w:r>
      <w:r w:rsidR="002A3FA4" w:rsidRPr="004C192E">
        <w:rPr>
          <w:rFonts w:ascii="Times New Roman" w:hAnsi="Times New Roman"/>
          <w:sz w:val="24"/>
        </w:rPr>
        <w:t>.)</w:t>
      </w:r>
    </w:p>
    <w:p w14:paraId="29B4A0B8" w14:textId="4B13BFFC" w:rsidR="006E1A9C" w:rsidRDefault="002314AB" w:rsidP="008A6257">
      <w:pPr>
        <w:pStyle w:val="Odlomakpopisa"/>
        <w:numPr>
          <w:ilvl w:val="0"/>
          <w:numId w:val="21"/>
        </w:numPr>
        <w:spacing w:after="120"/>
        <w:jc w:val="both"/>
      </w:pPr>
      <w:r>
        <w:t>od 2008. godine d</w:t>
      </w:r>
      <w:r w:rsidR="002B62B1">
        <w:t xml:space="preserve">o </w:t>
      </w:r>
      <w:r w:rsidR="001A6C2E">
        <w:t>prosinca 2015</w:t>
      </w:r>
      <w:r>
        <w:t xml:space="preserve">. godine zbrinuto je ukupno 72,26 t, do prosinca 2016. godine 72,99 t, a do prosinca 2017. godine </w:t>
      </w:r>
      <w:r w:rsidRPr="002314AB">
        <w:t>73,57 t otpadnih predmeta, materijala ili tekućina koje sadrže ili su onečišćene PCB-om (PCB otpad pod KB 13 01 01*, KB 13 03 01*, KB 16 01 09*, KB 16 02 10* i KB 17 09 02*).</w:t>
      </w:r>
    </w:p>
    <w:p w14:paraId="092A1AD5" w14:textId="295A0758" w:rsidR="00317EE7" w:rsidRDefault="003F75D0" w:rsidP="00317EE7">
      <w:pPr>
        <w:spacing w:after="120"/>
        <w:jc w:val="both"/>
        <w:rPr>
          <w:bCs/>
        </w:rPr>
      </w:pPr>
      <w:r>
        <w:rPr>
          <w:bCs/>
        </w:rPr>
        <w:t xml:space="preserve">Od ukupno </w:t>
      </w:r>
      <w:r w:rsidR="002A3FA4">
        <w:rPr>
          <w:bCs/>
        </w:rPr>
        <w:t>183</w:t>
      </w:r>
      <w:r>
        <w:rPr>
          <w:bCs/>
        </w:rPr>
        <w:t xml:space="preserve"> ton</w:t>
      </w:r>
      <w:r w:rsidR="002A3FA4">
        <w:rPr>
          <w:bCs/>
        </w:rPr>
        <w:t>e</w:t>
      </w:r>
      <w:r>
        <w:rPr>
          <w:bCs/>
        </w:rPr>
        <w:t xml:space="preserve"> opreme </w:t>
      </w:r>
      <w:r w:rsidR="00317EE7" w:rsidRPr="00A24AA7">
        <w:rPr>
          <w:bCs/>
        </w:rPr>
        <w:t>koja sadrži PCB preostale za zbrinuti</w:t>
      </w:r>
      <w:r w:rsidR="00317EE7">
        <w:rPr>
          <w:bCs/>
        </w:rPr>
        <w:t>:</w:t>
      </w:r>
    </w:p>
    <w:p w14:paraId="44E4B6E0" w14:textId="07BFBEB1" w:rsidR="00091BCE" w:rsidRDefault="00091BCE" w:rsidP="005D4950">
      <w:pPr>
        <w:pStyle w:val="Odlomakpopisa"/>
        <w:numPr>
          <w:ilvl w:val="0"/>
          <w:numId w:val="20"/>
        </w:numPr>
        <w:spacing w:after="120"/>
        <w:jc w:val="both"/>
      </w:pPr>
      <w:r w:rsidRPr="00091BCE">
        <w:t>114 t</w:t>
      </w:r>
      <w:r>
        <w:t xml:space="preserve"> </w:t>
      </w:r>
      <w:r w:rsidRPr="00091BCE">
        <w:t xml:space="preserve">(62%) opreme u posjedu je 5 tvrtki od kojih svaka ima pojedinačni udio veći od 10 t (49 t </w:t>
      </w:r>
      <w:proofErr w:type="spellStart"/>
      <w:r w:rsidRPr="00091BCE">
        <w:t>Dalit</w:t>
      </w:r>
      <w:proofErr w:type="spellEnd"/>
      <w:r w:rsidRPr="00091BCE">
        <w:t xml:space="preserve"> CORP d.d.</w:t>
      </w:r>
      <w:r w:rsidR="005D4950">
        <w:t xml:space="preserve"> –</w:t>
      </w:r>
      <w:r w:rsidR="00713479">
        <w:t xml:space="preserve"> </w:t>
      </w:r>
      <w:r w:rsidRPr="00091BCE">
        <w:t>u stečaju; 23 t Industrog</w:t>
      </w:r>
      <w:r>
        <w:t>radnja-</w:t>
      </w:r>
      <w:proofErr w:type="spellStart"/>
      <w:r>
        <w:t>Izoind</w:t>
      </w:r>
      <w:proofErr w:type="spellEnd"/>
      <w:r>
        <w:t xml:space="preserve"> d.o.o. u stečaju </w:t>
      </w:r>
      <w:r w:rsidR="005D4950">
        <w:t>–</w:t>
      </w:r>
      <w:r>
        <w:t xml:space="preserve"> </w:t>
      </w:r>
      <w:r w:rsidRPr="00091BCE">
        <w:t>brisa</w:t>
      </w:r>
      <w:r>
        <w:t>n iz popisa poslovnih subjekata</w:t>
      </w:r>
      <w:r w:rsidRPr="00091BCE">
        <w:t>;17 t NCP-Remontno brodogradilište Šibenik d.o.o.</w:t>
      </w:r>
      <w:r w:rsidR="005D4950">
        <w:t xml:space="preserve"> – </w:t>
      </w:r>
      <w:r w:rsidRPr="00091BCE">
        <w:t xml:space="preserve">u stečaju; 14 t </w:t>
      </w:r>
      <w:proofErr w:type="spellStart"/>
      <w:r w:rsidRPr="00091BCE">
        <w:t>Adrial</w:t>
      </w:r>
      <w:proofErr w:type="spellEnd"/>
      <w:r w:rsidRPr="00091BCE">
        <w:t xml:space="preserve"> Plus d.o.o. i</w:t>
      </w:r>
      <w:r>
        <w:t xml:space="preserve"> </w:t>
      </w:r>
      <w:r w:rsidRPr="00091BCE">
        <w:t>11 t</w:t>
      </w:r>
      <w:r>
        <w:t xml:space="preserve"> </w:t>
      </w:r>
      <w:proofErr w:type="spellStart"/>
      <w:r>
        <w:t>Sojara</w:t>
      </w:r>
      <w:proofErr w:type="spellEnd"/>
      <w:r>
        <w:t xml:space="preserve"> d.o.o.</w:t>
      </w:r>
      <w:r w:rsidRPr="00091BCE">
        <w:t xml:space="preserve">), a </w:t>
      </w:r>
    </w:p>
    <w:p w14:paraId="29B36715" w14:textId="2FA0D6A6" w:rsidR="00091BCE" w:rsidRDefault="00091BCE" w:rsidP="00713479">
      <w:pPr>
        <w:pStyle w:val="Odlomakpopisa"/>
        <w:numPr>
          <w:ilvl w:val="0"/>
          <w:numId w:val="20"/>
        </w:numPr>
        <w:spacing w:after="120"/>
        <w:jc w:val="both"/>
      </w:pPr>
      <w:r w:rsidRPr="00091BCE">
        <w:t>69 t (38%) opreme u posjedu je 31 tvrtke</w:t>
      </w:r>
      <w:r>
        <w:t xml:space="preserve"> </w:t>
      </w:r>
      <w:r w:rsidRPr="00091BCE">
        <w:t xml:space="preserve">od kojih svaka ima pojedinačni udio manji od 10 t, </w:t>
      </w:r>
      <w:r w:rsidR="00713479" w:rsidRPr="00713479">
        <w:t>Grafikon 2.2-</w:t>
      </w:r>
      <w:r w:rsidR="00713479">
        <w:t>2</w:t>
      </w:r>
      <w:r w:rsidR="00713479" w:rsidRPr="00713479">
        <w:t>.</w:t>
      </w:r>
    </w:p>
    <w:p w14:paraId="4A1130F5" w14:textId="249AE8E8" w:rsidR="0003329F" w:rsidRDefault="0003329F" w:rsidP="008A6257">
      <w:pPr>
        <w:pStyle w:val="Odlomakpopisa"/>
        <w:spacing w:after="120"/>
        <w:jc w:val="both"/>
      </w:pPr>
    </w:p>
    <w:p w14:paraId="30B55413" w14:textId="426AC4FB" w:rsidR="0003329F" w:rsidRPr="009347F8" w:rsidRDefault="00091BCE" w:rsidP="008A6257">
      <w:pPr>
        <w:pStyle w:val="Odlomakpopisa"/>
        <w:spacing w:after="120"/>
        <w:jc w:val="center"/>
      </w:pPr>
      <w:r>
        <w:rPr>
          <w:noProof/>
        </w:rPr>
        <w:lastRenderedPageBreak/>
        <w:drawing>
          <wp:inline distT="0" distB="0" distL="0" distR="0" wp14:anchorId="71169CFD" wp14:editId="69C1FB82">
            <wp:extent cx="3519552" cy="2911876"/>
            <wp:effectExtent l="0" t="0" r="508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9637" cy="2936766"/>
                    </a:xfrm>
                    <a:prstGeom prst="rect">
                      <a:avLst/>
                    </a:prstGeom>
                    <a:noFill/>
                  </pic:spPr>
                </pic:pic>
              </a:graphicData>
            </a:graphic>
          </wp:inline>
        </w:drawing>
      </w:r>
    </w:p>
    <w:p w14:paraId="041D1F47" w14:textId="6033B2C1" w:rsidR="00317EE7" w:rsidRPr="004C192E" w:rsidRDefault="00713479" w:rsidP="00A846D1">
      <w:pPr>
        <w:spacing w:after="120"/>
        <w:rPr>
          <w:bCs/>
          <w:i/>
        </w:rPr>
      </w:pPr>
      <w:r w:rsidRPr="004C192E">
        <w:rPr>
          <w:bCs/>
          <w:i/>
        </w:rPr>
        <w:t xml:space="preserve">Grafikon 2.2-2. </w:t>
      </w:r>
      <w:r w:rsidR="00317EE7" w:rsidRPr="004C192E">
        <w:rPr>
          <w:bCs/>
          <w:i/>
        </w:rPr>
        <w:t xml:space="preserve">Prikaz udjela opreme koju je potrebno zbrinuti po </w:t>
      </w:r>
      <w:r w:rsidR="008F1CD6" w:rsidRPr="004C192E">
        <w:rPr>
          <w:bCs/>
          <w:i/>
        </w:rPr>
        <w:t>tvrtkama, koje su posjednici opreme koja sadrži PCB</w:t>
      </w:r>
      <w:r w:rsidR="000F2180" w:rsidRPr="004C192E">
        <w:rPr>
          <w:bCs/>
          <w:i/>
        </w:rPr>
        <w:t xml:space="preserve">, </w:t>
      </w:r>
      <w:r w:rsidR="008F1CD6" w:rsidRPr="004C192E">
        <w:rPr>
          <w:bCs/>
          <w:i/>
        </w:rPr>
        <w:t xml:space="preserve">status u </w:t>
      </w:r>
      <w:r w:rsidR="000F2180" w:rsidRPr="004C192E">
        <w:rPr>
          <w:bCs/>
          <w:i/>
        </w:rPr>
        <w:t>prosin</w:t>
      </w:r>
      <w:r w:rsidR="008F1CD6" w:rsidRPr="004C192E">
        <w:rPr>
          <w:bCs/>
          <w:i/>
        </w:rPr>
        <w:t>cu</w:t>
      </w:r>
      <w:r w:rsidR="000F2180" w:rsidRPr="004C192E">
        <w:rPr>
          <w:bCs/>
          <w:i/>
        </w:rPr>
        <w:t xml:space="preserve"> 201</w:t>
      </w:r>
      <w:r w:rsidR="001A6C2E" w:rsidRPr="004C192E">
        <w:rPr>
          <w:bCs/>
          <w:i/>
        </w:rPr>
        <w:t>7</w:t>
      </w:r>
      <w:r w:rsidR="000F2180" w:rsidRPr="004C192E">
        <w:rPr>
          <w:bCs/>
          <w:i/>
        </w:rPr>
        <w:t>.</w:t>
      </w:r>
      <w:r w:rsidR="00317EE7" w:rsidRPr="004C192E">
        <w:rPr>
          <w:bCs/>
          <w:i/>
        </w:rPr>
        <w:t xml:space="preserve"> (Izvor: </w:t>
      </w:r>
      <w:r w:rsidR="00597688" w:rsidRPr="004C192E">
        <w:rPr>
          <w:bCs/>
          <w:i/>
        </w:rPr>
        <w:t>MZOE</w:t>
      </w:r>
      <w:r w:rsidR="00317EE7" w:rsidRPr="004C192E">
        <w:rPr>
          <w:bCs/>
          <w:i/>
        </w:rPr>
        <w:t>, 201</w:t>
      </w:r>
      <w:r w:rsidR="006277E9" w:rsidRPr="004C192E">
        <w:rPr>
          <w:bCs/>
          <w:i/>
        </w:rPr>
        <w:t>9</w:t>
      </w:r>
      <w:r w:rsidR="00317EE7" w:rsidRPr="004C192E">
        <w:rPr>
          <w:bCs/>
          <w:i/>
        </w:rPr>
        <w:t>.)</w:t>
      </w:r>
    </w:p>
    <w:p w14:paraId="15810F2E" w14:textId="77777777" w:rsidR="00D55E4A" w:rsidRDefault="00D55E4A" w:rsidP="00317EE7">
      <w:pPr>
        <w:spacing w:after="120"/>
        <w:jc w:val="both"/>
      </w:pPr>
    </w:p>
    <w:p w14:paraId="46FC9D8F" w14:textId="3D12CE4C" w:rsidR="00317EE7" w:rsidRPr="00D55E4A" w:rsidRDefault="00317EE7" w:rsidP="00317EE7">
      <w:pPr>
        <w:spacing w:after="120"/>
        <w:jc w:val="both"/>
      </w:pPr>
      <w:r w:rsidRPr="00D55E4A">
        <w:t>Status podataka za 201</w:t>
      </w:r>
      <w:r w:rsidR="004B0D63" w:rsidRPr="00D55E4A">
        <w:t>5</w:t>
      </w:r>
      <w:r w:rsidRPr="00D55E4A">
        <w:t>.</w:t>
      </w:r>
      <w:r w:rsidR="004B0D63" w:rsidRPr="00D55E4A">
        <w:t>, 2016. i 2017.</w:t>
      </w:r>
      <w:r w:rsidRPr="00D55E4A">
        <w:t xml:space="preserve"> godinu:</w:t>
      </w:r>
    </w:p>
    <w:p w14:paraId="5861B7A2" w14:textId="1885BF56" w:rsidR="001A6C2E" w:rsidRPr="00713479" w:rsidRDefault="004B0D63" w:rsidP="005D4950">
      <w:pPr>
        <w:numPr>
          <w:ilvl w:val="0"/>
          <w:numId w:val="11"/>
        </w:numPr>
        <w:spacing w:after="120"/>
        <w:jc w:val="both"/>
        <w:rPr>
          <w:bCs/>
        </w:rPr>
      </w:pPr>
      <w:r>
        <w:t xml:space="preserve">U 2015. godini </w:t>
      </w:r>
      <w:r w:rsidR="00317EE7" w:rsidRPr="0066340C">
        <w:t xml:space="preserve">posjednici su predali na zbrinjavanje ukupno </w:t>
      </w:r>
      <w:r>
        <w:t>48,47</w:t>
      </w:r>
      <w:r w:rsidR="00317EE7" w:rsidRPr="009347F8">
        <w:t xml:space="preserve"> t</w:t>
      </w:r>
      <w:r w:rsidR="00317EE7" w:rsidRPr="0066340C">
        <w:t xml:space="preserve"> otpada koji sadrži PCB (</w:t>
      </w:r>
      <w:r>
        <w:t>47,73</w:t>
      </w:r>
      <w:r w:rsidR="00317EE7" w:rsidRPr="0066340C">
        <w:t xml:space="preserve"> t opreme koja sadrži PCB </w:t>
      </w:r>
      <w:r w:rsidR="00713479">
        <w:t>–</w:t>
      </w:r>
      <w:r w:rsidR="00317EE7" w:rsidRPr="0066340C">
        <w:t xml:space="preserve"> kondenzatora i transformatora, KB 16 02 09* i 0,</w:t>
      </w:r>
      <w:r>
        <w:t>74</w:t>
      </w:r>
      <w:r w:rsidR="00317EE7" w:rsidRPr="0066340C">
        <w:t xml:space="preserve"> t </w:t>
      </w:r>
      <w:r w:rsidRPr="004B0D63">
        <w:t>otpadnih predmeta, materijala ili tekućina koje sadrže ili su onečišćene PCB-om</w:t>
      </w:r>
      <w:r>
        <w:t xml:space="preserve">). </w:t>
      </w:r>
      <w:r w:rsidRPr="00713479">
        <w:rPr>
          <w:bCs/>
        </w:rPr>
        <w:t>Sukladno godišnjim izvješćima o dekontaminiranom/zbrinutom PCB-u (obveza prema članku 12. Pravilnika</w:t>
      </w:r>
      <w:r w:rsidR="00F00A54" w:rsidRPr="00713479">
        <w:rPr>
          <w:bCs/>
        </w:rPr>
        <w:t xml:space="preserve">) dostavljenima u </w:t>
      </w:r>
      <w:r w:rsidR="00DF3652">
        <w:rPr>
          <w:bCs/>
        </w:rPr>
        <w:t>HAOP</w:t>
      </w:r>
      <w:r w:rsidRPr="00713479">
        <w:rPr>
          <w:bCs/>
        </w:rPr>
        <w:t xml:space="preserve">, evidentirano je da su u </w:t>
      </w:r>
      <w:r w:rsidR="005D4950" w:rsidRPr="005D4950">
        <w:rPr>
          <w:bCs/>
        </w:rPr>
        <w:t>Republici Hrvatskoj</w:t>
      </w:r>
      <w:r w:rsidRPr="005D4950">
        <w:rPr>
          <w:bCs/>
        </w:rPr>
        <w:t xml:space="preserve"> </w:t>
      </w:r>
      <w:r w:rsidRPr="00713479">
        <w:rPr>
          <w:bCs/>
        </w:rPr>
        <w:t xml:space="preserve">u 2015. godini tri tvrtke u svrhu zbrinjavanja preuzele ukupno </w:t>
      </w:r>
      <w:r w:rsidR="001E30C7" w:rsidRPr="00713479">
        <w:rPr>
          <w:bCs/>
        </w:rPr>
        <w:t>48,57</w:t>
      </w:r>
      <w:r w:rsidRPr="00713479">
        <w:rPr>
          <w:bCs/>
        </w:rPr>
        <w:t xml:space="preserve"> t otpada koji sadrži PCB</w:t>
      </w:r>
      <w:r w:rsidR="001E30C7" w:rsidRPr="00713479">
        <w:rPr>
          <w:bCs/>
        </w:rPr>
        <w:t>.</w:t>
      </w:r>
      <w:r w:rsidR="001A6C2E" w:rsidRPr="00713479">
        <w:rPr>
          <w:bCs/>
        </w:rPr>
        <w:t xml:space="preserve"> Prema podacima iz Izvješća o prekograničnom prometu otpada u 2015. godini, nije bilo bilo izvoza otpada koji sadrži PCB.</w:t>
      </w:r>
    </w:p>
    <w:p w14:paraId="1CBCEC4C" w14:textId="3144810D" w:rsidR="001A6C2E" w:rsidRPr="005D4950" w:rsidRDefault="004B0D63" w:rsidP="005D4950">
      <w:pPr>
        <w:numPr>
          <w:ilvl w:val="0"/>
          <w:numId w:val="11"/>
        </w:numPr>
        <w:spacing w:after="120"/>
        <w:jc w:val="both"/>
        <w:rPr>
          <w:bCs/>
        </w:rPr>
      </w:pPr>
      <w:r w:rsidRPr="004B0D63">
        <w:t xml:space="preserve">U </w:t>
      </w:r>
      <w:r>
        <w:t>2016</w:t>
      </w:r>
      <w:r w:rsidRPr="004B0D63">
        <w:t xml:space="preserve">. godini posjednici su predali na zbrinjavanje ukupno </w:t>
      </w:r>
      <w:r>
        <w:t>12,24</w:t>
      </w:r>
      <w:r w:rsidRPr="004B0D63">
        <w:t xml:space="preserve"> t otpada koji sadrži PCB (</w:t>
      </w:r>
      <w:r>
        <w:t>11,51</w:t>
      </w:r>
      <w:r w:rsidRPr="004B0D63">
        <w:t xml:space="preserve"> t opreme koja sadrži PCB </w:t>
      </w:r>
      <w:r w:rsidR="005D4950">
        <w:t>–</w:t>
      </w:r>
      <w:r w:rsidRPr="004B0D63">
        <w:t xml:space="preserve"> kondenzatora i transformatora, KB 16 02 09* i 0,</w:t>
      </w:r>
      <w:r>
        <w:t>73</w:t>
      </w:r>
      <w:r w:rsidRPr="004B0D63">
        <w:t xml:space="preserve"> t otpadnih predmeta, materijala ili tekućina koje sadrže ili su onečišćene PCB-om)</w:t>
      </w:r>
      <w:r w:rsidR="001E30C7">
        <w:t xml:space="preserve">. </w:t>
      </w:r>
      <w:r w:rsidR="001E30C7" w:rsidRPr="005D4950">
        <w:rPr>
          <w:bCs/>
        </w:rPr>
        <w:t>Sukladno godišnjim izvješćima o dekontaminiranom/zbrinutom PCB-u (obveza prema članku 12. Pravilnika</w:t>
      </w:r>
      <w:r w:rsidR="00F00A54" w:rsidRPr="005D4950">
        <w:rPr>
          <w:bCs/>
        </w:rPr>
        <w:t xml:space="preserve">) dostavljenima </w:t>
      </w:r>
      <w:r w:rsidR="00F00A54">
        <w:t>u</w:t>
      </w:r>
      <w:r w:rsidR="00F00A54" w:rsidRPr="005D4950">
        <w:rPr>
          <w:bCs/>
        </w:rPr>
        <w:t xml:space="preserve"> </w:t>
      </w:r>
      <w:r w:rsidR="00DF3652">
        <w:rPr>
          <w:bCs/>
        </w:rPr>
        <w:t>HAOP</w:t>
      </w:r>
      <w:r w:rsidR="001E30C7" w:rsidRPr="005D4950">
        <w:rPr>
          <w:bCs/>
        </w:rPr>
        <w:t xml:space="preserve">, evidentirano je da su u </w:t>
      </w:r>
      <w:r w:rsidR="005D4950" w:rsidRPr="005D4950">
        <w:rPr>
          <w:bCs/>
        </w:rPr>
        <w:t>Republici Hrvatskoj</w:t>
      </w:r>
      <w:r w:rsidR="001E30C7" w:rsidRPr="005D4950">
        <w:rPr>
          <w:bCs/>
        </w:rPr>
        <w:t xml:space="preserve"> u 2016</w:t>
      </w:r>
      <w:r w:rsidR="001E30C7" w:rsidRPr="001A6C2E">
        <w:t>. godini tri tvrtke u svrhu zbrinjavanja preuzele ukupno 12,68 t otpada koji sadrži PCB.</w:t>
      </w:r>
      <w:r w:rsidR="001A6C2E" w:rsidRPr="001A6C2E">
        <w:t xml:space="preserve"> Prema podacima iz Izvješća o prekograničnom prometu otpada u 2016. godini, </w:t>
      </w:r>
      <w:r w:rsidR="001A6C2E" w:rsidRPr="005D4950">
        <w:rPr>
          <w:bCs/>
        </w:rPr>
        <w:t>tri tvrtke izvezle su ukupno 70,73 t otpada koji sadrži PCB.</w:t>
      </w:r>
    </w:p>
    <w:p w14:paraId="1FF678EE" w14:textId="556CA91A" w:rsidR="001E30C7" w:rsidRPr="005D4950" w:rsidRDefault="004B0D63" w:rsidP="005D4950">
      <w:pPr>
        <w:numPr>
          <w:ilvl w:val="0"/>
          <w:numId w:val="11"/>
        </w:numPr>
        <w:spacing w:after="120"/>
        <w:jc w:val="both"/>
        <w:rPr>
          <w:bCs/>
        </w:rPr>
      </w:pPr>
      <w:r w:rsidRPr="004B0D63">
        <w:t>U 201</w:t>
      </w:r>
      <w:r>
        <w:t>7</w:t>
      </w:r>
      <w:r w:rsidRPr="004B0D63">
        <w:t xml:space="preserve">. godini posjednici su predali na zbrinjavanje ukupno </w:t>
      </w:r>
      <w:r>
        <w:t>63,19</w:t>
      </w:r>
      <w:r w:rsidRPr="004B0D63">
        <w:t xml:space="preserve"> t otpada koji sadrži PCB (</w:t>
      </w:r>
      <w:r>
        <w:t>62,61</w:t>
      </w:r>
      <w:r w:rsidRPr="004B0D63">
        <w:t xml:space="preserve"> tonu opreme koja sadrži PCB </w:t>
      </w:r>
      <w:r w:rsidR="005D4950">
        <w:t>–</w:t>
      </w:r>
      <w:r w:rsidRPr="004B0D63">
        <w:t xml:space="preserve"> kondenzatora i transformatora, KB 16 02 09* i 0,</w:t>
      </w:r>
      <w:r>
        <w:t>58</w:t>
      </w:r>
      <w:r w:rsidRPr="004B0D63">
        <w:t xml:space="preserve"> tona otpadnih predmeta, materijala ili tekućina koje sadrže ili su onečišćene PCB-om)</w:t>
      </w:r>
      <w:r w:rsidR="001E30C7">
        <w:t xml:space="preserve">. </w:t>
      </w:r>
      <w:r w:rsidR="001E30C7" w:rsidRPr="005D4950">
        <w:rPr>
          <w:bCs/>
        </w:rPr>
        <w:t>Sukladno godišnjim izvješćima o dekontaminiranom/zbrinutom PCB-u (obveza prema članku 12. Pravilnika</w:t>
      </w:r>
      <w:r w:rsidR="00F00A54" w:rsidRPr="005D4950">
        <w:rPr>
          <w:bCs/>
        </w:rPr>
        <w:t xml:space="preserve">) dostavljenima u </w:t>
      </w:r>
      <w:r w:rsidR="00DF3652">
        <w:rPr>
          <w:bCs/>
        </w:rPr>
        <w:t>HAOP</w:t>
      </w:r>
      <w:r w:rsidR="001E30C7" w:rsidRPr="005D4950">
        <w:rPr>
          <w:bCs/>
        </w:rPr>
        <w:t xml:space="preserve">, evidentirano je da su u </w:t>
      </w:r>
      <w:r w:rsidR="005D4950" w:rsidRPr="005D4950">
        <w:rPr>
          <w:bCs/>
        </w:rPr>
        <w:t>Republici Hrvatskoj</w:t>
      </w:r>
      <w:r w:rsidR="001E30C7" w:rsidRPr="005D4950">
        <w:rPr>
          <w:bCs/>
        </w:rPr>
        <w:t xml:space="preserve"> u 2017. godini tri tvrtke</w:t>
      </w:r>
      <w:r w:rsidR="001A6C2E">
        <w:t xml:space="preserve"> </w:t>
      </w:r>
      <w:r w:rsidR="001E30C7" w:rsidRPr="005D4950">
        <w:rPr>
          <w:bCs/>
        </w:rPr>
        <w:t>u svrhu zbrinjavanja preuzele ukupno 63,11 t otpada koji sadrži PCB.</w:t>
      </w:r>
      <w:r w:rsidR="001A6C2E" w:rsidRPr="001A6C2E">
        <w:t xml:space="preserve"> </w:t>
      </w:r>
      <w:r w:rsidR="001A6C2E" w:rsidRPr="005D4950">
        <w:rPr>
          <w:bCs/>
        </w:rPr>
        <w:t>Prema podacima iz Izvješća o prekograničnom prometu otpada u 2017. godini, nije bilo bilo izvoza otpada koji sadrži PCB</w:t>
      </w:r>
      <w:r w:rsidR="00C24732" w:rsidRPr="005D4950">
        <w:rPr>
          <w:bCs/>
        </w:rPr>
        <w:t>.</w:t>
      </w:r>
    </w:p>
    <w:p w14:paraId="4D0E5690" w14:textId="68EA4830" w:rsidR="00CD5697" w:rsidRDefault="00317EE7" w:rsidP="00D55E4A">
      <w:pPr>
        <w:jc w:val="both"/>
      </w:pPr>
      <w:r w:rsidRPr="007922BF">
        <w:t xml:space="preserve">Uređaji koji sadrže PCB i tekućine s PCB-om spaljuju se isključivo u spalionicama opasnog otpada. Budući da u Republici Hrvatskoj nema odgovarajućih spalionica za ovu vrstu otpada, on se mora izvoziti na zbrinjavanje izvan države. </w:t>
      </w:r>
      <w:r w:rsidR="00196D58" w:rsidRPr="00196D58">
        <w:t>Sakupljeni otpad tvrtke izvoze po</w:t>
      </w:r>
      <w:r w:rsidR="00196D58">
        <w:t xml:space="preserve"> dobivanju rješenja od MZOE</w:t>
      </w:r>
      <w:r w:rsidR="00196D58" w:rsidRPr="00196D58">
        <w:t xml:space="preserve">, u skladu s procedurom prema </w:t>
      </w:r>
      <w:proofErr w:type="spellStart"/>
      <w:r w:rsidR="00196D58" w:rsidRPr="00196D58">
        <w:t>Baselskoj</w:t>
      </w:r>
      <w:proofErr w:type="spellEnd"/>
      <w:r w:rsidR="00196D58" w:rsidRPr="00196D58">
        <w:t xml:space="preserve"> Konvenciji o nadzoru prekograničnog prometa opasn</w:t>
      </w:r>
      <w:r w:rsidR="00196D58">
        <w:t xml:space="preserve">og </w:t>
      </w:r>
      <w:r w:rsidR="00196D58">
        <w:lastRenderedPageBreak/>
        <w:t>otpada i njegovu odlaganju (Narodne novine-Međunarodni ugovori, broj</w:t>
      </w:r>
      <w:r w:rsidR="00196D58" w:rsidRPr="00196D58">
        <w:t xml:space="preserve"> 3/94) i Uredbi (</w:t>
      </w:r>
      <w:r w:rsidR="00196D58" w:rsidRPr="00742787">
        <w:t>EZ</w:t>
      </w:r>
      <w:r w:rsidR="00196D58" w:rsidRPr="00196D58">
        <w:t xml:space="preserve">) br. 1013/2006 Europskog parlamenta i Vijeća o otpremi pošiljaka sukladno </w:t>
      </w:r>
      <w:r w:rsidR="00196D58">
        <w:t>čl</w:t>
      </w:r>
      <w:r w:rsidR="00742787">
        <w:t>anku</w:t>
      </w:r>
      <w:r w:rsidR="00196D58">
        <w:t xml:space="preserve"> 118</w:t>
      </w:r>
      <w:r w:rsidR="00EA1ED8">
        <w:t>.</w:t>
      </w:r>
      <w:r w:rsidR="00196D58">
        <w:t xml:space="preserve"> Zakona</w:t>
      </w:r>
      <w:r w:rsidR="00196D58" w:rsidRPr="00196D58">
        <w:t xml:space="preserve"> o održivom gospoda</w:t>
      </w:r>
      <w:r w:rsidR="00196D58">
        <w:t xml:space="preserve">renju otpadom </w:t>
      </w:r>
      <w:r w:rsidR="00196D58" w:rsidRPr="00196D58">
        <w:t>(Narodne novine, br</w:t>
      </w:r>
      <w:r w:rsidR="00C24732">
        <w:t>.</w:t>
      </w:r>
      <w:r w:rsidR="00196D58" w:rsidRPr="00196D58">
        <w:t xml:space="preserve"> 94/13</w:t>
      </w:r>
      <w:r w:rsidR="00C24732">
        <w:t xml:space="preserve"> i</w:t>
      </w:r>
      <w:r w:rsidR="00196D58" w:rsidRPr="00196D58">
        <w:t xml:space="preserve"> 73/17)</w:t>
      </w:r>
      <w:r w:rsidR="00196D58">
        <w:t>.</w:t>
      </w:r>
    </w:p>
    <w:p w14:paraId="6EE83566" w14:textId="77777777" w:rsidR="00196D58" w:rsidRDefault="00196D58" w:rsidP="00D55E4A">
      <w:pPr>
        <w:jc w:val="both"/>
      </w:pPr>
    </w:p>
    <w:p w14:paraId="2CEB6C28" w14:textId="000E9296" w:rsidR="00317EE7" w:rsidRPr="00D55E4A" w:rsidRDefault="00D55E4A" w:rsidP="002664D6">
      <w:pPr>
        <w:pStyle w:val="Naslov3"/>
        <w:numPr>
          <w:ilvl w:val="2"/>
          <w:numId w:val="8"/>
        </w:numPr>
        <w:spacing w:after="120"/>
        <w:jc w:val="center"/>
        <w:rPr>
          <w:b w:val="0"/>
          <w:i/>
        </w:rPr>
      </w:pPr>
      <w:bookmarkStart w:id="6" w:name="_Toc8637300"/>
      <w:r w:rsidRPr="00D55E4A">
        <w:rPr>
          <w:b w:val="0"/>
          <w:i/>
        </w:rPr>
        <w:t>Zaključak</w:t>
      </w:r>
      <w:bookmarkEnd w:id="6"/>
    </w:p>
    <w:p w14:paraId="6136191C" w14:textId="4D457F3E" w:rsidR="00317EE7" w:rsidRDefault="00317EE7" w:rsidP="00317EE7">
      <w:pPr>
        <w:spacing w:after="120"/>
        <w:jc w:val="both"/>
        <w:rPr>
          <w:rFonts w:eastAsia="Calibri"/>
          <w:lang w:eastAsia="en-US"/>
        </w:rPr>
      </w:pPr>
      <w:r w:rsidRPr="00931255">
        <w:rPr>
          <w:rFonts w:eastAsia="Calibri"/>
          <w:lang w:eastAsia="en-US"/>
        </w:rPr>
        <w:t xml:space="preserve">Od stupanja </w:t>
      </w:r>
      <w:r w:rsidRPr="009347F8">
        <w:rPr>
          <w:rFonts w:eastAsia="Calibri"/>
          <w:lang w:eastAsia="en-US"/>
        </w:rPr>
        <w:t xml:space="preserve">Pravilnika </w:t>
      </w:r>
      <w:r w:rsidRPr="00931255">
        <w:rPr>
          <w:rFonts w:eastAsia="Calibri"/>
          <w:lang w:eastAsia="en-US"/>
        </w:rPr>
        <w:t xml:space="preserve">na snagu 2008. godine </w:t>
      </w:r>
      <w:r>
        <w:rPr>
          <w:rFonts w:eastAsia="Calibri"/>
          <w:lang w:eastAsia="en-US"/>
        </w:rPr>
        <w:t>do prosinca 201</w:t>
      </w:r>
      <w:r w:rsidR="00676134">
        <w:rPr>
          <w:rFonts w:eastAsia="Calibri"/>
          <w:lang w:eastAsia="en-US"/>
        </w:rPr>
        <w:t>7</w:t>
      </w:r>
      <w:r w:rsidRPr="00931255">
        <w:rPr>
          <w:rFonts w:eastAsia="Calibri"/>
          <w:lang w:eastAsia="en-US"/>
        </w:rPr>
        <w:t>. godine u R</w:t>
      </w:r>
      <w:r w:rsidR="00F126D8">
        <w:rPr>
          <w:rFonts w:eastAsia="Calibri"/>
          <w:lang w:eastAsia="en-US"/>
        </w:rPr>
        <w:t xml:space="preserve">epublici Hrvatskoj </w:t>
      </w:r>
      <w:r w:rsidRPr="00931255">
        <w:rPr>
          <w:rFonts w:eastAsia="Calibri"/>
          <w:lang w:eastAsia="en-US"/>
        </w:rPr>
        <w:t xml:space="preserve">bilježi se konstantno povećanje količine </w:t>
      </w:r>
      <w:r>
        <w:rPr>
          <w:rFonts w:eastAsia="Calibri"/>
          <w:lang w:eastAsia="en-US"/>
        </w:rPr>
        <w:t xml:space="preserve">zbrinute opreme koja sadrži PCB. </w:t>
      </w:r>
    </w:p>
    <w:p w14:paraId="736E2D5F" w14:textId="41DD2D82" w:rsidR="00317EE7" w:rsidRDefault="00F126D8" w:rsidP="00317EE7">
      <w:pPr>
        <w:spacing w:after="120"/>
        <w:jc w:val="both"/>
        <w:rPr>
          <w:rFonts w:eastAsia="Calibri"/>
          <w:lang w:eastAsia="en-US"/>
        </w:rPr>
      </w:pPr>
      <w:r>
        <w:rPr>
          <w:rFonts w:eastAsia="Calibri"/>
          <w:lang w:eastAsia="en-US"/>
        </w:rPr>
        <w:t xml:space="preserve">HAOP </w:t>
      </w:r>
      <w:r w:rsidR="00317EE7">
        <w:rPr>
          <w:rFonts w:eastAsia="Calibri"/>
          <w:lang w:eastAsia="en-US"/>
        </w:rPr>
        <w:t>je evidentira</w:t>
      </w:r>
      <w:r w:rsidR="008B5D1E">
        <w:rPr>
          <w:rFonts w:eastAsia="Calibri"/>
          <w:lang w:eastAsia="en-US"/>
        </w:rPr>
        <w:t>o</w:t>
      </w:r>
      <w:r w:rsidR="00317EE7">
        <w:rPr>
          <w:rFonts w:eastAsia="Calibri"/>
          <w:lang w:eastAsia="en-US"/>
        </w:rPr>
        <w:t xml:space="preserve"> da je </w:t>
      </w:r>
      <w:r w:rsidR="007533B3">
        <w:rPr>
          <w:rFonts w:eastAsia="Calibri"/>
          <w:lang w:eastAsia="en-US"/>
        </w:rPr>
        <w:t xml:space="preserve">do prosinca </w:t>
      </w:r>
      <w:r w:rsidR="00317EE7">
        <w:rPr>
          <w:rFonts w:eastAsia="Calibri"/>
          <w:lang w:eastAsia="en-US"/>
        </w:rPr>
        <w:t>201</w:t>
      </w:r>
      <w:r w:rsidR="00597688">
        <w:rPr>
          <w:rFonts w:eastAsia="Calibri"/>
          <w:lang w:eastAsia="en-US"/>
        </w:rPr>
        <w:t>5</w:t>
      </w:r>
      <w:r w:rsidR="00317EE7">
        <w:rPr>
          <w:rFonts w:eastAsia="Calibri"/>
          <w:lang w:eastAsia="en-US"/>
        </w:rPr>
        <w:t>. godin</w:t>
      </w:r>
      <w:r w:rsidR="007533B3">
        <w:rPr>
          <w:rFonts w:eastAsia="Calibri"/>
          <w:lang w:eastAsia="en-US"/>
        </w:rPr>
        <w:t>e</w:t>
      </w:r>
      <w:r w:rsidR="00317EE7">
        <w:rPr>
          <w:rFonts w:eastAsia="Calibri"/>
          <w:lang w:eastAsia="en-US"/>
        </w:rPr>
        <w:t xml:space="preserve"> zbrinuto </w:t>
      </w:r>
      <w:r w:rsidR="00597089">
        <w:rPr>
          <w:rFonts w:eastAsia="Calibri"/>
          <w:lang w:eastAsia="en-US"/>
        </w:rPr>
        <w:t>64</w:t>
      </w:r>
      <w:r w:rsidR="00317EE7">
        <w:rPr>
          <w:rFonts w:eastAsia="Calibri"/>
          <w:lang w:eastAsia="en-US"/>
        </w:rPr>
        <w:t>% (</w:t>
      </w:r>
      <w:r w:rsidR="00597089">
        <w:rPr>
          <w:rFonts w:eastAsia="Calibri"/>
          <w:lang w:eastAsia="en-US"/>
        </w:rPr>
        <w:t>459</w:t>
      </w:r>
      <w:r w:rsidR="00317EE7">
        <w:rPr>
          <w:rFonts w:eastAsia="Calibri"/>
          <w:lang w:eastAsia="en-US"/>
        </w:rPr>
        <w:t xml:space="preserve"> t), </w:t>
      </w:r>
      <w:r w:rsidR="007533B3">
        <w:rPr>
          <w:rFonts w:eastAsia="Calibri"/>
          <w:lang w:eastAsia="en-US"/>
        </w:rPr>
        <w:t xml:space="preserve">do prosinca </w:t>
      </w:r>
      <w:r w:rsidR="00317EE7">
        <w:rPr>
          <w:rFonts w:eastAsia="Calibri"/>
          <w:lang w:eastAsia="en-US"/>
        </w:rPr>
        <w:t>201</w:t>
      </w:r>
      <w:r w:rsidR="00597089">
        <w:rPr>
          <w:rFonts w:eastAsia="Calibri"/>
          <w:lang w:eastAsia="en-US"/>
        </w:rPr>
        <w:t>6</w:t>
      </w:r>
      <w:r w:rsidR="00317EE7">
        <w:rPr>
          <w:rFonts w:eastAsia="Calibri"/>
          <w:lang w:eastAsia="en-US"/>
        </w:rPr>
        <w:t>. godin</w:t>
      </w:r>
      <w:r w:rsidR="007533B3">
        <w:rPr>
          <w:rFonts w:eastAsia="Calibri"/>
          <w:lang w:eastAsia="en-US"/>
        </w:rPr>
        <w:t>e</w:t>
      </w:r>
      <w:r w:rsidR="00317EE7">
        <w:rPr>
          <w:rFonts w:eastAsia="Calibri"/>
          <w:lang w:eastAsia="en-US"/>
        </w:rPr>
        <w:t xml:space="preserve"> 6</w:t>
      </w:r>
      <w:r w:rsidR="00597089">
        <w:rPr>
          <w:rFonts w:eastAsia="Calibri"/>
          <w:lang w:eastAsia="en-US"/>
        </w:rPr>
        <w:t>6</w:t>
      </w:r>
      <w:r w:rsidR="00317EE7">
        <w:rPr>
          <w:rFonts w:eastAsia="Calibri"/>
          <w:lang w:eastAsia="en-US"/>
        </w:rPr>
        <w:t>% (4</w:t>
      </w:r>
      <w:r w:rsidR="00597089">
        <w:rPr>
          <w:rFonts w:eastAsia="Calibri"/>
          <w:lang w:eastAsia="en-US"/>
        </w:rPr>
        <w:t>71</w:t>
      </w:r>
      <w:r w:rsidR="00317EE7">
        <w:rPr>
          <w:rFonts w:eastAsia="Calibri"/>
          <w:lang w:eastAsia="en-US"/>
        </w:rPr>
        <w:t xml:space="preserve"> t)</w:t>
      </w:r>
      <w:r w:rsidR="00597688">
        <w:rPr>
          <w:rFonts w:eastAsia="Calibri"/>
          <w:lang w:eastAsia="en-US"/>
        </w:rPr>
        <w:t xml:space="preserve">, a do prosinca 2017. godine </w:t>
      </w:r>
      <w:r w:rsidR="00597089">
        <w:rPr>
          <w:rFonts w:eastAsia="Calibri"/>
          <w:lang w:eastAsia="en-US"/>
        </w:rPr>
        <w:t>74% (533 t)</w:t>
      </w:r>
      <w:r w:rsidR="00317EE7">
        <w:rPr>
          <w:rFonts w:eastAsia="Calibri"/>
          <w:lang w:eastAsia="en-US"/>
        </w:rPr>
        <w:t xml:space="preserve"> </w:t>
      </w:r>
      <w:r w:rsidR="00317EE7" w:rsidRPr="00E56461">
        <w:rPr>
          <w:rFonts w:eastAsia="Calibri"/>
          <w:lang w:eastAsia="en-US"/>
        </w:rPr>
        <w:t>opreme od ukupno evidentirane opreme koja sadrži PCB</w:t>
      </w:r>
      <w:r w:rsidR="00317EE7">
        <w:rPr>
          <w:rFonts w:eastAsia="Calibri"/>
          <w:lang w:eastAsia="en-US"/>
        </w:rPr>
        <w:t xml:space="preserve"> (</w:t>
      </w:r>
      <w:r w:rsidR="00597688">
        <w:rPr>
          <w:rFonts w:eastAsia="Calibri"/>
          <w:lang w:eastAsia="en-US"/>
        </w:rPr>
        <w:t>716</w:t>
      </w:r>
      <w:r w:rsidR="00317EE7">
        <w:rPr>
          <w:rFonts w:eastAsia="Calibri"/>
          <w:lang w:eastAsia="en-US"/>
        </w:rPr>
        <w:t xml:space="preserve"> tona)</w:t>
      </w:r>
      <w:r w:rsidR="00215CD0">
        <w:rPr>
          <w:rFonts w:eastAsia="Calibri"/>
          <w:lang w:eastAsia="en-US"/>
        </w:rPr>
        <w:t>.</w:t>
      </w:r>
      <w:r w:rsidR="00317EE7">
        <w:rPr>
          <w:rFonts w:eastAsia="Calibri"/>
          <w:lang w:eastAsia="en-US"/>
        </w:rPr>
        <w:t xml:space="preserve"> </w:t>
      </w:r>
    </w:p>
    <w:p w14:paraId="7ACE288B" w14:textId="69A09C52" w:rsidR="00317EE7" w:rsidRPr="00CB4024" w:rsidRDefault="00317EE7" w:rsidP="00317EE7">
      <w:pPr>
        <w:spacing w:after="120"/>
        <w:jc w:val="both"/>
        <w:rPr>
          <w:lang w:val="pl-PL"/>
        </w:rPr>
      </w:pPr>
      <w:r w:rsidRPr="00CB4024">
        <w:rPr>
          <w:rFonts w:eastAsia="Calibri"/>
          <w:lang w:eastAsia="en-US"/>
        </w:rPr>
        <w:t>Obveze posjednika opreme koja sadrži PCB propisane Pravilnikom samo su djelomično provedene u razdoblju od siječnja 2008. do prosinca 201</w:t>
      </w:r>
      <w:r w:rsidR="00676134">
        <w:rPr>
          <w:rFonts w:eastAsia="Calibri"/>
          <w:lang w:eastAsia="en-US"/>
        </w:rPr>
        <w:t>7</w:t>
      </w:r>
      <w:r w:rsidRPr="00CB4024">
        <w:rPr>
          <w:rFonts w:eastAsia="Calibri"/>
          <w:lang w:eastAsia="en-US"/>
        </w:rPr>
        <w:t xml:space="preserve">. godine, no razvidan je trend kumulativnog povećanja. </w:t>
      </w:r>
    </w:p>
    <w:p w14:paraId="51F66264" w14:textId="44FF1268" w:rsidR="00317EE7" w:rsidRDefault="00317EE7" w:rsidP="00317EE7">
      <w:pPr>
        <w:spacing w:after="120"/>
        <w:jc w:val="both"/>
        <w:rPr>
          <w:lang w:val="pl-PL"/>
        </w:rPr>
      </w:pPr>
      <w:r w:rsidRPr="00CB4024">
        <w:rPr>
          <w:lang w:val="pl-PL"/>
        </w:rPr>
        <w:t>Neispunjavanje obveza posjednika koji su prepoznali svoju obvezu uzrokovano je najvećim dijelom gospodarskom situacijom i nedostatkom financijskih sredstava za zamjenu i zbrinjavanje opreme koja sadrži PCB. Vjerojatnost je da postoji i određeni broj tvrtki koje nisu prepoznale vlastite odgovornos</w:t>
      </w:r>
      <w:r w:rsidR="009C5CAB">
        <w:rPr>
          <w:lang w:val="pl-PL"/>
        </w:rPr>
        <w:t>ti i obveze sukladno Pravilniku</w:t>
      </w:r>
      <w:r w:rsidRPr="00CB4024">
        <w:rPr>
          <w:lang w:val="pl-PL"/>
        </w:rPr>
        <w:t xml:space="preserve"> te se još ne nalaze na popisu posjednika.</w:t>
      </w:r>
    </w:p>
    <w:p w14:paraId="6EFC5BC8" w14:textId="77777777" w:rsidR="00667FB6" w:rsidRPr="00CB4024" w:rsidRDefault="00667FB6" w:rsidP="00317EE7">
      <w:pPr>
        <w:spacing w:after="120"/>
        <w:jc w:val="both"/>
        <w:rPr>
          <w:lang w:val="pl-PL"/>
        </w:rPr>
      </w:pPr>
    </w:p>
    <w:p w14:paraId="782ACBFA" w14:textId="4382E731" w:rsidR="00317EE7" w:rsidRPr="00D55E4A" w:rsidRDefault="002664D6" w:rsidP="002664D6">
      <w:pPr>
        <w:pStyle w:val="Naslov2"/>
        <w:numPr>
          <w:ilvl w:val="1"/>
          <w:numId w:val="8"/>
        </w:numPr>
        <w:spacing w:after="120"/>
        <w:rPr>
          <w:b w:val="0"/>
        </w:rPr>
      </w:pPr>
      <w:r>
        <w:rPr>
          <w:b w:val="0"/>
        </w:rPr>
        <w:t xml:space="preserve"> </w:t>
      </w:r>
      <w:bookmarkStart w:id="7" w:name="_Toc8637301"/>
      <w:r w:rsidR="00D55E4A" w:rsidRPr="00D55E4A">
        <w:rPr>
          <w:b w:val="0"/>
        </w:rPr>
        <w:t>PRAĆENJE/MONITORING POP</w:t>
      </w:r>
      <w:r w:rsidR="002A11B4">
        <w:rPr>
          <w:b w:val="0"/>
        </w:rPr>
        <w:t>s</w:t>
      </w:r>
      <w:r w:rsidR="00D55E4A" w:rsidRPr="00D55E4A">
        <w:rPr>
          <w:b w:val="0"/>
        </w:rPr>
        <w:t>-OVA</w:t>
      </w:r>
      <w:bookmarkEnd w:id="7"/>
    </w:p>
    <w:p w14:paraId="1CE01C8D" w14:textId="77777777" w:rsidR="00317EE7" w:rsidRPr="00D55E4A" w:rsidRDefault="00317EE7" w:rsidP="00D55E4A">
      <w:pPr>
        <w:pStyle w:val="Naslov3"/>
        <w:numPr>
          <w:ilvl w:val="2"/>
          <w:numId w:val="9"/>
        </w:numPr>
        <w:spacing w:before="120" w:after="120"/>
        <w:jc w:val="center"/>
        <w:rPr>
          <w:b w:val="0"/>
          <w:i/>
        </w:rPr>
      </w:pPr>
      <w:bookmarkStart w:id="8" w:name="_Toc8637302"/>
      <w:r w:rsidRPr="00D55E4A">
        <w:rPr>
          <w:b w:val="0"/>
          <w:i/>
        </w:rPr>
        <w:t>Monitoring POPs-ova u vodama</w:t>
      </w:r>
      <w:bookmarkEnd w:id="8"/>
    </w:p>
    <w:p w14:paraId="00B9A2A2" w14:textId="7B8564D2" w:rsidR="00317EE7" w:rsidRPr="00CB4024" w:rsidRDefault="00317EE7" w:rsidP="00317EE7">
      <w:pPr>
        <w:spacing w:after="120"/>
        <w:jc w:val="both"/>
      </w:pPr>
      <w:r w:rsidRPr="00CB4024">
        <w:t>Sukladno članku 44. Zakona o vodama (Narodne novine br. 153/09, 63/11, 130/11, 56/13</w:t>
      </w:r>
      <w:r w:rsidR="005D4950">
        <w:t xml:space="preserve"> i</w:t>
      </w:r>
      <w:r w:rsidRPr="00CB4024">
        <w:t xml:space="preserve"> 14/14; u daljnjem tekstu: </w:t>
      </w:r>
      <w:r w:rsidRPr="00742787">
        <w:t>Zakon o vodama</w:t>
      </w:r>
      <w:r w:rsidRPr="00CB4024">
        <w:t>), Hrvatske vode, pravna osoba za upravljanje vodama, nadležne su za praćenje stanja površinskih, uključivo priobalnih voda te podzemnih voda (monitoring) o čemu donose godišnji plan monitoringa.</w:t>
      </w:r>
    </w:p>
    <w:p w14:paraId="6CA0DEAA" w14:textId="7BD84584" w:rsidR="00317EE7" w:rsidRPr="00CB4024" w:rsidRDefault="00317EE7" w:rsidP="00317EE7">
      <w:pPr>
        <w:spacing w:after="120"/>
        <w:jc w:val="both"/>
      </w:pPr>
      <w:r w:rsidRPr="00CB4024">
        <w:t>Z</w:t>
      </w:r>
      <w:r w:rsidR="00232310">
        <w:t>akonom o vodama su propisani sl</w:t>
      </w:r>
      <w:r w:rsidRPr="00CB4024">
        <w:t>jedeći ciljevi monitoringa:</w:t>
      </w:r>
    </w:p>
    <w:p w14:paraId="728B1A57" w14:textId="2B92BEBE" w:rsidR="00317EE7" w:rsidRPr="00CB4024" w:rsidRDefault="00317EE7" w:rsidP="00F525BB">
      <w:pPr>
        <w:numPr>
          <w:ilvl w:val="0"/>
          <w:numId w:val="3"/>
        </w:numPr>
        <w:spacing w:after="120"/>
        <w:jc w:val="both"/>
      </w:pPr>
      <w:r w:rsidRPr="00CB4024">
        <w:t>utvrđivanje dugoročnih</w:t>
      </w:r>
      <w:r w:rsidR="00A74420">
        <w:t xml:space="preserve"> promjena (nadzorni monitoring)</w:t>
      </w:r>
    </w:p>
    <w:p w14:paraId="5D7E6747" w14:textId="35E66F59" w:rsidR="00317EE7" w:rsidRPr="00CB4024" w:rsidRDefault="00317EE7" w:rsidP="00F525BB">
      <w:pPr>
        <w:numPr>
          <w:ilvl w:val="0"/>
          <w:numId w:val="3"/>
        </w:numPr>
        <w:spacing w:after="120"/>
        <w:jc w:val="both"/>
      </w:pPr>
      <w:r w:rsidRPr="00CB4024">
        <w:t>utvrđivanje promjena uslijed provođenja mjera na područjima za koja je utvrđeno da ne ispunjavaju uvjete za dobro</w:t>
      </w:r>
      <w:r w:rsidR="00A74420">
        <w:t xml:space="preserve"> stanje (operativni monitoring)</w:t>
      </w:r>
    </w:p>
    <w:p w14:paraId="554CE961" w14:textId="77777777" w:rsidR="00317EE7" w:rsidRPr="00CB4024" w:rsidRDefault="00317EE7" w:rsidP="00F525BB">
      <w:pPr>
        <w:numPr>
          <w:ilvl w:val="0"/>
          <w:numId w:val="3"/>
        </w:numPr>
        <w:spacing w:after="120"/>
        <w:jc w:val="both"/>
      </w:pPr>
      <w:r w:rsidRPr="00CB4024">
        <w:t>utvrđivanje nepoznatih odnosa (istraživački monitoring).</w:t>
      </w:r>
    </w:p>
    <w:p w14:paraId="02A21F3C" w14:textId="12D9BC49" w:rsidR="00317EE7" w:rsidRPr="00CB4024" w:rsidRDefault="00317EE7" w:rsidP="00317EE7">
      <w:pPr>
        <w:spacing w:after="120"/>
        <w:jc w:val="both"/>
      </w:pPr>
      <w:r w:rsidRPr="00CB4024">
        <w:t xml:space="preserve">Monitoring obuhvaća pokazatelje potrebne </w:t>
      </w:r>
      <w:r w:rsidR="002A11B4">
        <w:t>za utvrđivanje</w:t>
      </w:r>
      <w:r w:rsidRPr="00CB4024">
        <w:t xml:space="preserve">: </w:t>
      </w:r>
    </w:p>
    <w:p w14:paraId="2094F0FA" w14:textId="48476D9B" w:rsidR="00317EE7" w:rsidRPr="00CB4024" w:rsidRDefault="00317EE7" w:rsidP="00F525BB">
      <w:pPr>
        <w:numPr>
          <w:ilvl w:val="0"/>
          <w:numId w:val="4"/>
        </w:numPr>
        <w:spacing w:after="120"/>
        <w:jc w:val="both"/>
      </w:pPr>
      <w:r w:rsidRPr="00CB4024">
        <w:t xml:space="preserve">zapremina, razina, protok, brzina, </w:t>
      </w:r>
      <w:proofErr w:type="spellStart"/>
      <w:r w:rsidRPr="00CB4024">
        <w:t>hidromorfološke</w:t>
      </w:r>
      <w:proofErr w:type="spellEnd"/>
      <w:r w:rsidRPr="00CB4024">
        <w:t xml:space="preserve"> značajke, ekološko i kemijsko stanje i ekološk</w:t>
      </w:r>
      <w:r w:rsidR="00A74420">
        <w:t>i potencijal za površinske vode</w:t>
      </w:r>
    </w:p>
    <w:p w14:paraId="0CED78CC" w14:textId="49DDE9CE" w:rsidR="00317EE7" w:rsidRPr="00CB4024" w:rsidRDefault="00317EE7" w:rsidP="00F525BB">
      <w:pPr>
        <w:numPr>
          <w:ilvl w:val="0"/>
          <w:numId w:val="4"/>
        </w:numPr>
        <w:spacing w:after="120"/>
        <w:jc w:val="both"/>
      </w:pPr>
      <w:r w:rsidRPr="00CB4024">
        <w:t>ekološko i kemijsko stanje i ekološ</w:t>
      </w:r>
      <w:r w:rsidR="00A74420">
        <w:t>ki potencijal za priobalne vode</w:t>
      </w:r>
    </w:p>
    <w:p w14:paraId="0D3FE9A7" w14:textId="2A4E1160" w:rsidR="00317EE7" w:rsidRPr="00CB4024" w:rsidRDefault="00317EE7" w:rsidP="00F525BB">
      <w:pPr>
        <w:numPr>
          <w:ilvl w:val="0"/>
          <w:numId w:val="4"/>
        </w:numPr>
        <w:spacing w:after="120"/>
        <w:jc w:val="both"/>
      </w:pPr>
      <w:r w:rsidRPr="00CB4024">
        <w:t>kemijsko stanj</w:t>
      </w:r>
      <w:r w:rsidR="00A74420">
        <w:t>e za vode teritorijalnog mora i</w:t>
      </w:r>
    </w:p>
    <w:p w14:paraId="67F36057" w14:textId="1BA2AA02" w:rsidR="00317EE7" w:rsidRPr="00CB4024" w:rsidRDefault="00317EE7" w:rsidP="00F525BB">
      <w:pPr>
        <w:numPr>
          <w:ilvl w:val="0"/>
          <w:numId w:val="4"/>
        </w:numPr>
        <w:spacing w:after="120"/>
        <w:jc w:val="both"/>
      </w:pPr>
      <w:r w:rsidRPr="00CB4024">
        <w:t xml:space="preserve">količinsko i kemijsko stanje za podzemne vode. </w:t>
      </w:r>
    </w:p>
    <w:p w14:paraId="3B2A302D" w14:textId="77777777" w:rsidR="00317EE7" w:rsidRPr="00CB4024" w:rsidRDefault="00317EE7" w:rsidP="00317EE7">
      <w:pPr>
        <w:spacing w:after="120"/>
        <w:jc w:val="both"/>
      </w:pPr>
      <w:r w:rsidRPr="00CB4024">
        <w:t>Na temelju rezultata monitoringa za svako tijelo površinske ili podzemne vode pojedinačno se donosi ocjena njegovog stanja i razvrstava u odgovarajuću kategoriju (klasifikacija stanja tijela) te uz analizu utjecaja, procjenjuje rizik da određeno tijelo površinske ili podzemne vode neće postići ciljeve zaštite voda, odnosno da neće zadržati stanje sukladno ciljevima zaštite voda.</w:t>
      </w:r>
    </w:p>
    <w:p w14:paraId="5C8702A4" w14:textId="7735076A" w:rsidR="00317EE7" w:rsidRPr="00CB4024" w:rsidRDefault="00317EE7" w:rsidP="00317EE7">
      <w:pPr>
        <w:spacing w:after="120"/>
        <w:jc w:val="both"/>
      </w:pPr>
      <w:r w:rsidRPr="00CB4024">
        <w:t xml:space="preserve">Ispitivanje kakvoće voda je provedeno putem Glavnog vodnogospodarskog laboratorija Hrvatskih voda (službeni laboratorij za uzimanje uzoraka i izradu analiza u okviru monitoringa) te laboratorija ovlaštenih za uzimanje uzoraka i ispitivanje voda, koji su imatelji Rješenja o ispunjenju posebnih uvjeta sukladno članku 17. Pravilnika o posebnim uvjetima za obavljanje djelatnosti uzimanja uzoraka i ispitivanje voda (Narodne novine, </w:t>
      </w:r>
      <w:r w:rsidR="00816F05" w:rsidRPr="00CB4024">
        <w:t>br</w:t>
      </w:r>
      <w:r w:rsidR="00742787">
        <w:t xml:space="preserve">. </w:t>
      </w:r>
      <w:r>
        <w:t>74/13</w:t>
      </w:r>
      <w:r w:rsidR="00816F05">
        <w:t xml:space="preserve"> i 140/15</w:t>
      </w:r>
      <w:r>
        <w:t>), a isto</w:t>
      </w:r>
      <w:r w:rsidRPr="00CB4024">
        <w:t xml:space="preserve"> su ishodili od ministarstva nadležnog za vodno gospodarstvo. </w:t>
      </w:r>
    </w:p>
    <w:p w14:paraId="325F0C95" w14:textId="547E87EA" w:rsidR="00317EE7" w:rsidRPr="00CB4024" w:rsidRDefault="00317EE7" w:rsidP="00317EE7">
      <w:pPr>
        <w:spacing w:after="120"/>
        <w:jc w:val="both"/>
      </w:pPr>
      <w:r w:rsidRPr="00CB4024">
        <w:lastRenderedPageBreak/>
        <w:t xml:space="preserve">Hrvatske vode su sukladno Zakonu o vodama nadležne za tumačenje rezultata monitoringa o čemu izrađuju godišnje izvješće koje dostavljaju Ministarstvu nadležnom za vodno gospodarstvo </w:t>
      </w:r>
      <w:r w:rsidRPr="00DF3652">
        <w:t>i HAOP-u.</w:t>
      </w:r>
    </w:p>
    <w:p w14:paraId="0372725F" w14:textId="714A93A5" w:rsidR="00317EE7" w:rsidRPr="00D55E4A" w:rsidRDefault="00317EE7" w:rsidP="002664D6">
      <w:pPr>
        <w:pStyle w:val="Naslov4"/>
        <w:numPr>
          <w:ilvl w:val="3"/>
          <w:numId w:val="9"/>
        </w:numPr>
        <w:spacing w:before="100" w:beforeAutospacing="1" w:after="120"/>
        <w:jc w:val="center"/>
        <w:rPr>
          <w:rFonts w:ascii="Times New Roman" w:hAnsi="Times New Roman" w:cs="Times New Roman"/>
          <w:b w:val="0"/>
          <w:i w:val="0"/>
          <w:color w:val="auto"/>
        </w:rPr>
      </w:pPr>
      <w:r w:rsidRPr="00D55E4A">
        <w:rPr>
          <w:rFonts w:ascii="Times New Roman" w:hAnsi="Times New Roman" w:cs="Times New Roman"/>
          <w:b w:val="0"/>
          <w:i w:val="0"/>
          <w:color w:val="auto"/>
        </w:rPr>
        <w:t>Monitoring površinskih voda</w:t>
      </w:r>
    </w:p>
    <w:p w14:paraId="589A4981" w14:textId="34B30893" w:rsidR="00317EE7" w:rsidRDefault="00317EE7" w:rsidP="00317EE7">
      <w:pPr>
        <w:pStyle w:val="t-9-8"/>
        <w:spacing w:before="0" w:beforeAutospacing="0" w:after="120" w:afterAutospacing="0"/>
        <w:jc w:val="both"/>
      </w:pPr>
      <w:r w:rsidRPr="00CB4024">
        <w:t>Zakonska osnova, opseg, vrsta i način ispitivanja površinskih voda u Republici H</w:t>
      </w:r>
      <w:r w:rsidR="006D4519">
        <w:t xml:space="preserve">rvatskoj propisani su Zakonom o </w:t>
      </w:r>
      <w:r w:rsidRPr="00CB4024">
        <w:t>vodama, Uredbom o standardu ka</w:t>
      </w:r>
      <w:r>
        <w:t>kvoće voda (Narodne novine, br.</w:t>
      </w:r>
      <w:r w:rsidR="004C192E">
        <w:t xml:space="preserve"> </w:t>
      </w:r>
      <w:r w:rsidRPr="00CB4024">
        <w:t>73/13</w:t>
      </w:r>
      <w:r w:rsidR="005D4950">
        <w:t>,</w:t>
      </w:r>
      <w:r>
        <w:t xml:space="preserve"> </w:t>
      </w:r>
      <w:r w:rsidR="00816F05">
        <w:t xml:space="preserve"> </w:t>
      </w:r>
      <w:r w:rsidR="00816F05" w:rsidRPr="004C7483">
        <w:t>151/14, 78/15</w:t>
      </w:r>
      <w:r w:rsidR="005D4950">
        <w:t xml:space="preserve"> i</w:t>
      </w:r>
      <w:r w:rsidR="00816F05" w:rsidRPr="004C7483">
        <w:t xml:space="preserve"> 61/16</w:t>
      </w:r>
      <w:r w:rsidR="00DF3652">
        <w:t>)</w:t>
      </w:r>
      <w:r w:rsidRPr="00CB4024">
        <w:t xml:space="preserve">, Pravilnikom o posebnim uvjetima za obavljanje djelatnosti uzimanja uzoraka i ispitivanja voda (Narodne novine, </w:t>
      </w:r>
      <w:r w:rsidR="00816F05" w:rsidRPr="00CB4024">
        <w:t>br</w:t>
      </w:r>
      <w:r w:rsidR="00816F05">
        <w:t>.</w:t>
      </w:r>
      <w:r w:rsidR="00816F05" w:rsidRPr="00CB4024">
        <w:t xml:space="preserve"> </w:t>
      </w:r>
      <w:r w:rsidRPr="00CB4024">
        <w:t>74/13</w:t>
      </w:r>
      <w:r w:rsidR="00816F05">
        <w:t xml:space="preserve"> i 140/15</w:t>
      </w:r>
      <w:r w:rsidR="002A11B4">
        <w:t>)</w:t>
      </w:r>
      <w:r w:rsidR="006D4519">
        <w:t xml:space="preserve"> </w:t>
      </w:r>
      <w:r w:rsidRPr="00CB4024">
        <w:t xml:space="preserve">te Metodologijom uzorkovanja, laboratorijskih analiza i određivanja omjera ekološke kakvoće bioloških elemenata kakvoće, donesenoj na temelju odredbi iz članka 19. Uredbe </w:t>
      </w:r>
      <w:r w:rsidR="006D4519" w:rsidRPr="006D4519">
        <w:t xml:space="preserve">o standardu kakvoće voda </w:t>
      </w:r>
      <w:r w:rsidRPr="00CB4024">
        <w:t>objavljenoj na mrežnim stranicama Hrvatskih voda.</w:t>
      </w:r>
    </w:p>
    <w:p w14:paraId="25D4A658" w14:textId="77777777" w:rsidR="0006570D" w:rsidRPr="0006570D" w:rsidRDefault="0006570D" w:rsidP="0006570D">
      <w:pPr>
        <w:spacing w:after="120"/>
        <w:jc w:val="both"/>
        <w:rPr>
          <w:rFonts w:eastAsia="Calibri"/>
        </w:rPr>
      </w:pPr>
      <w:r w:rsidRPr="0006570D">
        <w:rPr>
          <w:rFonts w:eastAsia="Calibri"/>
        </w:rPr>
        <w:t>U 2015. godini je planirana provedba nadzornog i operativnog monitoringa stanja voda na 533 mjerne postaje u površinskim kopnenim vodama. Među njima su identificirane postaje koje se nalaze u tijelima površinskih kopnenih voda na kojima se nalaze zahvati vode namijenjene ljudskoj potrošnji, postaje u tijelima površinskih kopnenih voda koje se nalaze u vodama pogodnima za život slatkovodnih riba, u ranjivim područjima te u područjima za zaštitu staništa i vrsta.</w:t>
      </w:r>
    </w:p>
    <w:p w14:paraId="69FE49CB" w14:textId="45AE4798" w:rsidR="0006570D" w:rsidRPr="0006570D" w:rsidRDefault="0006570D" w:rsidP="0006570D">
      <w:pPr>
        <w:spacing w:after="120"/>
        <w:jc w:val="both"/>
        <w:rPr>
          <w:rFonts w:eastAsia="Calibri"/>
        </w:rPr>
      </w:pPr>
      <w:r w:rsidRPr="0006570D">
        <w:rPr>
          <w:rFonts w:eastAsia="Calibri"/>
        </w:rPr>
        <w:t>U prijelaznim i priobalnim vodama je tijekom 2014. i 2015. godine planirana provedba nadzornog monitoringa na 141 mjernoj postaji, operativnog monitoringa na 72 mjerne postaje te preliminarnog monitoringa potrebnog za određivanje novih područja pogodnih za život i rast školjkaša, prema kriterijima određenim u č</w:t>
      </w:r>
      <w:r w:rsidR="006D4519">
        <w:rPr>
          <w:rFonts w:eastAsia="Calibri"/>
        </w:rPr>
        <w:t>lanku</w:t>
      </w:r>
      <w:r w:rsidRPr="0006570D">
        <w:rPr>
          <w:rFonts w:eastAsia="Calibri"/>
        </w:rPr>
        <w:t>. 54</w:t>
      </w:r>
      <w:r w:rsidR="0050348C">
        <w:rPr>
          <w:rFonts w:eastAsia="Calibri"/>
        </w:rPr>
        <w:t>.</w:t>
      </w:r>
      <w:r w:rsidRPr="0006570D">
        <w:rPr>
          <w:rFonts w:eastAsia="Calibri"/>
        </w:rPr>
        <w:t xml:space="preserve"> Uredbe o standardu kakvoće voda. Nadzorni monitoring nije planiran u dva grupirana vodna tijela u prijelaznim vodama rijeke Dragonje. Također su određene i postaje u tijelima prijelaznih i priobalnih voda koja se nalaze u područjima za zaštitu staništa i vrsta. </w:t>
      </w:r>
    </w:p>
    <w:p w14:paraId="5B61EA0E" w14:textId="5C3526EF" w:rsidR="0006570D" w:rsidRPr="00D55E4A" w:rsidRDefault="0006570D" w:rsidP="00D55E4A">
      <w:pPr>
        <w:spacing w:before="100" w:beforeAutospacing="1" w:after="120"/>
        <w:jc w:val="both"/>
        <w:rPr>
          <w:rFonts w:eastAsia="Calibri"/>
          <w:i/>
        </w:rPr>
      </w:pPr>
      <w:r w:rsidRPr="00D55E4A">
        <w:rPr>
          <w:rFonts w:eastAsia="Calibri"/>
          <w:i/>
        </w:rPr>
        <w:t>Kemijsko stanje površinskih kopnenih voda</w:t>
      </w:r>
    </w:p>
    <w:p w14:paraId="565CF7D9" w14:textId="77777777" w:rsidR="0006570D" w:rsidRPr="0006570D" w:rsidRDefault="0006570D" w:rsidP="0006570D">
      <w:pPr>
        <w:spacing w:after="120"/>
        <w:jc w:val="both"/>
        <w:rPr>
          <w:rFonts w:eastAsia="Calibri"/>
        </w:rPr>
      </w:pPr>
      <w:r w:rsidRPr="0006570D">
        <w:rPr>
          <w:rFonts w:eastAsia="Calibri"/>
        </w:rPr>
        <w:t xml:space="preserve">Praćenje pokazatelja kemijskog stanja na nadzornim postajama na području </w:t>
      </w:r>
      <w:proofErr w:type="spellStart"/>
      <w:r w:rsidRPr="0006570D">
        <w:rPr>
          <w:rFonts w:eastAsia="Calibri"/>
        </w:rPr>
        <w:t>podsliva</w:t>
      </w:r>
      <w:proofErr w:type="spellEnd"/>
      <w:r w:rsidRPr="0006570D">
        <w:rPr>
          <w:rFonts w:eastAsia="Calibri"/>
        </w:rPr>
        <w:t xml:space="preserve"> rijeke Save u 2015. godini provedeno je na 15 postaja. Na svim mjernim postajama analizirani su svi pokazatelji kemijskog stanja, ali različitom učestalošću. Za sve je pokazatelje utvrđeno dobro kemijsko stanje obzirom na prosječne i/ili maksimalne godišnje koncentracije.</w:t>
      </w:r>
    </w:p>
    <w:p w14:paraId="479D14BA" w14:textId="77777777" w:rsidR="0006570D" w:rsidRPr="0006570D" w:rsidRDefault="0006570D" w:rsidP="0006570D">
      <w:pPr>
        <w:spacing w:after="120"/>
        <w:jc w:val="both"/>
        <w:rPr>
          <w:rFonts w:eastAsia="Calibri"/>
        </w:rPr>
      </w:pPr>
      <w:r w:rsidRPr="0006570D">
        <w:rPr>
          <w:rFonts w:eastAsia="Calibri"/>
        </w:rPr>
        <w:t xml:space="preserve">Praćenje pokazatelja kemijskog stanja na postajama operativnog monitoringa na području </w:t>
      </w:r>
      <w:proofErr w:type="spellStart"/>
      <w:r w:rsidRPr="0006570D">
        <w:rPr>
          <w:rFonts w:eastAsia="Calibri"/>
        </w:rPr>
        <w:t>podsliva</w:t>
      </w:r>
      <w:proofErr w:type="spellEnd"/>
      <w:r w:rsidRPr="0006570D">
        <w:rPr>
          <w:rFonts w:eastAsia="Calibri"/>
        </w:rPr>
        <w:t xml:space="preserve"> rijeke Save provedeno je na 40 postaja. Dobro kemijsko stanje utvrđeno je na 36 postaja. Na 4 mjerne postaje (</w:t>
      </w:r>
      <w:proofErr w:type="spellStart"/>
      <w:r w:rsidRPr="0006570D">
        <w:rPr>
          <w:rFonts w:eastAsia="Calibri"/>
        </w:rPr>
        <w:t>Šumetlica</w:t>
      </w:r>
      <w:proofErr w:type="spellEnd"/>
      <w:r w:rsidRPr="0006570D">
        <w:rPr>
          <w:rFonts w:eastAsia="Calibri"/>
        </w:rPr>
        <w:t xml:space="preserve">, Spačva, </w:t>
      </w:r>
      <w:proofErr w:type="spellStart"/>
      <w:r w:rsidRPr="0006570D">
        <w:rPr>
          <w:rFonts w:eastAsia="Calibri"/>
        </w:rPr>
        <w:t>Kutinica</w:t>
      </w:r>
      <w:proofErr w:type="spellEnd"/>
      <w:r w:rsidRPr="0006570D">
        <w:rPr>
          <w:rFonts w:eastAsia="Calibri"/>
        </w:rPr>
        <w:t xml:space="preserve">, potok </w:t>
      </w:r>
      <w:proofErr w:type="spellStart"/>
      <w:r w:rsidRPr="0006570D">
        <w:rPr>
          <w:rFonts w:eastAsia="Calibri"/>
        </w:rPr>
        <w:t>Črnec</w:t>
      </w:r>
      <w:proofErr w:type="spellEnd"/>
      <w:r w:rsidRPr="0006570D">
        <w:rPr>
          <w:rFonts w:eastAsia="Calibri"/>
        </w:rPr>
        <w:t xml:space="preserve"> V) nije utvrđeno dobro kemijsko stanje zbog premašenih maksimalnih godišnjih koncentracija žive i kadmija te srednje godišnje koncentracije sume </w:t>
      </w:r>
      <w:proofErr w:type="spellStart"/>
      <w:r w:rsidRPr="0006570D">
        <w:rPr>
          <w:rFonts w:eastAsia="Calibri"/>
        </w:rPr>
        <w:t>ciklodienskih</w:t>
      </w:r>
      <w:proofErr w:type="spellEnd"/>
      <w:r w:rsidRPr="0006570D">
        <w:rPr>
          <w:rFonts w:eastAsia="Calibri"/>
        </w:rPr>
        <w:t xml:space="preserve"> pesticida.</w:t>
      </w:r>
    </w:p>
    <w:p w14:paraId="7030F5B0" w14:textId="77777777" w:rsidR="0006570D" w:rsidRPr="0006570D" w:rsidRDefault="0006570D" w:rsidP="0006570D">
      <w:pPr>
        <w:spacing w:after="120"/>
        <w:jc w:val="both"/>
        <w:rPr>
          <w:rFonts w:eastAsia="Calibri"/>
        </w:rPr>
      </w:pPr>
      <w:r w:rsidRPr="0006570D">
        <w:rPr>
          <w:rFonts w:eastAsia="Calibri"/>
        </w:rPr>
        <w:t xml:space="preserve">Praćenje pokazatelja kemijskog stanja na nadzornim postajama na području </w:t>
      </w:r>
      <w:proofErr w:type="spellStart"/>
      <w:r w:rsidRPr="0006570D">
        <w:rPr>
          <w:rFonts w:eastAsia="Calibri"/>
        </w:rPr>
        <w:t>podsliva</w:t>
      </w:r>
      <w:proofErr w:type="spellEnd"/>
      <w:r w:rsidRPr="0006570D">
        <w:rPr>
          <w:rFonts w:eastAsia="Calibri"/>
        </w:rPr>
        <w:t xml:space="preserve"> rijeka Drave i Dunava u 2015. godini provedeno je na 17 postaja. Na svim mjernim postajama analizirani su svi pokazatelji kemijskog stanja, ali različitom učestalošću. Za sve pokazatelje je utvrđeno dobro kemijsko stanje obzirom na prosječne i/ili maksimalne godišnje koncentracije.</w:t>
      </w:r>
    </w:p>
    <w:p w14:paraId="214E6424" w14:textId="58369350" w:rsidR="0006570D" w:rsidRPr="0006570D" w:rsidRDefault="0006570D" w:rsidP="0006570D">
      <w:pPr>
        <w:spacing w:after="120"/>
        <w:jc w:val="both"/>
        <w:rPr>
          <w:rFonts w:eastAsia="Calibri"/>
        </w:rPr>
      </w:pPr>
      <w:r w:rsidRPr="0006570D">
        <w:rPr>
          <w:rFonts w:eastAsia="Calibri"/>
        </w:rPr>
        <w:t xml:space="preserve">Praćenje pokazatelja kemijskog stanja na postajama operativnog monitoringa na području </w:t>
      </w:r>
      <w:proofErr w:type="spellStart"/>
      <w:r w:rsidRPr="0006570D">
        <w:rPr>
          <w:rFonts w:eastAsia="Calibri"/>
        </w:rPr>
        <w:t>podsliva</w:t>
      </w:r>
      <w:proofErr w:type="spellEnd"/>
      <w:r w:rsidRPr="0006570D">
        <w:rPr>
          <w:rFonts w:eastAsia="Calibri"/>
        </w:rPr>
        <w:t xml:space="preserve"> rijeke Drave i Dunava provedeno je na 21 postaji. Dobro kemijsko stanje utvrđeno je na 15 postaja. Na 3 mjerene postaje (</w:t>
      </w:r>
      <w:proofErr w:type="spellStart"/>
      <w:r w:rsidRPr="0006570D">
        <w:rPr>
          <w:rFonts w:eastAsia="Calibri"/>
        </w:rPr>
        <w:t>Jalšovec</w:t>
      </w:r>
      <w:proofErr w:type="spellEnd"/>
      <w:r w:rsidRPr="0006570D">
        <w:rPr>
          <w:rFonts w:eastAsia="Calibri"/>
        </w:rPr>
        <w:t xml:space="preserve">, </w:t>
      </w:r>
      <w:proofErr w:type="spellStart"/>
      <w:r w:rsidRPr="0006570D">
        <w:rPr>
          <w:rFonts w:eastAsia="Calibri"/>
        </w:rPr>
        <w:t>Gliboki</w:t>
      </w:r>
      <w:proofErr w:type="spellEnd"/>
      <w:r w:rsidRPr="0006570D">
        <w:rPr>
          <w:rFonts w:eastAsia="Calibri"/>
        </w:rPr>
        <w:t xml:space="preserve"> II, Crni </w:t>
      </w:r>
      <w:proofErr w:type="spellStart"/>
      <w:r w:rsidRPr="0006570D">
        <w:rPr>
          <w:rFonts w:eastAsia="Calibri"/>
        </w:rPr>
        <w:t>fok</w:t>
      </w:r>
      <w:proofErr w:type="spellEnd"/>
      <w:r w:rsidRPr="0006570D">
        <w:rPr>
          <w:rFonts w:eastAsia="Calibri"/>
        </w:rPr>
        <w:t>) nije utvrđeno dobro kemijsko stanje zbog premašenih maksimalnih godišnjih koncentracija ži</w:t>
      </w:r>
      <w:r w:rsidR="00F94B88">
        <w:rPr>
          <w:rFonts w:eastAsia="Calibri"/>
        </w:rPr>
        <w:t xml:space="preserve">ve. Također, zbog prekoračenja </w:t>
      </w:r>
      <w:r w:rsidRPr="0006570D">
        <w:rPr>
          <w:rFonts w:eastAsia="Calibri"/>
        </w:rPr>
        <w:t xml:space="preserve">srednjih godišnjih koncentracija sume </w:t>
      </w:r>
      <w:proofErr w:type="spellStart"/>
      <w:r w:rsidRPr="0006570D">
        <w:rPr>
          <w:rFonts w:eastAsia="Calibri"/>
        </w:rPr>
        <w:t>ciklodienskih</w:t>
      </w:r>
      <w:proofErr w:type="spellEnd"/>
      <w:r w:rsidRPr="0006570D">
        <w:rPr>
          <w:rFonts w:eastAsia="Calibri"/>
        </w:rPr>
        <w:t xml:space="preserve"> pesticida nije postignuto dobro kemijsko stanje na 3 mjerne postaje (Baranjska </w:t>
      </w:r>
      <w:proofErr w:type="spellStart"/>
      <w:r w:rsidRPr="0006570D">
        <w:rPr>
          <w:rFonts w:eastAsia="Calibri"/>
        </w:rPr>
        <w:t>Karašica</w:t>
      </w:r>
      <w:proofErr w:type="spellEnd"/>
      <w:r w:rsidRPr="0006570D">
        <w:rPr>
          <w:rFonts w:eastAsia="Calibri"/>
        </w:rPr>
        <w:t xml:space="preserve">, Županijski kanal i </w:t>
      </w:r>
      <w:proofErr w:type="spellStart"/>
      <w:r w:rsidRPr="0006570D">
        <w:rPr>
          <w:rFonts w:eastAsia="Calibri"/>
        </w:rPr>
        <w:t>Javorica</w:t>
      </w:r>
      <w:proofErr w:type="spellEnd"/>
      <w:r w:rsidRPr="0006570D">
        <w:rPr>
          <w:rFonts w:eastAsia="Calibri"/>
        </w:rPr>
        <w:t>).</w:t>
      </w:r>
    </w:p>
    <w:p w14:paraId="57646EA7" w14:textId="107F6E1A" w:rsidR="0006570D" w:rsidRPr="0006570D" w:rsidRDefault="0006570D" w:rsidP="0006570D">
      <w:pPr>
        <w:spacing w:after="120"/>
        <w:jc w:val="both"/>
        <w:rPr>
          <w:rFonts w:eastAsia="Calibri"/>
        </w:rPr>
      </w:pPr>
      <w:r w:rsidRPr="0006570D">
        <w:rPr>
          <w:rFonts w:eastAsia="Calibri"/>
        </w:rPr>
        <w:t xml:space="preserve">Praćenje pokazatelja kemijskog stanja na nadzornim postajama Jadranskog vodnog područja u 2015. godini provedeno je na 1 postaji (Cetina – </w:t>
      </w:r>
      <w:proofErr w:type="spellStart"/>
      <w:r w:rsidRPr="0006570D">
        <w:rPr>
          <w:rFonts w:eastAsia="Calibri"/>
        </w:rPr>
        <w:t>Radmanove</w:t>
      </w:r>
      <w:proofErr w:type="spellEnd"/>
      <w:r w:rsidRPr="0006570D">
        <w:rPr>
          <w:rFonts w:eastAsia="Calibri"/>
        </w:rPr>
        <w:t xml:space="preserve"> mlinice). Uz iznimku C</w:t>
      </w:r>
      <w:r w:rsidRPr="0006570D">
        <w:rPr>
          <w:rFonts w:eastAsia="Calibri"/>
          <w:vertAlign w:val="subscript"/>
        </w:rPr>
        <w:t>10-13</w:t>
      </w:r>
      <w:r w:rsidRPr="0006570D">
        <w:rPr>
          <w:rFonts w:eastAsia="Calibri"/>
        </w:rPr>
        <w:t xml:space="preserve"> </w:t>
      </w:r>
      <w:proofErr w:type="spellStart"/>
      <w:r w:rsidRPr="0006570D">
        <w:rPr>
          <w:rFonts w:eastAsia="Calibri"/>
        </w:rPr>
        <w:t>kloralkana</w:t>
      </w:r>
      <w:proofErr w:type="spellEnd"/>
      <w:r w:rsidRPr="0006570D">
        <w:rPr>
          <w:rFonts w:eastAsia="Calibri"/>
        </w:rPr>
        <w:t xml:space="preserve"> i </w:t>
      </w:r>
      <w:proofErr w:type="spellStart"/>
      <w:r w:rsidRPr="0006570D">
        <w:rPr>
          <w:rFonts w:eastAsia="Calibri"/>
        </w:rPr>
        <w:t>tributilkositrovih</w:t>
      </w:r>
      <w:proofErr w:type="spellEnd"/>
      <w:r w:rsidRPr="0006570D">
        <w:rPr>
          <w:rFonts w:eastAsia="Calibri"/>
        </w:rPr>
        <w:t xml:space="preserve"> spojeva, koji nisu analizirani u uzorcima uzorkovanim u siječnju i travnju, svi pokazatelji kemijskog stanja mjereni su učestalošću od 12 puta godišnje. Za sve je pokazatelje utvrđeno dobro kemijsko stanje, s obzirom na prosječne i/ili maksimalne godišnje koncentracije.</w:t>
      </w:r>
    </w:p>
    <w:p w14:paraId="42F5D1A3" w14:textId="2EACEEB8" w:rsidR="0006570D" w:rsidRDefault="0006570D" w:rsidP="00D55E4A">
      <w:pPr>
        <w:spacing w:after="120"/>
        <w:jc w:val="both"/>
        <w:rPr>
          <w:rFonts w:eastAsia="Calibri"/>
        </w:rPr>
      </w:pPr>
      <w:r w:rsidRPr="0006570D">
        <w:rPr>
          <w:rFonts w:eastAsia="Calibri"/>
        </w:rPr>
        <w:lastRenderedPageBreak/>
        <w:t>Praćenje pokazatelja kemijskog stanja na postajama operativnog monitoringa Jadranskog vodnog područja provedeno je na 9 postaja. Na svim postajama utvrđeno je dobro kemijsko stanje prema prosječnim i/ili maksimalnim godišnjim koncentracijama. Ispitivanja svih pokazatelja predviđenih planom monitoringa nisu realizirana u cijelosti.</w:t>
      </w:r>
    </w:p>
    <w:p w14:paraId="7D55100C" w14:textId="1F8AE08C" w:rsidR="0006570D" w:rsidRPr="002664D6" w:rsidRDefault="0006570D" w:rsidP="00181667">
      <w:pPr>
        <w:pStyle w:val="Odlomakpopisa"/>
        <w:numPr>
          <w:ilvl w:val="3"/>
          <w:numId w:val="9"/>
        </w:numPr>
        <w:spacing w:before="100" w:beforeAutospacing="1" w:after="120"/>
        <w:jc w:val="center"/>
        <w:outlineLvl w:val="3"/>
        <w:rPr>
          <w:rFonts w:eastAsia="Calibri"/>
        </w:rPr>
      </w:pPr>
      <w:r w:rsidRPr="002664D6">
        <w:rPr>
          <w:rFonts w:eastAsia="Calibri"/>
        </w:rPr>
        <w:t>Kakvoća riječnog sedimenta</w:t>
      </w:r>
    </w:p>
    <w:p w14:paraId="43559EF6" w14:textId="77777777" w:rsidR="0006570D" w:rsidRPr="0006570D" w:rsidRDefault="0006570D" w:rsidP="0006570D">
      <w:pPr>
        <w:spacing w:after="120"/>
        <w:jc w:val="both"/>
        <w:rPr>
          <w:rFonts w:eastAsia="Calibri"/>
        </w:rPr>
      </w:pPr>
      <w:r w:rsidRPr="0006570D">
        <w:rPr>
          <w:rFonts w:eastAsia="Calibri"/>
        </w:rPr>
        <w:t xml:space="preserve">U riječnim sedimentima vodnog područja rijeke Dunav na 9 mjernih postaja sadržaji ispitivanih organskih pokazatelja bili su niži od kvantifikacije primijenjenih analitičkih metoda. </w:t>
      </w:r>
    </w:p>
    <w:p w14:paraId="46C00DEC" w14:textId="68D1D7BD" w:rsidR="0006570D" w:rsidRPr="0006570D" w:rsidRDefault="0006570D" w:rsidP="0006570D">
      <w:pPr>
        <w:spacing w:after="120"/>
        <w:jc w:val="both"/>
        <w:rPr>
          <w:rFonts w:eastAsia="Calibri"/>
        </w:rPr>
      </w:pPr>
      <w:r w:rsidRPr="0006570D">
        <w:rPr>
          <w:rFonts w:eastAsia="Calibri"/>
        </w:rPr>
        <w:t xml:space="preserve">Riječni sedimenti vodnog područja Dunav analizirani su na 51 mjernoj postaji operativnog monitoringa. Sadržaj ispitivanih organskih pokazatelja u sedimentima rijeka operativnog monitoringa na svim mjernim postajama bili su niži od granica kvantifikacije primijenjenih analitičkih metoda, osim za pokazatelj </w:t>
      </w:r>
      <w:proofErr w:type="spellStart"/>
      <w:r w:rsidRPr="0006570D">
        <w:rPr>
          <w:rFonts w:eastAsia="Calibri"/>
        </w:rPr>
        <w:t>fluoranten</w:t>
      </w:r>
      <w:proofErr w:type="spellEnd"/>
      <w:r w:rsidRPr="0006570D">
        <w:rPr>
          <w:rFonts w:eastAsia="Calibri"/>
        </w:rPr>
        <w:t xml:space="preserve"> koji je izmjeren na 4 mjerne postaje: Bosut nizvodno od Vinkovaca, kanal Dren kod </w:t>
      </w:r>
      <w:proofErr w:type="spellStart"/>
      <w:r w:rsidRPr="0006570D">
        <w:rPr>
          <w:rFonts w:eastAsia="Calibri"/>
        </w:rPr>
        <w:t>Ivankova</w:t>
      </w:r>
      <w:proofErr w:type="spellEnd"/>
      <w:r w:rsidRPr="0006570D">
        <w:rPr>
          <w:rFonts w:eastAsia="Calibri"/>
        </w:rPr>
        <w:t>, spojni kanal i Slatinska Čađavica, Slatina u rasponu 0,03</w:t>
      </w:r>
      <w:r w:rsidR="00F30326">
        <w:rPr>
          <w:rFonts w:eastAsia="Calibri"/>
        </w:rPr>
        <w:t xml:space="preserve"> – </w:t>
      </w:r>
      <w:r w:rsidRPr="0006570D">
        <w:rPr>
          <w:rFonts w:eastAsia="Calibri"/>
        </w:rPr>
        <w:t>1,467 µg/kg. Najviša koncentracija zabilježena je na mjernoj postaji Bosut, nizvodno od Vinkovaca.</w:t>
      </w:r>
    </w:p>
    <w:p w14:paraId="50E2E64F" w14:textId="77777777" w:rsidR="0006570D" w:rsidRPr="0006570D" w:rsidRDefault="0006570D" w:rsidP="0006570D">
      <w:pPr>
        <w:spacing w:after="120"/>
        <w:jc w:val="both"/>
        <w:rPr>
          <w:rFonts w:eastAsia="Calibri"/>
        </w:rPr>
      </w:pPr>
      <w:r w:rsidRPr="0006570D">
        <w:rPr>
          <w:rFonts w:eastAsia="Calibri"/>
        </w:rPr>
        <w:t>Na 8 mjernih postaja nadzornog monitoringa u riječnim sedimentima jadranskog vodnog područja sadržaji ispitivanih organskih pokazatelja su na svim postajama bili niži od granica kvantifikacije primijenjenih analitičkih metoda.</w:t>
      </w:r>
    </w:p>
    <w:p w14:paraId="2BAA3ACB" w14:textId="77777777" w:rsidR="0006570D" w:rsidRPr="0006570D" w:rsidRDefault="0006570D" w:rsidP="0006570D">
      <w:pPr>
        <w:spacing w:after="120"/>
        <w:jc w:val="both"/>
        <w:rPr>
          <w:rFonts w:eastAsia="Calibri"/>
        </w:rPr>
      </w:pPr>
      <w:r w:rsidRPr="0006570D">
        <w:rPr>
          <w:rFonts w:eastAsia="Calibri"/>
        </w:rPr>
        <w:t xml:space="preserve">U riječnim sedimentima jadranskog vodnog područja na 6 mjernih postaja operativnog monitoringa, na postaji Matica Rastok-izvor Banja sadržaj </w:t>
      </w:r>
      <w:proofErr w:type="spellStart"/>
      <w:r w:rsidRPr="0006570D">
        <w:rPr>
          <w:rFonts w:eastAsia="Calibri"/>
        </w:rPr>
        <w:t>fluorantena</w:t>
      </w:r>
      <w:proofErr w:type="spellEnd"/>
      <w:r w:rsidRPr="0006570D">
        <w:rPr>
          <w:rFonts w:eastAsia="Calibri"/>
        </w:rPr>
        <w:t xml:space="preserve"> iznosio je 0,96 µg/kg.</w:t>
      </w:r>
    </w:p>
    <w:p w14:paraId="3C9E4C45" w14:textId="72491C7D" w:rsidR="0006570D" w:rsidRPr="002664D6" w:rsidRDefault="0006570D" w:rsidP="00181667">
      <w:pPr>
        <w:pStyle w:val="Odlomakpopisa"/>
        <w:numPr>
          <w:ilvl w:val="3"/>
          <w:numId w:val="9"/>
        </w:numPr>
        <w:spacing w:before="100" w:beforeAutospacing="1" w:after="120" w:afterAutospacing="1"/>
        <w:jc w:val="center"/>
        <w:outlineLvl w:val="3"/>
        <w:rPr>
          <w:rFonts w:eastAsia="Calibri"/>
        </w:rPr>
      </w:pPr>
      <w:r w:rsidRPr="002664D6">
        <w:rPr>
          <w:rFonts w:eastAsia="Calibri"/>
          <w:bCs/>
        </w:rPr>
        <w:t>Kemijsko stanje podzemnih voda u Republici Hrvatskoj u 2015. godini</w:t>
      </w:r>
    </w:p>
    <w:p w14:paraId="1FE0DAB2" w14:textId="63684783" w:rsidR="0006570D" w:rsidRPr="0006570D" w:rsidRDefault="0006570D" w:rsidP="00D55E4A">
      <w:pPr>
        <w:autoSpaceDE w:val="0"/>
        <w:autoSpaceDN w:val="0"/>
        <w:adjustRightInd w:val="0"/>
        <w:spacing w:before="120" w:after="120"/>
        <w:jc w:val="both"/>
        <w:rPr>
          <w:rFonts w:eastAsiaTheme="minorHAnsi"/>
          <w:lang w:eastAsia="en-US"/>
        </w:rPr>
      </w:pPr>
      <w:r w:rsidRPr="0006570D">
        <w:rPr>
          <w:rFonts w:eastAsiaTheme="minorHAnsi"/>
          <w:lang w:eastAsia="en-US"/>
        </w:rPr>
        <w:t xml:space="preserve">U Hrvatskim vodama je izrađen Plan praćenja stanja voda u Republici Hrvatskoj u 2015. godini, kojim je bilo predviđeno ispitivanje kakvoće voda u kaptiranim izvorima, </w:t>
      </w:r>
      <w:proofErr w:type="spellStart"/>
      <w:r w:rsidRPr="0006570D">
        <w:rPr>
          <w:rFonts w:eastAsiaTheme="minorHAnsi"/>
          <w:lang w:eastAsia="en-US"/>
        </w:rPr>
        <w:t>piezometrima</w:t>
      </w:r>
      <w:proofErr w:type="spellEnd"/>
      <w:r w:rsidRPr="0006570D">
        <w:rPr>
          <w:rFonts w:eastAsiaTheme="minorHAnsi"/>
          <w:lang w:eastAsia="en-US"/>
        </w:rPr>
        <w:t xml:space="preserve"> i zdencima </w:t>
      </w:r>
      <w:proofErr w:type="spellStart"/>
      <w:r w:rsidRPr="0006570D">
        <w:rPr>
          <w:rFonts w:eastAsiaTheme="minorHAnsi"/>
          <w:lang w:eastAsia="en-US"/>
        </w:rPr>
        <w:t>priljevnih</w:t>
      </w:r>
      <w:proofErr w:type="spellEnd"/>
      <w:r w:rsidRPr="0006570D">
        <w:rPr>
          <w:rFonts w:eastAsiaTheme="minorHAnsi"/>
          <w:lang w:eastAsia="en-US"/>
        </w:rPr>
        <w:t xml:space="preserve"> područja vodocrpilišta vodnog područja rijeke Dunav u ukupno </w:t>
      </w:r>
      <w:r w:rsidR="00A628B3">
        <w:rPr>
          <w:rFonts w:eastAsiaTheme="minorHAnsi"/>
          <w:lang w:eastAsia="en-US"/>
        </w:rPr>
        <w:t>18</w:t>
      </w:r>
      <w:r w:rsidRPr="0006570D">
        <w:rPr>
          <w:rFonts w:eastAsiaTheme="minorHAnsi"/>
          <w:lang w:eastAsia="en-US"/>
        </w:rPr>
        <w:t xml:space="preserve"> grupiranih tijela podzemne vode (GTPV) – 13 u </w:t>
      </w:r>
      <w:proofErr w:type="spellStart"/>
      <w:r w:rsidRPr="0006570D">
        <w:rPr>
          <w:rFonts w:eastAsiaTheme="minorHAnsi"/>
          <w:lang w:eastAsia="en-US"/>
        </w:rPr>
        <w:t>podslivu</w:t>
      </w:r>
      <w:proofErr w:type="spellEnd"/>
      <w:r w:rsidRPr="0006570D">
        <w:rPr>
          <w:rFonts w:eastAsiaTheme="minorHAnsi"/>
          <w:lang w:eastAsia="en-US"/>
        </w:rPr>
        <w:t xml:space="preserve"> Sav</w:t>
      </w:r>
      <w:r w:rsidR="006D4519">
        <w:rPr>
          <w:rFonts w:eastAsiaTheme="minorHAnsi"/>
          <w:lang w:eastAsia="en-US"/>
        </w:rPr>
        <w:t xml:space="preserve">e i 5 u </w:t>
      </w:r>
      <w:proofErr w:type="spellStart"/>
      <w:r w:rsidR="006D4519">
        <w:rPr>
          <w:rFonts w:eastAsiaTheme="minorHAnsi"/>
          <w:lang w:eastAsia="en-US"/>
        </w:rPr>
        <w:t>podslivu</w:t>
      </w:r>
      <w:proofErr w:type="spellEnd"/>
      <w:r w:rsidR="006D4519">
        <w:rPr>
          <w:rFonts w:eastAsiaTheme="minorHAnsi"/>
          <w:lang w:eastAsia="en-US"/>
        </w:rPr>
        <w:t xml:space="preserve"> Drave i Dunava</w:t>
      </w:r>
      <w:r w:rsidRPr="0006570D">
        <w:rPr>
          <w:rFonts w:eastAsiaTheme="minorHAnsi"/>
          <w:lang w:eastAsia="en-US"/>
        </w:rPr>
        <w:t xml:space="preserve"> te kaptiranih izvora i zdenaca u Jadranskom vodnom području u </w:t>
      </w:r>
      <w:r w:rsidR="00A628B3">
        <w:rPr>
          <w:rFonts w:eastAsiaTheme="minorHAnsi"/>
          <w:lang w:eastAsia="en-US"/>
        </w:rPr>
        <w:t>10</w:t>
      </w:r>
      <w:r w:rsidRPr="0006570D">
        <w:rPr>
          <w:rFonts w:eastAsiaTheme="minorHAnsi"/>
          <w:lang w:eastAsia="en-US"/>
        </w:rPr>
        <w:t xml:space="preserve"> GTPV. Monitoring nije proveden u po dva vodna tijela podzemne vode u Dunavskom i Jadranskom vodnom području.</w:t>
      </w:r>
    </w:p>
    <w:p w14:paraId="0050D2EB" w14:textId="47A621F3" w:rsidR="0006570D" w:rsidRPr="0006570D" w:rsidRDefault="0006570D" w:rsidP="00D55E4A">
      <w:pPr>
        <w:autoSpaceDE w:val="0"/>
        <w:autoSpaceDN w:val="0"/>
        <w:adjustRightInd w:val="0"/>
        <w:spacing w:before="120" w:after="120"/>
        <w:jc w:val="both"/>
        <w:rPr>
          <w:rFonts w:eastAsiaTheme="minorHAnsi"/>
          <w:lang w:eastAsia="en-US"/>
        </w:rPr>
      </w:pPr>
      <w:r w:rsidRPr="0006570D">
        <w:rPr>
          <w:rFonts w:eastAsiaTheme="minorHAnsi"/>
          <w:lang w:eastAsia="en-US"/>
        </w:rPr>
        <w:t xml:space="preserve">Za ocjenu kemijskog stanja tijela podzemne vode koriste se pokazatelji iz Priloga 6. </w:t>
      </w:r>
      <w:r w:rsidRPr="00A628B3">
        <w:rPr>
          <w:rFonts w:eastAsiaTheme="minorHAnsi"/>
          <w:lang w:eastAsia="en-US"/>
        </w:rPr>
        <w:t>Uredbe</w:t>
      </w:r>
      <w:r w:rsidR="00A628B3">
        <w:rPr>
          <w:rFonts w:eastAsiaTheme="minorHAnsi"/>
          <w:lang w:eastAsia="en-US"/>
        </w:rPr>
        <w:t xml:space="preserve"> </w:t>
      </w:r>
      <w:r w:rsidR="00A628B3" w:rsidRPr="00A628B3">
        <w:rPr>
          <w:rFonts w:eastAsiaTheme="minorHAnsi"/>
          <w:lang w:eastAsia="en-US"/>
        </w:rPr>
        <w:t>o standardu kakvoće voda</w:t>
      </w:r>
      <w:r w:rsidRPr="00A628B3">
        <w:rPr>
          <w:rFonts w:eastAsiaTheme="minorHAnsi"/>
          <w:lang w:eastAsia="en-US"/>
        </w:rPr>
        <w:t xml:space="preserve"> </w:t>
      </w:r>
      <w:r w:rsidRPr="0006570D">
        <w:rPr>
          <w:rFonts w:eastAsiaTheme="minorHAnsi"/>
          <w:lang w:eastAsia="en-US"/>
        </w:rPr>
        <w:t>koji se prate u okviru nadzornog monitoringa i to: nitrati i aktivne tvari u pesticidima, pojedinačne i ukupne, t</w:t>
      </w:r>
      <w:r w:rsidR="002A11B4">
        <w:rPr>
          <w:rFonts w:eastAsiaTheme="minorHAnsi"/>
          <w:lang w:eastAsia="en-US"/>
        </w:rPr>
        <w:t>e specifične onečišćujuće tvari</w:t>
      </w:r>
      <w:r w:rsidRPr="0006570D">
        <w:rPr>
          <w:rFonts w:eastAsiaTheme="minorHAnsi"/>
          <w:lang w:eastAsia="en-US"/>
        </w:rPr>
        <w:t>. Kemijsko stanje tijela podzemnih voda svrstava se u dvije kategorije: dobro i loše.</w:t>
      </w:r>
    </w:p>
    <w:p w14:paraId="2DE7BC01" w14:textId="2604AFB0" w:rsidR="0006570D" w:rsidRPr="0006570D" w:rsidRDefault="0006570D" w:rsidP="00D55E4A">
      <w:pPr>
        <w:autoSpaceDE w:val="0"/>
        <w:autoSpaceDN w:val="0"/>
        <w:adjustRightInd w:val="0"/>
        <w:spacing w:before="120" w:after="120"/>
        <w:jc w:val="both"/>
        <w:rPr>
          <w:rFonts w:eastAsiaTheme="minorHAnsi"/>
          <w:lang w:eastAsia="en-US"/>
        </w:rPr>
      </w:pPr>
      <w:r w:rsidRPr="0006570D">
        <w:rPr>
          <w:rFonts w:eastAsiaTheme="minorHAnsi"/>
          <w:lang w:eastAsia="en-US"/>
        </w:rPr>
        <w:t xml:space="preserve">U 2015. godini utvrđeno je </w:t>
      </w:r>
      <w:r w:rsidRPr="00215CD0">
        <w:rPr>
          <w:rFonts w:eastAsiaTheme="minorHAnsi"/>
          <w:bCs/>
          <w:lang w:eastAsia="en-US"/>
        </w:rPr>
        <w:t>dobro</w:t>
      </w:r>
      <w:r w:rsidRPr="0006570D">
        <w:rPr>
          <w:rFonts w:eastAsiaTheme="minorHAnsi"/>
          <w:b/>
          <w:bCs/>
          <w:lang w:eastAsia="en-US"/>
        </w:rPr>
        <w:t xml:space="preserve"> </w:t>
      </w:r>
      <w:r w:rsidRPr="0006570D">
        <w:rPr>
          <w:rFonts w:eastAsiaTheme="minorHAnsi"/>
          <w:lang w:eastAsia="en-US"/>
        </w:rPr>
        <w:t xml:space="preserve">kemijsko stanje s obzirom na aktivne tvari u </w:t>
      </w:r>
      <w:r w:rsidRPr="00215CD0">
        <w:rPr>
          <w:rFonts w:eastAsiaTheme="minorHAnsi"/>
          <w:bCs/>
          <w:lang w:eastAsia="en-US"/>
        </w:rPr>
        <w:t>pesticidima</w:t>
      </w:r>
      <w:r w:rsidRPr="0006570D">
        <w:rPr>
          <w:rFonts w:eastAsiaTheme="minorHAnsi"/>
          <w:b/>
          <w:bCs/>
          <w:lang w:eastAsia="en-US"/>
        </w:rPr>
        <w:t xml:space="preserve"> </w:t>
      </w:r>
      <w:r w:rsidRPr="0006570D">
        <w:rPr>
          <w:rFonts w:eastAsiaTheme="minorHAnsi"/>
          <w:lang w:eastAsia="en-US"/>
        </w:rPr>
        <w:t xml:space="preserve">na svim mjernim postajama GTPV </w:t>
      </w:r>
      <w:r w:rsidRPr="00215CD0">
        <w:rPr>
          <w:rFonts w:eastAsiaTheme="minorHAnsi"/>
          <w:bCs/>
          <w:lang w:eastAsia="en-US"/>
        </w:rPr>
        <w:t>Jadranskog i Dunavskog vodnog područja</w:t>
      </w:r>
      <w:r w:rsidRPr="0006570D">
        <w:rPr>
          <w:rFonts w:eastAsiaTheme="minorHAnsi"/>
          <w:lang w:eastAsia="en-US"/>
        </w:rPr>
        <w:t xml:space="preserve">, osim na području </w:t>
      </w:r>
      <w:proofErr w:type="spellStart"/>
      <w:r w:rsidRPr="0049713B">
        <w:rPr>
          <w:rFonts w:eastAsiaTheme="minorHAnsi"/>
          <w:bCs/>
          <w:lang w:eastAsia="en-US"/>
        </w:rPr>
        <w:t>podsliva</w:t>
      </w:r>
      <w:proofErr w:type="spellEnd"/>
      <w:r w:rsidRPr="0049713B">
        <w:rPr>
          <w:rFonts w:eastAsiaTheme="minorHAnsi"/>
          <w:bCs/>
          <w:lang w:eastAsia="en-US"/>
        </w:rPr>
        <w:t xml:space="preserve"> rijeke Save</w:t>
      </w:r>
      <w:r w:rsidRPr="0006570D">
        <w:rPr>
          <w:rFonts w:eastAsiaTheme="minorHAnsi"/>
          <w:lang w:eastAsia="en-US"/>
        </w:rPr>
        <w:t>, GTPV Zagreb,</w:t>
      </w:r>
      <w:r w:rsidR="00F30326">
        <w:rPr>
          <w:rFonts w:eastAsiaTheme="minorHAnsi"/>
          <w:lang w:eastAsia="en-US"/>
        </w:rPr>
        <w:t xml:space="preserve"> gdje je</w:t>
      </w:r>
      <w:r w:rsidRPr="0006570D">
        <w:rPr>
          <w:rFonts w:eastAsiaTheme="minorHAnsi"/>
          <w:lang w:eastAsia="en-US"/>
        </w:rPr>
        <w:t xml:space="preserve"> na mjernoj postaji vodocrpilišta Mala Mlaka (Mm</w:t>
      </w:r>
      <w:r w:rsidRPr="0006570D">
        <w:rPr>
          <w:rFonts w:ascii="Cambria Math" w:eastAsiaTheme="minorHAnsi" w:hAnsi="Cambria Math" w:cs="Cambria Math"/>
          <w:lang w:eastAsia="en-US"/>
        </w:rPr>
        <w:t>‐</w:t>
      </w:r>
      <w:r w:rsidRPr="0006570D">
        <w:rPr>
          <w:rFonts w:eastAsiaTheme="minorHAnsi"/>
          <w:lang w:eastAsia="en-US"/>
        </w:rPr>
        <w:t xml:space="preserve">320) utvrđeno loše stanje s obzirom na </w:t>
      </w:r>
      <w:proofErr w:type="spellStart"/>
      <w:r w:rsidRPr="0006570D">
        <w:rPr>
          <w:rFonts w:eastAsiaTheme="minorHAnsi"/>
          <w:lang w:eastAsia="en-US"/>
        </w:rPr>
        <w:t>atrazin</w:t>
      </w:r>
      <w:proofErr w:type="spellEnd"/>
      <w:r w:rsidRPr="0006570D">
        <w:rPr>
          <w:rFonts w:eastAsiaTheme="minorHAnsi"/>
          <w:lang w:eastAsia="en-US"/>
        </w:rPr>
        <w:t xml:space="preserve">. </w:t>
      </w:r>
    </w:p>
    <w:p w14:paraId="3CDD8E7E" w14:textId="3264043B" w:rsidR="0006570D" w:rsidRPr="00D55E4A" w:rsidRDefault="0006570D" w:rsidP="00D55E4A">
      <w:pPr>
        <w:autoSpaceDE w:val="0"/>
        <w:autoSpaceDN w:val="0"/>
        <w:adjustRightInd w:val="0"/>
        <w:spacing w:before="100" w:beforeAutospacing="1" w:after="120"/>
        <w:jc w:val="both"/>
        <w:rPr>
          <w:rFonts w:eastAsiaTheme="minorHAnsi"/>
          <w:i/>
          <w:lang w:eastAsia="en-US"/>
        </w:rPr>
      </w:pPr>
      <w:r w:rsidRPr="00D55E4A">
        <w:rPr>
          <w:rFonts w:eastAsiaTheme="minorHAnsi"/>
          <w:i/>
          <w:lang w:eastAsia="en-US"/>
        </w:rPr>
        <w:t>Stanje prema umjetnim sintetičkim tvarima</w:t>
      </w:r>
    </w:p>
    <w:p w14:paraId="1AB0494C" w14:textId="241899C7" w:rsidR="0006570D" w:rsidRPr="0006570D" w:rsidRDefault="0006570D" w:rsidP="0006570D">
      <w:pPr>
        <w:autoSpaceDE w:val="0"/>
        <w:autoSpaceDN w:val="0"/>
        <w:adjustRightInd w:val="0"/>
        <w:jc w:val="both"/>
        <w:rPr>
          <w:rFonts w:eastAsiaTheme="minorHAnsi"/>
          <w:lang w:eastAsia="en-US"/>
        </w:rPr>
      </w:pPr>
      <w:r w:rsidRPr="0006570D">
        <w:rPr>
          <w:rFonts w:eastAsiaTheme="minorHAnsi"/>
          <w:lang w:eastAsia="en-US"/>
        </w:rPr>
        <w:t xml:space="preserve">U području </w:t>
      </w:r>
      <w:proofErr w:type="spellStart"/>
      <w:r w:rsidRPr="00215CD0">
        <w:rPr>
          <w:rFonts w:eastAsiaTheme="minorHAnsi"/>
          <w:bCs/>
          <w:lang w:eastAsia="en-US"/>
        </w:rPr>
        <w:t>podsliva</w:t>
      </w:r>
      <w:proofErr w:type="spellEnd"/>
      <w:r w:rsidRPr="00215CD0">
        <w:rPr>
          <w:rFonts w:eastAsiaTheme="minorHAnsi"/>
          <w:bCs/>
          <w:lang w:eastAsia="en-US"/>
        </w:rPr>
        <w:t xml:space="preserve"> rijeke Save</w:t>
      </w:r>
      <w:r w:rsidRPr="0006570D">
        <w:rPr>
          <w:rFonts w:eastAsiaTheme="minorHAnsi"/>
          <w:b/>
          <w:bCs/>
          <w:lang w:eastAsia="en-US"/>
        </w:rPr>
        <w:t xml:space="preserve"> </w:t>
      </w:r>
      <w:r w:rsidRPr="0006570D">
        <w:rPr>
          <w:rFonts w:eastAsiaTheme="minorHAnsi"/>
          <w:lang w:eastAsia="en-US"/>
        </w:rPr>
        <w:t xml:space="preserve">u 2015. godini na tri mjerne postaje GTPV Zagreb, u </w:t>
      </w:r>
      <w:proofErr w:type="spellStart"/>
      <w:r w:rsidRPr="0006570D">
        <w:rPr>
          <w:rFonts w:eastAsiaTheme="minorHAnsi"/>
          <w:lang w:eastAsia="en-US"/>
        </w:rPr>
        <w:t>priljevnom</w:t>
      </w:r>
      <w:proofErr w:type="spellEnd"/>
      <w:r w:rsidRPr="0006570D">
        <w:rPr>
          <w:rFonts w:eastAsiaTheme="minorHAnsi"/>
          <w:lang w:eastAsia="en-US"/>
        </w:rPr>
        <w:t xml:space="preserve"> području vodocrpilišta </w:t>
      </w:r>
      <w:proofErr w:type="spellStart"/>
      <w:r w:rsidRPr="0006570D">
        <w:rPr>
          <w:rFonts w:eastAsiaTheme="minorHAnsi"/>
          <w:lang w:eastAsia="en-US"/>
        </w:rPr>
        <w:t>Sašnjak</w:t>
      </w:r>
      <w:proofErr w:type="spellEnd"/>
      <w:r w:rsidRPr="0006570D">
        <w:rPr>
          <w:rFonts w:ascii="Cambria Math" w:eastAsiaTheme="minorHAnsi" w:hAnsi="Cambria Math" w:cs="Cambria Math"/>
          <w:lang w:eastAsia="en-US"/>
        </w:rPr>
        <w:t>‐</w:t>
      </w:r>
      <w:r w:rsidRPr="0006570D">
        <w:rPr>
          <w:rFonts w:eastAsiaTheme="minorHAnsi"/>
          <w:lang w:eastAsia="en-US"/>
        </w:rPr>
        <w:t xml:space="preserve">Žitnjak utvrđeno je </w:t>
      </w:r>
      <w:r w:rsidRPr="00215CD0">
        <w:rPr>
          <w:rFonts w:eastAsiaTheme="minorHAnsi"/>
          <w:bCs/>
          <w:lang w:eastAsia="en-US"/>
        </w:rPr>
        <w:t>loše stanje</w:t>
      </w:r>
      <w:r w:rsidRPr="0006570D">
        <w:rPr>
          <w:rFonts w:eastAsiaTheme="minorHAnsi"/>
          <w:b/>
          <w:bCs/>
          <w:lang w:eastAsia="en-US"/>
        </w:rPr>
        <w:t xml:space="preserve"> </w:t>
      </w:r>
      <w:r w:rsidRPr="0006570D">
        <w:rPr>
          <w:rFonts w:eastAsiaTheme="minorHAnsi"/>
          <w:lang w:eastAsia="en-US"/>
        </w:rPr>
        <w:t xml:space="preserve">s obzirom na </w:t>
      </w:r>
      <w:r w:rsidRPr="00215CD0">
        <w:rPr>
          <w:rFonts w:eastAsiaTheme="minorHAnsi"/>
          <w:bCs/>
          <w:lang w:eastAsia="en-US"/>
        </w:rPr>
        <w:t xml:space="preserve">sumu </w:t>
      </w:r>
      <w:proofErr w:type="spellStart"/>
      <w:r w:rsidRPr="00215CD0">
        <w:rPr>
          <w:rFonts w:eastAsiaTheme="minorHAnsi"/>
          <w:bCs/>
          <w:lang w:eastAsia="en-US"/>
        </w:rPr>
        <w:t>trikloretena</w:t>
      </w:r>
      <w:proofErr w:type="spellEnd"/>
      <w:r w:rsidRPr="0006570D">
        <w:rPr>
          <w:rFonts w:eastAsiaTheme="minorHAnsi"/>
          <w:b/>
          <w:bCs/>
          <w:lang w:eastAsia="en-US"/>
        </w:rPr>
        <w:t xml:space="preserve"> </w:t>
      </w:r>
      <w:r w:rsidRPr="0049713B">
        <w:rPr>
          <w:rFonts w:eastAsiaTheme="minorHAnsi"/>
          <w:bCs/>
          <w:lang w:eastAsia="en-US"/>
        </w:rPr>
        <w:t xml:space="preserve">i </w:t>
      </w:r>
      <w:proofErr w:type="spellStart"/>
      <w:r w:rsidRPr="0049713B">
        <w:rPr>
          <w:rFonts w:eastAsiaTheme="minorHAnsi"/>
          <w:bCs/>
          <w:lang w:eastAsia="en-US"/>
        </w:rPr>
        <w:t>tetrakloretena</w:t>
      </w:r>
      <w:proofErr w:type="spellEnd"/>
      <w:r w:rsidRPr="0006570D">
        <w:rPr>
          <w:rFonts w:eastAsiaTheme="minorHAnsi"/>
          <w:lang w:eastAsia="en-US"/>
        </w:rPr>
        <w:t>; na mjernoj postaji V</w:t>
      </w:r>
      <w:r w:rsidRPr="0006570D">
        <w:rPr>
          <w:rFonts w:ascii="Cambria Math" w:eastAsiaTheme="minorHAnsi" w:hAnsi="Cambria Math" w:cs="Cambria Math"/>
          <w:lang w:eastAsia="en-US"/>
        </w:rPr>
        <w:t>‐</w:t>
      </w:r>
      <w:r w:rsidRPr="0006570D">
        <w:rPr>
          <w:rFonts w:eastAsiaTheme="minorHAnsi"/>
          <w:lang w:eastAsia="en-US"/>
        </w:rPr>
        <w:t xml:space="preserve">25/2 zabilježena je srednja godišnja koncentracija od 50,54 </w:t>
      </w:r>
      <w:proofErr w:type="spellStart"/>
      <w:r w:rsidRPr="0006570D">
        <w:rPr>
          <w:rFonts w:eastAsiaTheme="minorHAnsi"/>
          <w:lang w:eastAsia="en-US"/>
        </w:rPr>
        <w:t>μg</w:t>
      </w:r>
      <w:proofErr w:type="spellEnd"/>
      <w:r w:rsidRPr="0006570D">
        <w:rPr>
          <w:rFonts w:eastAsiaTheme="minorHAnsi"/>
          <w:lang w:eastAsia="en-US"/>
        </w:rPr>
        <w:t>/</w:t>
      </w:r>
      <w:r w:rsidR="00321B71">
        <w:rPr>
          <w:rFonts w:eastAsiaTheme="minorHAnsi"/>
          <w:lang w:eastAsia="en-US"/>
        </w:rPr>
        <w:t>L</w:t>
      </w:r>
      <w:r w:rsidRPr="0006570D">
        <w:rPr>
          <w:rFonts w:eastAsiaTheme="minorHAnsi"/>
          <w:lang w:eastAsia="en-US"/>
        </w:rPr>
        <w:t>, a na postaji Ž</w:t>
      </w:r>
      <w:r w:rsidRPr="0006570D">
        <w:rPr>
          <w:rFonts w:ascii="Cambria Math" w:eastAsiaTheme="minorHAnsi" w:hAnsi="Cambria Math" w:cs="Cambria Math"/>
          <w:lang w:eastAsia="en-US"/>
        </w:rPr>
        <w:t>‐</w:t>
      </w:r>
      <w:r w:rsidRPr="0006570D">
        <w:rPr>
          <w:rFonts w:eastAsiaTheme="minorHAnsi"/>
          <w:lang w:eastAsia="en-US"/>
        </w:rPr>
        <w:t xml:space="preserve">8 od 10,36 </w:t>
      </w:r>
      <w:proofErr w:type="spellStart"/>
      <w:r w:rsidRPr="0006570D">
        <w:rPr>
          <w:rFonts w:eastAsiaTheme="minorHAnsi"/>
          <w:lang w:eastAsia="en-US"/>
        </w:rPr>
        <w:t>μg</w:t>
      </w:r>
      <w:proofErr w:type="spellEnd"/>
      <w:r w:rsidRPr="0006570D">
        <w:rPr>
          <w:rFonts w:eastAsiaTheme="minorHAnsi"/>
          <w:lang w:eastAsia="en-US"/>
        </w:rPr>
        <w:t>/</w:t>
      </w:r>
      <w:r w:rsidR="00321B71">
        <w:rPr>
          <w:rFonts w:eastAsiaTheme="minorHAnsi"/>
          <w:lang w:eastAsia="en-US"/>
        </w:rPr>
        <w:t>L</w:t>
      </w:r>
      <w:r w:rsidRPr="0006570D">
        <w:rPr>
          <w:rFonts w:eastAsiaTheme="minorHAnsi"/>
          <w:lang w:eastAsia="en-US"/>
        </w:rPr>
        <w:t xml:space="preserve">, te na mjernoj postaji </w:t>
      </w:r>
      <w:proofErr w:type="spellStart"/>
      <w:r w:rsidRPr="0006570D">
        <w:rPr>
          <w:rFonts w:eastAsiaTheme="minorHAnsi"/>
          <w:lang w:eastAsia="en-US"/>
        </w:rPr>
        <w:t>Črnkovec</w:t>
      </w:r>
      <w:proofErr w:type="spellEnd"/>
      <w:r w:rsidRPr="0006570D">
        <w:rPr>
          <w:rFonts w:eastAsiaTheme="minorHAnsi"/>
          <w:lang w:eastAsia="en-US"/>
        </w:rPr>
        <w:t xml:space="preserve"> D</w:t>
      </w:r>
      <w:r w:rsidRPr="0006570D">
        <w:rPr>
          <w:rFonts w:ascii="Cambria Math" w:eastAsiaTheme="minorHAnsi" w:hAnsi="Cambria Math" w:cs="Cambria Math"/>
          <w:lang w:eastAsia="en-US"/>
        </w:rPr>
        <w:t>‐</w:t>
      </w:r>
      <w:r w:rsidR="00A628B3">
        <w:rPr>
          <w:rFonts w:eastAsiaTheme="minorHAnsi"/>
          <w:lang w:eastAsia="en-US"/>
        </w:rPr>
        <w:t xml:space="preserve">1 21,04 </w:t>
      </w:r>
      <w:proofErr w:type="spellStart"/>
      <w:r w:rsidR="00A628B3">
        <w:rPr>
          <w:rFonts w:eastAsiaTheme="minorHAnsi"/>
          <w:lang w:eastAsia="en-US"/>
        </w:rPr>
        <w:t>μg</w:t>
      </w:r>
      <w:proofErr w:type="spellEnd"/>
      <w:r w:rsidR="00A628B3">
        <w:rPr>
          <w:rFonts w:eastAsiaTheme="minorHAnsi"/>
          <w:lang w:eastAsia="en-US"/>
        </w:rPr>
        <w:t>/</w:t>
      </w:r>
      <w:r w:rsidR="00321B71">
        <w:rPr>
          <w:rFonts w:eastAsiaTheme="minorHAnsi"/>
          <w:lang w:eastAsia="en-US"/>
        </w:rPr>
        <w:t>L</w:t>
      </w:r>
      <w:r w:rsidRPr="0006570D">
        <w:rPr>
          <w:rFonts w:eastAsiaTheme="minorHAnsi"/>
          <w:lang w:eastAsia="en-US"/>
        </w:rPr>
        <w:t xml:space="preserve">. Na svim ostalim mjernim postajama područja </w:t>
      </w:r>
      <w:proofErr w:type="spellStart"/>
      <w:r w:rsidRPr="00215CD0">
        <w:rPr>
          <w:rFonts w:eastAsiaTheme="minorHAnsi"/>
          <w:bCs/>
          <w:lang w:eastAsia="en-US"/>
        </w:rPr>
        <w:t>podsliva</w:t>
      </w:r>
      <w:proofErr w:type="spellEnd"/>
      <w:r w:rsidRPr="00215CD0">
        <w:rPr>
          <w:rFonts w:eastAsiaTheme="minorHAnsi"/>
          <w:bCs/>
          <w:lang w:eastAsia="en-US"/>
        </w:rPr>
        <w:t xml:space="preserve"> rijeke Save</w:t>
      </w:r>
      <w:r w:rsidRPr="0006570D">
        <w:rPr>
          <w:rFonts w:eastAsiaTheme="minorHAnsi"/>
          <w:lang w:eastAsia="en-US"/>
        </w:rPr>
        <w:t xml:space="preserve">, te svim mjernim postajama područja </w:t>
      </w:r>
      <w:proofErr w:type="spellStart"/>
      <w:r w:rsidRPr="00215CD0">
        <w:rPr>
          <w:rFonts w:eastAsiaTheme="minorHAnsi"/>
          <w:bCs/>
          <w:lang w:eastAsia="en-US"/>
        </w:rPr>
        <w:t>podsliva</w:t>
      </w:r>
      <w:proofErr w:type="spellEnd"/>
      <w:r w:rsidRPr="00215CD0">
        <w:rPr>
          <w:rFonts w:eastAsiaTheme="minorHAnsi"/>
          <w:bCs/>
          <w:lang w:eastAsia="en-US"/>
        </w:rPr>
        <w:t xml:space="preserve"> rijeka Drave i Dunava </w:t>
      </w:r>
      <w:r w:rsidRPr="00215CD0">
        <w:rPr>
          <w:rFonts w:eastAsiaTheme="minorHAnsi"/>
          <w:lang w:eastAsia="en-US"/>
        </w:rPr>
        <w:t xml:space="preserve">i </w:t>
      </w:r>
      <w:r w:rsidRPr="00215CD0">
        <w:rPr>
          <w:rFonts w:eastAsiaTheme="minorHAnsi"/>
          <w:bCs/>
          <w:lang w:eastAsia="en-US"/>
        </w:rPr>
        <w:t xml:space="preserve">Jadranskog vodnog područja </w:t>
      </w:r>
      <w:r w:rsidRPr="0006570D">
        <w:rPr>
          <w:rFonts w:eastAsiaTheme="minorHAnsi"/>
          <w:lang w:eastAsia="en-US"/>
        </w:rPr>
        <w:t xml:space="preserve">za sumu </w:t>
      </w:r>
      <w:proofErr w:type="spellStart"/>
      <w:r w:rsidRPr="0006570D">
        <w:rPr>
          <w:rFonts w:eastAsiaTheme="minorHAnsi"/>
          <w:lang w:eastAsia="en-US"/>
        </w:rPr>
        <w:t>trikloretena</w:t>
      </w:r>
      <w:proofErr w:type="spellEnd"/>
      <w:r w:rsidRPr="0006570D">
        <w:rPr>
          <w:rFonts w:eastAsiaTheme="minorHAnsi"/>
          <w:lang w:eastAsia="en-US"/>
        </w:rPr>
        <w:t xml:space="preserve"> i </w:t>
      </w:r>
      <w:proofErr w:type="spellStart"/>
      <w:r w:rsidRPr="0006570D">
        <w:rPr>
          <w:rFonts w:eastAsiaTheme="minorHAnsi"/>
          <w:lang w:eastAsia="en-US"/>
        </w:rPr>
        <w:t>tetrakloretena</w:t>
      </w:r>
      <w:proofErr w:type="spellEnd"/>
      <w:r w:rsidRPr="0006570D">
        <w:rPr>
          <w:rFonts w:eastAsiaTheme="minorHAnsi"/>
          <w:lang w:eastAsia="en-US"/>
        </w:rPr>
        <w:t xml:space="preserve"> standard kakvoće je zadovoljen, te je utvrđeno </w:t>
      </w:r>
      <w:r w:rsidRPr="00215CD0">
        <w:rPr>
          <w:rFonts w:eastAsiaTheme="minorHAnsi"/>
          <w:bCs/>
          <w:lang w:eastAsia="en-US"/>
        </w:rPr>
        <w:t>dobro kemijsko stanje</w:t>
      </w:r>
      <w:r w:rsidRPr="0006570D">
        <w:rPr>
          <w:rFonts w:eastAsiaTheme="minorHAnsi"/>
          <w:lang w:eastAsia="en-US"/>
        </w:rPr>
        <w:t>.</w:t>
      </w:r>
    </w:p>
    <w:p w14:paraId="4DB1B54F" w14:textId="13D12AB0" w:rsidR="0006570D" w:rsidRPr="00D55E4A" w:rsidRDefault="0006570D" w:rsidP="00D55E4A">
      <w:pPr>
        <w:autoSpaceDE w:val="0"/>
        <w:autoSpaceDN w:val="0"/>
        <w:adjustRightInd w:val="0"/>
        <w:spacing w:before="100" w:beforeAutospacing="1" w:after="120"/>
        <w:jc w:val="both"/>
        <w:rPr>
          <w:bCs/>
          <w:i/>
        </w:rPr>
      </w:pPr>
      <w:r w:rsidRPr="00D55E4A">
        <w:rPr>
          <w:bCs/>
          <w:i/>
        </w:rPr>
        <w:t xml:space="preserve">Trendovi promjene koncentracija onečišćujućih tvari (pesticida i </w:t>
      </w:r>
      <w:proofErr w:type="spellStart"/>
      <w:r w:rsidRPr="00D55E4A">
        <w:rPr>
          <w:bCs/>
          <w:i/>
        </w:rPr>
        <w:t>lakohlapivih</w:t>
      </w:r>
      <w:proofErr w:type="spellEnd"/>
      <w:r w:rsidRPr="00D55E4A">
        <w:rPr>
          <w:bCs/>
          <w:i/>
        </w:rPr>
        <w:t xml:space="preserve"> ugljikovodika) u podzemnim vodama za razdoblje 2007. – 2015. godina</w:t>
      </w:r>
    </w:p>
    <w:p w14:paraId="358578A8" w14:textId="52A0BF71" w:rsidR="0006570D" w:rsidRPr="0006570D" w:rsidRDefault="0006570D" w:rsidP="00D55E4A">
      <w:pPr>
        <w:autoSpaceDE w:val="0"/>
        <w:autoSpaceDN w:val="0"/>
        <w:adjustRightInd w:val="0"/>
        <w:spacing w:before="120" w:after="120"/>
        <w:jc w:val="both"/>
        <w:rPr>
          <w:bCs/>
        </w:rPr>
      </w:pPr>
      <w:r w:rsidRPr="0006570D">
        <w:rPr>
          <w:bCs/>
        </w:rPr>
        <w:lastRenderedPageBreak/>
        <w:t xml:space="preserve">U </w:t>
      </w:r>
      <w:r w:rsidRPr="00215CD0">
        <w:rPr>
          <w:bCs/>
        </w:rPr>
        <w:t xml:space="preserve">području </w:t>
      </w:r>
      <w:proofErr w:type="spellStart"/>
      <w:r w:rsidRPr="00215CD0">
        <w:rPr>
          <w:bCs/>
        </w:rPr>
        <w:t>podsliva</w:t>
      </w:r>
      <w:proofErr w:type="spellEnd"/>
      <w:r w:rsidRPr="00215CD0">
        <w:rPr>
          <w:bCs/>
        </w:rPr>
        <w:t xml:space="preserve"> rijeke Save</w:t>
      </w:r>
      <w:r w:rsidRPr="0006570D">
        <w:rPr>
          <w:bCs/>
        </w:rPr>
        <w:t>, u GTPV Zagreb na vodocrpilištu Mala Mlaka i Velika Gorica, na mjernoj postaji P</w:t>
      </w:r>
      <w:r w:rsidRPr="0006570D">
        <w:rPr>
          <w:rFonts w:ascii="Cambria Math" w:hAnsi="Cambria Math" w:cs="Cambria Math"/>
          <w:bCs/>
        </w:rPr>
        <w:t>‐</w:t>
      </w:r>
      <w:r w:rsidRPr="0006570D">
        <w:rPr>
          <w:bCs/>
        </w:rPr>
        <w:t xml:space="preserve">7 je utvrđen linearni trend snižavanja srednjih godišnjih koncentracija herbicida </w:t>
      </w:r>
      <w:proofErr w:type="spellStart"/>
      <w:r w:rsidRPr="00215CD0">
        <w:rPr>
          <w:bCs/>
        </w:rPr>
        <w:t>atrazina</w:t>
      </w:r>
      <w:proofErr w:type="spellEnd"/>
      <w:r w:rsidRPr="0006570D">
        <w:rPr>
          <w:bCs/>
        </w:rPr>
        <w:t xml:space="preserve">, a najizraženiji je bio na području Male Mlake. Također prisutan je trend sniženja i na vodocrpilištu Velika Gorica. Iako je zabrana prodaje </w:t>
      </w:r>
      <w:proofErr w:type="spellStart"/>
      <w:r w:rsidRPr="0006570D">
        <w:rPr>
          <w:bCs/>
        </w:rPr>
        <w:t>atrazina</w:t>
      </w:r>
      <w:proofErr w:type="spellEnd"/>
      <w:r w:rsidRPr="0006570D">
        <w:rPr>
          <w:bCs/>
        </w:rPr>
        <w:t xml:space="preserve"> na snazi od 30.06.2009. godine, u podzemnoj vodi vodocrpilišta Velika Gorica na mjernoj postaji Čp</w:t>
      </w:r>
      <w:r w:rsidRPr="0006570D">
        <w:rPr>
          <w:rFonts w:ascii="Cambria Math" w:hAnsi="Cambria Math" w:cs="Cambria Math"/>
          <w:bCs/>
        </w:rPr>
        <w:t>‐</w:t>
      </w:r>
      <w:r w:rsidRPr="0006570D">
        <w:rPr>
          <w:bCs/>
        </w:rPr>
        <w:t>23 pojavio se trend porasta srednje godišnje konce</w:t>
      </w:r>
      <w:r w:rsidR="009D70B0">
        <w:rPr>
          <w:bCs/>
        </w:rPr>
        <w:t>n</w:t>
      </w:r>
      <w:r w:rsidRPr="0006570D">
        <w:rPr>
          <w:bCs/>
        </w:rPr>
        <w:t xml:space="preserve">tracije </w:t>
      </w:r>
      <w:proofErr w:type="spellStart"/>
      <w:r w:rsidRPr="0006570D">
        <w:rPr>
          <w:bCs/>
        </w:rPr>
        <w:t>atrazina</w:t>
      </w:r>
      <w:proofErr w:type="spellEnd"/>
      <w:r w:rsidRPr="0006570D">
        <w:rPr>
          <w:bCs/>
        </w:rPr>
        <w:t>.</w:t>
      </w:r>
    </w:p>
    <w:p w14:paraId="3484DFD7" w14:textId="77777777" w:rsidR="0006570D" w:rsidRPr="00D55E4A" w:rsidRDefault="0006570D" w:rsidP="00D55E4A">
      <w:pPr>
        <w:autoSpaceDE w:val="0"/>
        <w:autoSpaceDN w:val="0"/>
        <w:adjustRightInd w:val="0"/>
        <w:spacing w:before="100" w:beforeAutospacing="1" w:after="120"/>
        <w:jc w:val="both"/>
        <w:rPr>
          <w:bCs/>
          <w:i/>
        </w:rPr>
      </w:pPr>
      <w:r w:rsidRPr="00D55E4A">
        <w:rPr>
          <w:bCs/>
          <w:i/>
        </w:rPr>
        <w:t xml:space="preserve">Trend promjene koncentracija </w:t>
      </w:r>
      <w:proofErr w:type="spellStart"/>
      <w:r w:rsidRPr="00D55E4A">
        <w:rPr>
          <w:bCs/>
          <w:i/>
        </w:rPr>
        <w:t>trikloretena</w:t>
      </w:r>
      <w:proofErr w:type="spellEnd"/>
      <w:r w:rsidRPr="00D55E4A">
        <w:rPr>
          <w:bCs/>
          <w:i/>
        </w:rPr>
        <w:t xml:space="preserve"> i </w:t>
      </w:r>
      <w:proofErr w:type="spellStart"/>
      <w:r w:rsidRPr="00D55E4A">
        <w:rPr>
          <w:bCs/>
          <w:i/>
        </w:rPr>
        <w:t>tetrakloretena</w:t>
      </w:r>
      <w:proofErr w:type="spellEnd"/>
    </w:p>
    <w:p w14:paraId="5EE4726A" w14:textId="59CFF0B3" w:rsidR="0006570D" w:rsidRPr="0006570D" w:rsidRDefault="0006570D" w:rsidP="00D55E4A">
      <w:pPr>
        <w:autoSpaceDE w:val="0"/>
        <w:autoSpaceDN w:val="0"/>
        <w:adjustRightInd w:val="0"/>
        <w:spacing w:before="120" w:after="120"/>
        <w:jc w:val="both"/>
        <w:rPr>
          <w:bCs/>
        </w:rPr>
      </w:pPr>
      <w:r w:rsidRPr="0006570D">
        <w:rPr>
          <w:bCs/>
        </w:rPr>
        <w:t>U GTPV Zagreb u razdoblju od 2007. do 2015. utvrđen je trend porasta koncentracije halogeniranih</w:t>
      </w:r>
      <w:r w:rsidR="00D55E4A">
        <w:rPr>
          <w:bCs/>
        </w:rPr>
        <w:t xml:space="preserve"> </w:t>
      </w:r>
      <w:r w:rsidRPr="0006570D">
        <w:rPr>
          <w:bCs/>
        </w:rPr>
        <w:t xml:space="preserve">ugljikovodika </w:t>
      </w:r>
      <w:proofErr w:type="spellStart"/>
      <w:r w:rsidRPr="00A628B3">
        <w:rPr>
          <w:bCs/>
        </w:rPr>
        <w:t>trikloretena</w:t>
      </w:r>
      <w:proofErr w:type="spellEnd"/>
      <w:r w:rsidRPr="00A628B3">
        <w:rPr>
          <w:bCs/>
        </w:rPr>
        <w:t xml:space="preserve"> i </w:t>
      </w:r>
      <w:proofErr w:type="spellStart"/>
      <w:r w:rsidRPr="00A628B3">
        <w:rPr>
          <w:bCs/>
        </w:rPr>
        <w:t>tetrakloretena</w:t>
      </w:r>
      <w:proofErr w:type="spellEnd"/>
      <w:r w:rsidRPr="0006570D">
        <w:rPr>
          <w:b/>
          <w:bCs/>
        </w:rPr>
        <w:t xml:space="preserve"> </w:t>
      </w:r>
      <w:r w:rsidRPr="0006570D">
        <w:rPr>
          <w:bCs/>
        </w:rPr>
        <w:t xml:space="preserve">na mjernoj postaji vodocrpilišta </w:t>
      </w:r>
      <w:proofErr w:type="spellStart"/>
      <w:r w:rsidRPr="0006570D">
        <w:rPr>
          <w:bCs/>
        </w:rPr>
        <w:t>Sašnjak</w:t>
      </w:r>
      <w:proofErr w:type="spellEnd"/>
      <w:r w:rsidRPr="0006570D">
        <w:rPr>
          <w:rFonts w:ascii="Cambria Math" w:hAnsi="Cambria Math" w:cs="Cambria Math"/>
          <w:bCs/>
        </w:rPr>
        <w:t>‐</w:t>
      </w:r>
      <w:r w:rsidRPr="0006570D">
        <w:rPr>
          <w:bCs/>
        </w:rPr>
        <w:t>Žitnjak Ž</w:t>
      </w:r>
      <w:r w:rsidRPr="0006570D">
        <w:rPr>
          <w:rFonts w:ascii="Cambria Math" w:hAnsi="Cambria Math" w:cs="Cambria Math"/>
          <w:bCs/>
        </w:rPr>
        <w:t>‐</w:t>
      </w:r>
      <w:r w:rsidR="00A628B3">
        <w:rPr>
          <w:bCs/>
        </w:rPr>
        <w:t>8</w:t>
      </w:r>
      <w:r w:rsidRPr="0006570D">
        <w:rPr>
          <w:bCs/>
        </w:rPr>
        <w:t xml:space="preserve">. Trend pada koncentracije halogeniranih ugljikovodika </w:t>
      </w:r>
      <w:proofErr w:type="spellStart"/>
      <w:r w:rsidRPr="0049713B">
        <w:rPr>
          <w:bCs/>
        </w:rPr>
        <w:t>trikloretena</w:t>
      </w:r>
      <w:proofErr w:type="spellEnd"/>
      <w:r w:rsidRPr="0006570D">
        <w:rPr>
          <w:b/>
          <w:bCs/>
        </w:rPr>
        <w:t xml:space="preserve"> </w:t>
      </w:r>
      <w:r w:rsidRPr="0006570D">
        <w:rPr>
          <w:bCs/>
        </w:rPr>
        <w:t xml:space="preserve">i </w:t>
      </w:r>
      <w:proofErr w:type="spellStart"/>
      <w:r w:rsidRPr="0049713B">
        <w:rPr>
          <w:bCs/>
        </w:rPr>
        <w:t>tetrakloretena</w:t>
      </w:r>
      <w:proofErr w:type="spellEnd"/>
      <w:r w:rsidRPr="0006570D">
        <w:rPr>
          <w:b/>
          <w:bCs/>
        </w:rPr>
        <w:t xml:space="preserve"> </w:t>
      </w:r>
      <w:r w:rsidRPr="0006570D">
        <w:rPr>
          <w:bCs/>
        </w:rPr>
        <w:t xml:space="preserve">na mjernoj postaji vodocrpilišta </w:t>
      </w:r>
      <w:proofErr w:type="spellStart"/>
      <w:r w:rsidRPr="0006570D">
        <w:rPr>
          <w:bCs/>
        </w:rPr>
        <w:t>Sašnjak</w:t>
      </w:r>
      <w:proofErr w:type="spellEnd"/>
      <w:r w:rsidRPr="0006570D">
        <w:rPr>
          <w:rFonts w:ascii="Cambria Math" w:hAnsi="Cambria Math" w:cs="Cambria Math"/>
          <w:bCs/>
        </w:rPr>
        <w:t>‐</w:t>
      </w:r>
      <w:r w:rsidRPr="0006570D">
        <w:rPr>
          <w:bCs/>
        </w:rPr>
        <w:t>Žitnjak SK</w:t>
      </w:r>
      <w:r w:rsidRPr="0006570D">
        <w:rPr>
          <w:rFonts w:ascii="Cambria Math" w:hAnsi="Cambria Math" w:cs="Cambria Math"/>
          <w:bCs/>
        </w:rPr>
        <w:t>‐</w:t>
      </w:r>
      <w:r w:rsidRPr="0006570D">
        <w:rPr>
          <w:bCs/>
        </w:rPr>
        <w:t>16/2 i nešto blaži na SK</w:t>
      </w:r>
      <w:r w:rsidRPr="0006570D">
        <w:rPr>
          <w:rFonts w:ascii="Cambria Math" w:hAnsi="Cambria Math" w:cs="Cambria Math"/>
          <w:bCs/>
        </w:rPr>
        <w:t>‐</w:t>
      </w:r>
      <w:r w:rsidRPr="0006570D">
        <w:rPr>
          <w:bCs/>
        </w:rPr>
        <w:t>15, te na postajama Z</w:t>
      </w:r>
      <w:r w:rsidRPr="0006570D">
        <w:rPr>
          <w:rFonts w:ascii="Cambria Math" w:hAnsi="Cambria Math" w:cs="Cambria Math"/>
          <w:bCs/>
        </w:rPr>
        <w:t>‐</w:t>
      </w:r>
      <w:r w:rsidRPr="0006570D">
        <w:rPr>
          <w:bCs/>
        </w:rPr>
        <w:t>4 i Z</w:t>
      </w:r>
      <w:r w:rsidRPr="0006570D">
        <w:rPr>
          <w:rFonts w:ascii="Cambria Math" w:hAnsi="Cambria Math" w:cs="Cambria Math"/>
          <w:bCs/>
        </w:rPr>
        <w:t>‐</w:t>
      </w:r>
      <w:r w:rsidRPr="0006570D">
        <w:rPr>
          <w:bCs/>
        </w:rPr>
        <w:t xml:space="preserve">2. U podzemnoj vodi </w:t>
      </w:r>
      <w:proofErr w:type="spellStart"/>
      <w:r w:rsidRPr="0006570D">
        <w:rPr>
          <w:bCs/>
        </w:rPr>
        <w:t>priljevnog</w:t>
      </w:r>
      <w:proofErr w:type="spellEnd"/>
      <w:r w:rsidRPr="0006570D">
        <w:rPr>
          <w:bCs/>
        </w:rPr>
        <w:t xml:space="preserve"> područja vodocrpilišta Stara Loza tijekom godina nisu se javljale povišene </w:t>
      </w:r>
      <w:proofErr w:type="spellStart"/>
      <w:r w:rsidRPr="0006570D">
        <w:rPr>
          <w:bCs/>
        </w:rPr>
        <w:t>koncetracije</w:t>
      </w:r>
      <w:proofErr w:type="spellEnd"/>
      <w:r w:rsidRPr="0006570D">
        <w:rPr>
          <w:bCs/>
        </w:rPr>
        <w:t xml:space="preserve"> </w:t>
      </w:r>
      <w:proofErr w:type="spellStart"/>
      <w:r w:rsidRPr="0006570D">
        <w:rPr>
          <w:bCs/>
        </w:rPr>
        <w:t>trikloretena</w:t>
      </w:r>
      <w:proofErr w:type="spellEnd"/>
      <w:r w:rsidRPr="0006570D">
        <w:rPr>
          <w:bCs/>
        </w:rPr>
        <w:t xml:space="preserve"> i </w:t>
      </w:r>
      <w:proofErr w:type="spellStart"/>
      <w:r w:rsidRPr="0006570D">
        <w:rPr>
          <w:bCs/>
        </w:rPr>
        <w:t>tetrakloretena</w:t>
      </w:r>
      <w:proofErr w:type="spellEnd"/>
      <w:r w:rsidRPr="0006570D">
        <w:rPr>
          <w:bCs/>
        </w:rPr>
        <w:t>, dok je u 2013. i 2015. godini na postaji Pr</w:t>
      </w:r>
      <w:r w:rsidRPr="0006570D">
        <w:rPr>
          <w:rFonts w:ascii="Cambria Math" w:hAnsi="Cambria Math" w:cs="Cambria Math"/>
          <w:bCs/>
        </w:rPr>
        <w:t>‐</w:t>
      </w:r>
      <w:r w:rsidRPr="0006570D">
        <w:rPr>
          <w:bCs/>
        </w:rPr>
        <w:t xml:space="preserve">7/2 zabilježena koncentracija prelazila 75% </w:t>
      </w:r>
      <w:r w:rsidR="00A628B3" w:rsidRPr="00A628B3">
        <w:rPr>
          <w:bCs/>
        </w:rPr>
        <w:t>standarda kakvoće podzemnih voda</w:t>
      </w:r>
      <w:r w:rsidRPr="0006570D">
        <w:rPr>
          <w:bCs/>
        </w:rPr>
        <w:t>, te je zabilježen rastući trend.</w:t>
      </w:r>
    </w:p>
    <w:p w14:paraId="7D063DDF" w14:textId="77777777" w:rsidR="0006570D" w:rsidRPr="0006570D" w:rsidRDefault="0006570D" w:rsidP="00D55E4A">
      <w:pPr>
        <w:autoSpaceDE w:val="0"/>
        <w:autoSpaceDN w:val="0"/>
        <w:adjustRightInd w:val="0"/>
        <w:spacing w:before="120" w:after="120"/>
        <w:jc w:val="both"/>
        <w:rPr>
          <w:bCs/>
        </w:rPr>
      </w:pPr>
      <w:r w:rsidRPr="0006570D">
        <w:rPr>
          <w:bCs/>
        </w:rPr>
        <w:t xml:space="preserve">U </w:t>
      </w:r>
      <w:r w:rsidRPr="0049713B">
        <w:rPr>
          <w:bCs/>
        </w:rPr>
        <w:t>Jadranskom vodnom području</w:t>
      </w:r>
      <w:r w:rsidRPr="0006570D">
        <w:rPr>
          <w:b/>
          <w:bCs/>
        </w:rPr>
        <w:t xml:space="preserve"> </w:t>
      </w:r>
      <w:r w:rsidRPr="0006570D">
        <w:rPr>
          <w:bCs/>
        </w:rPr>
        <w:t xml:space="preserve">na mjernoj postaji </w:t>
      </w:r>
      <w:proofErr w:type="spellStart"/>
      <w:r w:rsidRPr="0006570D">
        <w:rPr>
          <w:bCs/>
        </w:rPr>
        <w:t>Tivoli</w:t>
      </w:r>
      <w:proofErr w:type="spellEnd"/>
      <w:r w:rsidRPr="0006570D">
        <w:rPr>
          <w:bCs/>
        </w:rPr>
        <w:t xml:space="preserve"> GTPV Južna Istra, suma </w:t>
      </w:r>
      <w:proofErr w:type="spellStart"/>
      <w:r w:rsidRPr="0049713B">
        <w:rPr>
          <w:bCs/>
        </w:rPr>
        <w:t>trikloretena</w:t>
      </w:r>
      <w:proofErr w:type="spellEnd"/>
      <w:r w:rsidRPr="0049713B">
        <w:rPr>
          <w:bCs/>
        </w:rPr>
        <w:t xml:space="preserve"> i </w:t>
      </w:r>
      <w:proofErr w:type="spellStart"/>
      <w:r w:rsidRPr="0049713B">
        <w:rPr>
          <w:bCs/>
        </w:rPr>
        <w:t>tetrakloretena</w:t>
      </w:r>
      <w:proofErr w:type="spellEnd"/>
      <w:r w:rsidRPr="0006570D">
        <w:rPr>
          <w:b/>
          <w:bCs/>
        </w:rPr>
        <w:t xml:space="preserve"> </w:t>
      </w:r>
      <w:r w:rsidRPr="0006570D">
        <w:rPr>
          <w:bCs/>
        </w:rPr>
        <w:t xml:space="preserve">u 2015. godini </w:t>
      </w:r>
      <w:r w:rsidRPr="0049713B">
        <w:rPr>
          <w:bCs/>
        </w:rPr>
        <w:t>nije</w:t>
      </w:r>
      <w:r w:rsidRPr="0006570D">
        <w:rPr>
          <w:b/>
          <w:bCs/>
        </w:rPr>
        <w:t xml:space="preserve"> </w:t>
      </w:r>
      <w:r w:rsidRPr="0006570D">
        <w:rPr>
          <w:bCs/>
        </w:rPr>
        <w:t>prelazila 75% standarda kakvoće podzemnih voda, a uočava se da je trend u blagom padu.</w:t>
      </w:r>
    </w:p>
    <w:p w14:paraId="25BD3F6C" w14:textId="0A12BA8D" w:rsidR="0006570D" w:rsidRPr="002664D6" w:rsidRDefault="0006570D" w:rsidP="00181667">
      <w:pPr>
        <w:pStyle w:val="Odlomakpopisa"/>
        <w:numPr>
          <w:ilvl w:val="3"/>
          <w:numId w:val="9"/>
        </w:numPr>
        <w:autoSpaceDE w:val="0"/>
        <w:autoSpaceDN w:val="0"/>
        <w:adjustRightInd w:val="0"/>
        <w:spacing w:before="100" w:beforeAutospacing="1" w:after="120"/>
        <w:jc w:val="center"/>
        <w:outlineLvl w:val="3"/>
        <w:rPr>
          <w:bCs/>
        </w:rPr>
      </w:pPr>
      <w:r w:rsidRPr="002664D6">
        <w:rPr>
          <w:bCs/>
        </w:rPr>
        <w:t>Stanje prijelaznih i priobalnih voda</w:t>
      </w:r>
    </w:p>
    <w:p w14:paraId="1CB27619" w14:textId="77777777" w:rsidR="0006570D" w:rsidRPr="0006570D" w:rsidRDefault="0006570D" w:rsidP="00D55E4A">
      <w:pPr>
        <w:autoSpaceDE w:val="0"/>
        <w:autoSpaceDN w:val="0"/>
        <w:adjustRightInd w:val="0"/>
        <w:spacing w:before="120" w:after="120"/>
        <w:jc w:val="both"/>
        <w:rPr>
          <w:bCs/>
        </w:rPr>
      </w:pPr>
      <w:r w:rsidRPr="0006570D">
        <w:rPr>
          <w:bCs/>
        </w:rPr>
        <w:t xml:space="preserve">Stanje u vodnim tijelima prijelaznih i priobalnih voda (ekološko i kemijsko) temeljeno je na rezultatima nadzornog i operativnog monitoringa bioloških elemenata kakvoće, uključujući klorofila </w:t>
      </w:r>
      <w:r w:rsidRPr="0006570D">
        <w:rPr>
          <w:bCs/>
          <w:i/>
          <w:iCs/>
        </w:rPr>
        <w:t>a</w:t>
      </w:r>
      <w:r w:rsidRPr="0006570D">
        <w:rPr>
          <w:bCs/>
        </w:rPr>
        <w:t xml:space="preserve">, pratećih fizikalno-kemijskih pokazatelja, specifičnih onečišćujućih tvari te </w:t>
      </w:r>
      <w:proofErr w:type="spellStart"/>
      <w:r w:rsidRPr="0006570D">
        <w:rPr>
          <w:bCs/>
        </w:rPr>
        <w:t>hidromorfoloških</w:t>
      </w:r>
      <w:proofErr w:type="spellEnd"/>
      <w:r w:rsidRPr="0006570D">
        <w:rPr>
          <w:bCs/>
        </w:rPr>
        <w:t xml:space="preserve"> uvjeta, koji je proveden sezonski od kolovoza 2014. do prosinca 2015. godine. Sveukupno je u monitoring bilo uključeno 25 vodnih tijela prijelaznih voda te 26 vodnih tijela priobalnih voda.</w:t>
      </w:r>
    </w:p>
    <w:p w14:paraId="05694BEB" w14:textId="77777777" w:rsidR="0006570D" w:rsidRPr="0006570D" w:rsidRDefault="0006570D" w:rsidP="00D55E4A">
      <w:pPr>
        <w:autoSpaceDE w:val="0"/>
        <w:autoSpaceDN w:val="0"/>
        <w:adjustRightInd w:val="0"/>
        <w:spacing w:before="120" w:after="120"/>
        <w:jc w:val="both"/>
        <w:rPr>
          <w:bCs/>
        </w:rPr>
      </w:pPr>
      <w:r w:rsidRPr="0006570D">
        <w:rPr>
          <w:bCs/>
        </w:rPr>
        <w:t>Stanje prema prioritetnim tvarima ispitano je u svim vodnim tijelima najmanje četiri puta tijekom razdoblja monitoringa, a u vodnim tijelima koja su bila u operativnom monitoringu (8 vodnih tijela prijelaznih voda i 9 vodnih tijela priobalnih voda) pojedini pokazatelji su ispitani i češće.</w:t>
      </w:r>
    </w:p>
    <w:p w14:paraId="339217A4" w14:textId="77777777" w:rsidR="0006570D" w:rsidRPr="0006570D" w:rsidRDefault="0006570D" w:rsidP="00D55E4A">
      <w:pPr>
        <w:autoSpaceDE w:val="0"/>
        <w:autoSpaceDN w:val="0"/>
        <w:adjustRightInd w:val="0"/>
        <w:spacing w:before="120" w:after="120"/>
        <w:jc w:val="both"/>
      </w:pPr>
      <w:r w:rsidRPr="0006570D">
        <w:t>Prema rezultatima monitoringa stanje specifičnih onečišćujućih tvari se u svim vodnim tijelima prijelaznih i priobalnih voda može ocijeniti kao vrlo dobro.</w:t>
      </w:r>
    </w:p>
    <w:p w14:paraId="06A1BAEF" w14:textId="77777777" w:rsidR="0006570D" w:rsidRPr="0006570D" w:rsidRDefault="0006570D" w:rsidP="00D55E4A">
      <w:pPr>
        <w:autoSpaceDE w:val="0"/>
        <w:autoSpaceDN w:val="0"/>
        <w:adjustRightInd w:val="0"/>
        <w:spacing w:before="120" w:after="120"/>
        <w:jc w:val="both"/>
      </w:pPr>
      <w:r w:rsidRPr="0006570D">
        <w:t>Prema rezultatima provedenih analiza, koncentracije prioritetnih tvari u uzorcima tijekom nadzornog monitoringa od 2014. do 2015. godine bile su uglavnom niže od granica kvantifikacije primijenjenih analitičkih metoda, i niže u odnosu na propisane standarde kakvoće (</w:t>
      </w:r>
      <w:r w:rsidRPr="00742787">
        <w:t>PGK, MDK)</w:t>
      </w:r>
      <w:r w:rsidRPr="0006570D">
        <w:t xml:space="preserve"> za ocjenu kemijskog stanja.</w:t>
      </w:r>
    </w:p>
    <w:p w14:paraId="058D19D3" w14:textId="581A984B" w:rsidR="0006570D" w:rsidRPr="0006570D" w:rsidRDefault="0006570D" w:rsidP="00D55E4A">
      <w:pPr>
        <w:autoSpaceDE w:val="0"/>
        <w:autoSpaceDN w:val="0"/>
        <w:adjustRightInd w:val="0"/>
        <w:spacing w:before="120" w:after="120"/>
        <w:jc w:val="both"/>
      </w:pPr>
      <w:r w:rsidRPr="0006570D">
        <w:t>Kao kritične tvari (tvari kod kojih su jednokratno ili višekratno zabilježena prekoračenja PGK i/ili MDK vrijednosti) u vodnim tijelima prijelaznih voda najčešće</w:t>
      </w:r>
      <w:r w:rsidR="006F427B">
        <w:t xml:space="preserve"> se</w:t>
      </w:r>
      <w:r w:rsidRPr="0006570D">
        <w:t xml:space="preserve"> javljaju spojevi iz skupine </w:t>
      </w:r>
      <w:proofErr w:type="spellStart"/>
      <w:r w:rsidRPr="0006570D">
        <w:t>organoklorovih</w:t>
      </w:r>
      <w:proofErr w:type="spellEnd"/>
      <w:r w:rsidRPr="0006570D">
        <w:t xml:space="preserve"> pesticida (beta-</w:t>
      </w:r>
      <w:proofErr w:type="spellStart"/>
      <w:r w:rsidRPr="0006570D">
        <w:t>heksaklorocikloheksan</w:t>
      </w:r>
      <w:proofErr w:type="spellEnd"/>
      <w:r w:rsidRPr="0006570D">
        <w:t>, para-para DDT, gama-</w:t>
      </w:r>
      <w:proofErr w:type="spellStart"/>
      <w:r w:rsidRPr="0006570D">
        <w:t>heksaklorocikloheksan</w:t>
      </w:r>
      <w:proofErr w:type="spellEnd"/>
      <w:r w:rsidRPr="0006570D">
        <w:t xml:space="preserve"> i alfa-</w:t>
      </w:r>
      <w:proofErr w:type="spellStart"/>
      <w:r w:rsidRPr="0006570D">
        <w:t>endosulfan</w:t>
      </w:r>
      <w:proofErr w:type="spellEnd"/>
      <w:r w:rsidRPr="0006570D">
        <w:t xml:space="preserve">). U po jednom vodnom tijelu su zabilježeni i spojevi </w:t>
      </w:r>
      <w:proofErr w:type="spellStart"/>
      <w:r w:rsidRPr="0006570D">
        <w:t>klorofenvinfos</w:t>
      </w:r>
      <w:proofErr w:type="spellEnd"/>
      <w:r w:rsidRPr="0006570D">
        <w:t xml:space="preserve"> iz skupine </w:t>
      </w:r>
      <w:proofErr w:type="spellStart"/>
      <w:r w:rsidRPr="0006570D">
        <w:t>organofosfornih</w:t>
      </w:r>
      <w:proofErr w:type="spellEnd"/>
      <w:r w:rsidRPr="0006570D">
        <w:t xml:space="preserve"> pesticida te </w:t>
      </w:r>
      <w:proofErr w:type="spellStart"/>
      <w:r w:rsidRPr="0006570D">
        <w:t>fluoranten</w:t>
      </w:r>
      <w:proofErr w:type="spellEnd"/>
      <w:r w:rsidRPr="0006570D">
        <w:t xml:space="preserve"> iz skupine </w:t>
      </w:r>
      <w:proofErr w:type="spellStart"/>
      <w:r w:rsidRPr="0006570D">
        <w:t>poliaromatskih</w:t>
      </w:r>
      <w:proofErr w:type="spellEnd"/>
      <w:r w:rsidRPr="0006570D">
        <w:t xml:space="preserve"> ugljikovodika. Iako su za svih 6 navedenih spojeva povremeno uočene povećane koncentracije, razlog nepostizanja dobrog kemijskog stanja predstavljaju jedino </w:t>
      </w:r>
      <w:proofErr w:type="spellStart"/>
      <w:r w:rsidRPr="0049713B">
        <w:t>organoklorovi</w:t>
      </w:r>
      <w:proofErr w:type="spellEnd"/>
      <w:r w:rsidRPr="0049713B">
        <w:t xml:space="preserve"> pesticidi.</w:t>
      </w:r>
      <w:r w:rsidRPr="0006570D">
        <w:t xml:space="preserve"> </w:t>
      </w:r>
    </w:p>
    <w:p w14:paraId="11247392" w14:textId="3D8E25AF" w:rsidR="0006570D" w:rsidRPr="0006570D" w:rsidRDefault="0006570D" w:rsidP="00D55E4A">
      <w:pPr>
        <w:autoSpaceDE w:val="0"/>
        <w:autoSpaceDN w:val="0"/>
        <w:adjustRightInd w:val="0"/>
        <w:spacing w:before="120" w:after="120"/>
        <w:jc w:val="both"/>
      </w:pPr>
      <w:r w:rsidRPr="0006570D">
        <w:t>Ovakav rezultat ispitivanja prioritetnih tvari u prijelaznim vodama ukazuje na poljoprivrednu aktivnost (</w:t>
      </w:r>
      <w:r w:rsidR="009D70B0">
        <w:t>nedavnu</w:t>
      </w:r>
      <w:r w:rsidRPr="0006570D">
        <w:t xml:space="preserve"> i/ili prijašnju) kao najznačajniji antropogeni pritisak na stanje prijelaznih voda. S obzirom da su povišene koncentracije </w:t>
      </w:r>
      <w:proofErr w:type="spellStart"/>
      <w:r w:rsidRPr="0006570D">
        <w:t>organoklorovih</w:t>
      </w:r>
      <w:proofErr w:type="spellEnd"/>
      <w:r w:rsidRPr="0006570D">
        <w:t xml:space="preserve"> pesticida zabilježene u približno jednakom broju slučajeva u površinskom i </w:t>
      </w:r>
      <w:proofErr w:type="spellStart"/>
      <w:r w:rsidRPr="0006570D">
        <w:t>pridnenom</w:t>
      </w:r>
      <w:proofErr w:type="spellEnd"/>
      <w:r w:rsidRPr="0006570D">
        <w:t xml:space="preserve"> sloju vodenog stupca, pretpostavka je da sediment u pojedinim vodnim tijelima ima ulogu izvora akumuliranih pesticida.</w:t>
      </w:r>
      <w:r w:rsidRPr="0006570D">
        <w:rPr>
          <w:rFonts w:ascii="Calibri" w:eastAsiaTheme="minorHAnsi" w:hAnsi="Calibri" w:cs="Calibri"/>
          <w:sz w:val="20"/>
          <w:szCs w:val="20"/>
          <w:lang w:eastAsia="en-US"/>
        </w:rPr>
        <w:t xml:space="preserve"> </w:t>
      </w:r>
      <w:r w:rsidRPr="0006570D">
        <w:t xml:space="preserve">Dobro kemijsko stanje u prijelaznim vodama postignuto je u 18 od 25 ispitanih vodnih tijela, tj. u 72%, dok dobro kemijsko stanje nije postignuto u 7 od 25 vodnih tijela, tj. u 28%. Ako uzmemo u obzir površine pojedinih </w:t>
      </w:r>
      <w:r w:rsidRPr="0006570D">
        <w:lastRenderedPageBreak/>
        <w:t xml:space="preserve">vodnih tijela možemo reći da je dobro kemijsko stanje postignuto na 89% ukupne površine prijelaznih voda, dok na 11% površine nije postignuto. </w:t>
      </w:r>
    </w:p>
    <w:p w14:paraId="3E725931" w14:textId="77777777" w:rsidR="0006570D" w:rsidRPr="0006570D" w:rsidRDefault="0006570D" w:rsidP="00D55E4A">
      <w:pPr>
        <w:autoSpaceDE w:val="0"/>
        <w:autoSpaceDN w:val="0"/>
        <w:adjustRightInd w:val="0"/>
        <w:spacing w:before="120" w:after="120"/>
        <w:jc w:val="both"/>
      </w:pPr>
      <w:r w:rsidRPr="0006570D">
        <w:t>Analiza kemijskog stanja prema prostornoj raspodjeli pokazuje da je dobro kemijsko stanje postignuto u prijelaznim vodama četiriju rijeka (Neretva, Cetina, Zrmanja i Dragonja), djelomično u prijelaznim vodama pet rijeka (</w:t>
      </w:r>
      <w:proofErr w:type="spellStart"/>
      <w:r w:rsidRPr="0006570D">
        <w:t>Ombla</w:t>
      </w:r>
      <w:proofErr w:type="spellEnd"/>
      <w:r w:rsidRPr="0006570D">
        <w:t xml:space="preserve">, </w:t>
      </w:r>
      <w:proofErr w:type="spellStart"/>
      <w:r w:rsidRPr="0006570D">
        <w:t>Jadro</w:t>
      </w:r>
      <w:proofErr w:type="spellEnd"/>
      <w:r w:rsidRPr="0006570D">
        <w:t xml:space="preserve">, Krka, Rječina i Mirna), a najlošije stanje u prijelaznim vodama ustanovljeno je u ušću rijeke Raše. </w:t>
      </w:r>
    </w:p>
    <w:p w14:paraId="43D48CA2" w14:textId="77777777" w:rsidR="0006570D" w:rsidRPr="0006570D" w:rsidRDefault="0006570D" w:rsidP="00D55E4A">
      <w:pPr>
        <w:autoSpaceDE w:val="0"/>
        <w:autoSpaceDN w:val="0"/>
        <w:adjustRightInd w:val="0"/>
        <w:spacing w:before="120" w:after="120"/>
        <w:jc w:val="both"/>
      </w:pPr>
      <w:r w:rsidRPr="0006570D">
        <w:t xml:space="preserve">I u priobalju su zabilježeni spojevi iz grupe </w:t>
      </w:r>
      <w:proofErr w:type="spellStart"/>
      <w:r w:rsidRPr="0049713B">
        <w:t>organoklorovih</w:t>
      </w:r>
      <w:proofErr w:type="spellEnd"/>
      <w:r w:rsidRPr="0049713B">
        <w:t xml:space="preserve"> pesticida</w:t>
      </w:r>
      <w:r w:rsidRPr="0006570D">
        <w:t xml:space="preserve"> (beta-, delta- i </w:t>
      </w:r>
      <w:proofErr w:type="spellStart"/>
      <w:r w:rsidRPr="0006570D">
        <w:t>gamaheksaklorocikloheksana</w:t>
      </w:r>
      <w:proofErr w:type="spellEnd"/>
      <w:r w:rsidRPr="0006570D">
        <w:t xml:space="preserve">), no oni ni u jednom slučaju nisu bili razlog nepostizanja dobrog kemijskog stanja. Ipak njihova pojava u priobalnim vodama svjedoči o njihovom prijenosu kroz različite tipove površinskih voda. Međutim, kao najproblematičnija prioritetna tvar u priobalju se pokazao </w:t>
      </w:r>
      <w:proofErr w:type="spellStart"/>
      <w:r w:rsidRPr="00A628B3">
        <w:t>tributilkositar</w:t>
      </w:r>
      <w:proofErr w:type="spellEnd"/>
      <w:r w:rsidRPr="0006570D">
        <w:t xml:space="preserve"> koji je u četiri vodna tijela (O313-NEK, O313-BAZ, O413-STLP i O423-KVS) bio razlog nepostizanja dobrog kemijskog stanja. Iako je prema raznim međunarodnim konvencijama kao i domaćem zakonodavstvu zabranjena proizvodnja, trgovina i primjena </w:t>
      </w:r>
      <w:proofErr w:type="spellStart"/>
      <w:r w:rsidRPr="0006570D">
        <w:t>protuobraštajnih</w:t>
      </w:r>
      <w:proofErr w:type="spellEnd"/>
      <w:r w:rsidRPr="0006570D">
        <w:t xml:space="preserve"> boja za brodove na bazi </w:t>
      </w:r>
      <w:proofErr w:type="spellStart"/>
      <w:r w:rsidRPr="0006570D">
        <w:t>tributilkositra</w:t>
      </w:r>
      <w:proofErr w:type="spellEnd"/>
      <w:r w:rsidRPr="0006570D">
        <w:t xml:space="preserve">, nepostizanje dobrog kemijskog stanja u ova četiri vodna tijela, preko kojih se odvija intenzivan pomorski promet, ukazuje na potrebu jačanja inspekcijskih službi. Ovdje je također potrebno naglasiti da je nepostizanje dobrog kemijskog stanja u splitskoj luci uslijed </w:t>
      </w:r>
      <w:proofErr w:type="spellStart"/>
      <w:r w:rsidRPr="00A628B3">
        <w:t>tributilkositra</w:t>
      </w:r>
      <w:proofErr w:type="spellEnd"/>
      <w:r w:rsidRPr="00A628B3">
        <w:t xml:space="preserve"> </w:t>
      </w:r>
      <w:r w:rsidRPr="0006570D">
        <w:t>zabilježeno i tijekom 2011. godine.</w:t>
      </w:r>
    </w:p>
    <w:p w14:paraId="77C0EC38" w14:textId="77777777" w:rsidR="00317EE7" w:rsidRPr="00D55E4A" w:rsidRDefault="00317EE7" w:rsidP="00D55E4A">
      <w:pPr>
        <w:pStyle w:val="Naslov3"/>
        <w:numPr>
          <w:ilvl w:val="2"/>
          <w:numId w:val="9"/>
        </w:numPr>
        <w:spacing w:before="100" w:beforeAutospacing="1" w:after="120"/>
        <w:jc w:val="center"/>
        <w:rPr>
          <w:b w:val="0"/>
          <w:i/>
        </w:rPr>
      </w:pPr>
      <w:bookmarkStart w:id="9" w:name="_Toc8637303"/>
      <w:r w:rsidRPr="00D55E4A">
        <w:rPr>
          <w:b w:val="0"/>
          <w:i/>
        </w:rPr>
        <w:t>Monitoring POPs-ova u moru</w:t>
      </w:r>
      <w:bookmarkEnd w:id="9"/>
    </w:p>
    <w:p w14:paraId="401E5CC7" w14:textId="403446C6" w:rsidR="008A1103" w:rsidRDefault="0018601C" w:rsidP="0018601C">
      <w:pPr>
        <w:jc w:val="both"/>
        <w:rPr>
          <w:noProof/>
        </w:rPr>
      </w:pPr>
      <w:r w:rsidRPr="004C2176">
        <w:rPr>
          <w:noProof/>
        </w:rPr>
        <w:t>U 2015</w:t>
      </w:r>
      <w:r>
        <w:rPr>
          <w:noProof/>
        </w:rPr>
        <w:t>.</w:t>
      </w:r>
      <w:r w:rsidRPr="004C2176">
        <w:rPr>
          <w:noProof/>
        </w:rPr>
        <w:t xml:space="preserve"> godini u okviru „Ugovora o sustavnom ispitivanju kakvoće prijelaznih i priobalnih voda u 2014</w:t>
      </w:r>
      <w:r w:rsidR="004C192E">
        <w:rPr>
          <w:noProof/>
        </w:rPr>
        <w:t xml:space="preserve">. – </w:t>
      </w:r>
      <w:r w:rsidRPr="004C2176">
        <w:rPr>
          <w:noProof/>
        </w:rPr>
        <w:t xml:space="preserve">2015. godini“ financiranog od strane Hrvatskih voda, </w:t>
      </w:r>
      <w:r w:rsidR="00B40940" w:rsidRPr="004C2176">
        <w:rPr>
          <w:noProof/>
        </w:rPr>
        <w:t>ra</w:t>
      </w:r>
      <w:r w:rsidR="00B40940">
        <w:rPr>
          <w:noProof/>
        </w:rPr>
        <w:t>đ</w:t>
      </w:r>
      <w:r w:rsidR="00B40940" w:rsidRPr="004C2176">
        <w:rPr>
          <w:noProof/>
        </w:rPr>
        <w:t xml:space="preserve">ene </w:t>
      </w:r>
      <w:r w:rsidRPr="004C2176">
        <w:rPr>
          <w:noProof/>
        </w:rPr>
        <w:t>su analize niza organskih on</w:t>
      </w:r>
      <w:r w:rsidR="008A1103">
        <w:rPr>
          <w:noProof/>
        </w:rPr>
        <w:t>ečiščujućih tvari</w:t>
      </w:r>
      <w:r w:rsidRPr="004C2176">
        <w:rPr>
          <w:noProof/>
        </w:rPr>
        <w:t xml:space="preserve"> koje ulaze u skupinu POPs</w:t>
      </w:r>
      <w:r>
        <w:rPr>
          <w:noProof/>
        </w:rPr>
        <w:t>-</w:t>
      </w:r>
      <w:r w:rsidRPr="004C2176">
        <w:rPr>
          <w:noProof/>
        </w:rPr>
        <w:t xml:space="preserve">ova (Tablica </w:t>
      </w:r>
      <w:r w:rsidR="008A1103">
        <w:rPr>
          <w:noProof/>
        </w:rPr>
        <w:t>2.3-1</w:t>
      </w:r>
      <w:r w:rsidRPr="004C2176">
        <w:rPr>
          <w:noProof/>
        </w:rPr>
        <w:t>). Izvođači projekta bili su</w:t>
      </w:r>
      <w:r>
        <w:rPr>
          <w:noProof/>
        </w:rPr>
        <w:t xml:space="preserve"> konzorcij Instituta za o</w:t>
      </w:r>
      <w:r w:rsidRPr="004C2176">
        <w:rPr>
          <w:noProof/>
        </w:rPr>
        <w:t>ceanografiju i ribarstvo iz Splita (IOR), Instituta Ruđer Bošković iz Zagreba (IRB) i Rheinisch-Westfalisches Institut fur Wasser Beratungs und Entwicklungsgesellschaft mbH, Mulheim and der Ruhr, Njemačka (IWW). Analize POP</w:t>
      </w:r>
      <w:r w:rsidR="008A1103">
        <w:rPr>
          <w:noProof/>
        </w:rPr>
        <w:t>s-</w:t>
      </w:r>
      <w:r w:rsidRPr="004C2176">
        <w:rPr>
          <w:noProof/>
        </w:rPr>
        <w:t>ova u vodi rađene su u l</w:t>
      </w:r>
      <w:r w:rsidR="008A1103">
        <w:rPr>
          <w:noProof/>
        </w:rPr>
        <w:t>aboratorijima IWW</w:t>
      </w:r>
      <w:r w:rsidR="007C7B9B">
        <w:rPr>
          <w:noProof/>
        </w:rPr>
        <w:t xml:space="preserve"> </w:t>
      </w:r>
      <w:r w:rsidR="007C7B9B" w:rsidRPr="007C7B9B">
        <w:rPr>
          <w:noProof/>
        </w:rPr>
        <w:t>i Hrvatskih voda.</w:t>
      </w:r>
    </w:p>
    <w:p w14:paraId="3B640E38" w14:textId="77777777" w:rsidR="0049713B" w:rsidRPr="004C2176" w:rsidRDefault="0049713B" w:rsidP="0018601C">
      <w:pPr>
        <w:jc w:val="both"/>
        <w:rPr>
          <w:noProof/>
        </w:rPr>
      </w:pPr>
    </w:p>
    <w:p w14:paraId="7012D3D1" w14:textId="060916A4" w:rsidR="0049713B" w:rsidRPr="0049713B" w:rsidRDefault="0018601C" w:rsidP="00D55E4A">
      <w:pPr>
        <w:rPr>
          <w:i/>
          <w:noProof/>
        </w:rPr>
      </w:pPr>
      <w:r w:rsidRPr="0049713B">
        <w:rPr>
          <w:i/>
          <w:noProof/>
        </w:rPr>
        <w:t xml:space="preserve">Tablica </w:t>
      </w:r>
      <w:r w:rsidR="004C192E" w:rsidRPr="004C192E">
        <w:rPr>
          <w:i/>
          <w:noProof/>
        </w:rPr>
        <w:t>2.3-1</w:t>
      </w:r>
      <w:r w:rsidR="004C192E">
        <w:rPr>
          <w:i/>
          <w:noProof/>
        </w:rPr>
        <w:t>:</w:t>
      </w:r>
      <w:r w:rsidRPr="0049713B">
        <w:rPr>
          <w:i/>
          <w:noProof/>
        </w:rPr>
        <w:t xml:space="preserve"> Popis POPs-ova određivanih u vodi, sedimentu i bioti u okviru monitoringa prijelaznih i priobalnih voda istočne jadranske obale u razdoblju 2015</w:t>
      </w:r>
      <w:r w:rsidR="0038057D">
        <w:rPr>
          <w:i/>
          <w:noProof/>
        </w:rPr>
        <w:t>.</w:t>
      </w:r>
      <w:r w:rsidR="004C192E">
        <w:rPr>
          <w:i/>
          <w:noProof/>
        </w:rPr>
        <w:t xml:space="preserve"> – </w:t>
      </w:r>
      <w:r w:rsidRPr="0049713B">
        <w:rPr>
          <w:i/>
          <w:noProof/>
        </w:rPr>
        <w:t>2017. godine.</w:t>
      </w:r>
    </w:p>
    <w:p w14:paraId="1009ED09" w14:textId="6D433B1D" w:rsidR="0018601C" w:rsidRPr="004C2176" w:rsidRDefault="0018601C" w:rsidP="0049713B">
      <w:pPr>
        <w:jc w:val="center"/>
        <w:rPr>
          <w:noProof/>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6804"/>
      </w:tblGrid>
      <w:tr w:rsidR="0018601C" w:rsidRPr="004C2176" w14:paraId="795BB1A3" w14:textId="77777777" w:rsidTr="009D2743">
        <w:trPr>
          <w:trHeight w:val="534"/>
          <w:jc w:val="center"/>
        </w:trPr>
        <w:tc>
          <w:tcPr>
            <w:tcW w:w="2405" w:type="dxa"/>
            <w:vAlign w:val="center"/>
          </w:tcPr>
          <w:p w14:paraId="67D73028" w14:textId="77777777" w:rsidR="0018601C" w:rsidRPr="004C2176" w:rsidRDefault="0018601C" w:rsidP="001C6342">
            <w:pPr>
              <w:jc w:val="both"/>
              <w:rPr>
                <w:rFonts w:cs="Arial"/>
                <w:b/>
              </w:rPr>
            </w:pPr>
            <w:r w:rsidRPr="004C2176">
              <w:rPr>
                <w:rFonts w:cs="Arial"/>
                <w:b/>
              </w:rPr>
              <w:t>Dio vodenog okoliša</w:t>
            </w:r>
          </w:p>
        </w:tc>
        <w:tc>
          <w:tcPr>
            <w:tcW w:w="6804" w:type="dxa"/>
            <w:vAlign w:val="center"/>
          </w:tcPr>
          <w:p w14:paraId="455F7015" w14:textId="77777777" w:rsidR="0018601C" w:rsidRPr="004C2176" w:rsidRDefault="0018601C" w:rsidP="001C6342">
            <w:pPr>
              <w:jc w:val="both"/>
              <w:rPr>
                <w:rFonts w:cs="Arial"/>
                <w:b/>
              </w:rPr>
            </w:pPr>
            <w:r w:rsidRPr="004C2176">
              <w:rPr>
                <w:rFonts w:cs="Arial"/>
                <w:b/>
              </w:rPr>
              <w:t>Postojana organska onečišćujuća tvar (POP)</w:t>
            </w:r>
          </w:p>
        </w:tc>
      </w:tr>
      <w:tr w:rsidR="0018601C" w:rsidRPr="004C2176" w14:paraId="759D5EB1" w14:textId="77777777" w:rsidTr="009D2743">
        <w:trPr>
          <w:jc w:val="center"/>
        </w:trPr>
        <w:tc>
          <w:tcPr>
            <w:tcW w:w="2405" w:type="dxa"/>
          </w:tcPr>
          <w:p w14:paraId="4DBABC84" w14:textId="77777777" w:rsidR="0018601C" w:rsidRPr="004C2176" w:rsidRDefault="0018601C" w:rsidP="001C6342">
            <w:pPr>
              <w:jc w:val="both"/>
              <w:rPr>
                <w:rFonts w:cs="Arial"/>
              </w:rPr>
            </w:pPr>
          </w:p>
        </w:tc>
        <w:tc>
          <w:tcPr>
            <w:tcW w:w="6804" w:type="dxa"/>
            <w:vAlign w:val="center"/>
          </w:tcPr>
          <w:p w14:paraId="0FDEE900" w14:textId="77777777" w:rsidR="0018601C" w:rsidRPr="004C2176" w:rsidRDefault="0018601C" w:rsidP="001C6342">
            <w:pPr>
              <w:jc w:val="both"/>
              <w:rPr>
                <w:rFonts w:cs="Arial"/>
                <w:b/>
              </w:rPr>
            </w:pPr>
            <w:proofErr w:type="spellStart"/>
            <w:r w:rsidRPr="004C2176">
              <w:rPr>
                <w:rFonts w:cs="Arial"/>
                <w:b/>
              </w:rPr>
              <w:t>POPs</w:t>
            </w:r>
            <w:proofErr w:type="spellEnd"/>
            <w:r>
              <w:rPr>
                <w:rFonts w:cs="Arial"/>
                <w:b/>
              </w:rPr>
              <w:t>-</w:t>
            </w:r>
            <w:r w:rsidRPr="004C2176">
              <w:rPr>
                <w:rFonts w:cs="Arial"/>
                <w:b/>
              </w:rPr>
              <w:t>ovi mjereni u 2015.</w:t>
            </w:r>
            <w:r>
              <w:rPr>
                <w:rFonts w:cs="Arial"/>
                <w:b/>
              </w:rPr>
              <w:t xml:space="preserve"> (</w:t>
            </w:r>
            <w:r w:rsidRPr="004C2176">
              <w:rPr>
                <w:rFonts w:cs="Arial"/>
                <w:b/>
              </w:rPr>
              <w:t>priobaln</w:t>
            </w:r>
            <w:r>
              <w:rPr>
                <w:rFonts w:cs="Arial"/>
                <w:b/>
              </w:rPr>
              <w:t>e</w:t>
            </w:r>
            <w:r w:rsidRPr="004C2176">
              <w:rPr>
                <w:rFonts w:cs="Arial"/>
                <w:b/>
              </w:rPr>
              <w:t xml:space="preserve"> vod</w:t>
            </w:r>
            <w:r>
              <w:rPr>
                <w:rFonts w:cs="Arial"/>
                <w:b/>
              </w:rPr>
              <w:t>e)</w:t>
            </w:r>
          </w:p>
        </w:tc>
      </w:tr>
      <w:tr w:rsidR="0018601C" w:rsidRPr="00F82ABA" w14:paraId="4FBBA4C6" w14:textId="77777777" w:rsidTr="009D2743">
        <w:trPr>
          <w:jc w:val="center"/>
        </w:trPr>
        <w:tc>
          <w:tcPr>
            <w:tcW w:w="2405" w:type="dxa"/>
          </w:tcPr>
          <w:p w14:paraId="3146A742" w14:textId="77777777" w:rsidR="0018601C" w:rsidRPr="004C2176" w:rsidRDefault="0018601C" w:rsidP="001C6342">
            <w:pPr>
              <w:jc w:val="both"/>
              <w:rPr>
                <w:rFonts w:cs="Arial"/>
              </w:rPr>
            </w:pPr>
          </w:p>
          <w:p w14:paraId="7E8B6BA9" w14:textId="77777777" w:rsidR="0018601C" w:rsidRPr="004C2176" w:rsidRDefault="0018601C" w:rsidP="001C6342">
            <w:pPr>
              <w:jc w:val="both"/>
              <w:rPr>
                <w:rFonts w:cs="Arial"/>
                <w:b/>
              </w:rPr>
            </w:pPr>
            <w:r w:rsidRPr="004C2176">
              <w:rPr>
                <w:rFonts w:cs="Arial"/>
                <w:b/>
              </w:rPr>
              <w:t>Voda</w:t>
            </w:r>
          </w:p>
        </w:tc>
        <w:tc>
          <w:tcPr>
            <w:tcW w:w="6804" w:type="dxa"/>
            <w:vAlign w:val="center"/>
          </w:tcPr>
          <w:p w14:paraId="45AE26AF" w14:textId="37278B5B" w:rsidR="0018601C" w:rsidRPr="00F82ABA" w:rsidRDefault="00165DDD" w:rsidP="001C6342">
            <w:pPr>
              <w:jc w:val="both"/>
              <w:rPr>
                <w:rFonts w:cs="Arial"/>
                <w:i/>
              </w:rPr>
            </w:pPr>
            <w:r>
              <w:rPr>
                <w:rFonts w:cs="Arial"/>
                <w:i/>
              </w:rPr>
              <w:t>h</w:t>
            </w:r>
            <w:r w:rsidR="0018601C" w:rsidRPr="00F82ABA">
              <w:rPr>
                <w:rFonts w:cs="Arial"/>
                <w:i/>
              </w:rPr>
              <w:t>eksaklorobutadien</w:t>
            </w:r>
          </w:p>
          <w:p w14:paraId="450EDDD1" w14:textId="44784A5E" w:rsidR="0018601C" w:rsidRPr="00F82ABA" w:rsidRDefault="00165DDD" w:rsidP="001C6342">
            <w:pPr>
              <w:jc w:val="both"/>
              <w:rPr>
                <w:rFonts w:cs="Arial"/>
                <w:i/>
              </w:rPr>
            </w:pPr>
            <w:proofErr w:type="spellStart"/>
            <w:r>
              <w:rPr>
                <w:rFonts w:cs="Arial"/>
                <w:i/>
              </w:rPr>
              <w:t>h</w:t>
            </w:r>
            <w:r w:rsidR="0018601C" w:rsidRPr="00F82ABA">
              <w:rPr>
                <w:rFonts w:cs="Arial"/>
                <w:i/>
              </w:rPr>
              <w:t>eksaklorobenzen</w:t>
            </w:r>
            <w:proofErr w:type="spellEnd"/>
          </w:p>
          <w:p w14:paraId="66607763" w14:textId="77777777" w:rsidR="0018601C" w:rsidRPr="00F82ABA" w:rsidRDefault="0018601C" w:rsidP="001C6342">
            <w:pPr>
              <w:jc w:val="both"/>
              <w:rPr>
                <w:rFonts w:cs="Arial"/>
                <w:i/>
              </w:rPr>
            </w:pPr>
            <w:r w:rsidRPr="00F82ABA">
              <w:rPr>
                <w:rFonts w:cs="Arial"/>
                <w:i/>
              </w:rPr>
              <w:t>DDT</w:t>
            </w:r>
          </w:p>
          <w:p w14:paraId="1DD0F05A" w14:textId="11B329F0" w:rsidR="0018601C" w:rsidRPr="00F82ABA" w:rsidRDefault="00165DDD" w:rsidP="001C6342">
            <w:pPr>
              <w:jc w:val="both"/>
              <w:rPr>
                <w:rFonts w:cs="Arial"/>
                <w:i/>
              </w:rPr>
            </w:pPr>
            <w:proofErr w:type="spellStart"/>
            <w:r>
              <w:rPr>
                <w:rFonts w:cs="Arial"/>
                <w:i/>
              </w:rPr>
              <w:t>e</w:t>
            </w:r>
            <w:r w:rsidR="0018601C" w:rsidRPr="00F82ABA">
              <w:rPr>
                <w:rFonts w:cs="Arial"/>
                <w:i/>
              </w:rPr>
              <w:t>ndrin</w:t>
            </w:r>
            <w:proofErr w:type="spellEnd"/>
          </w:p>
          <w:p w14:paraId="73A168EF" w14:textId="6966B06A" w:rsidR="0018601C" w:rsidRPr="00F82ABA" w:rsidRDefault="00165DDD" w:rsidP="001C6342">
            <w:pPr>
              <w:jc w:val="both"/>
              <w:rPr>
                <w:rFonts w:cs="Arial"/>
                <w:i/>
              </w:rPr>
            </w:pPr>
            <w:proofErr w:type="spellStart"/>
            <w:r>
              <w:rPr>
                <w:rFonts w:cs="Arial"/>
                <w:i/>
              </w:rPr>
              <w:t>a</w:t>
            </w:r>
            <w:r w:rsidR="0018601C" w:rsidRPr="00F82ABA">
              <w:rPr>
                <w:rFonts w:cs="Arial"/>
                <w:i/>
              </w:rPr>
              <w:t>ldrin</w:t>
            </w:r>
            <w:proofErr w:type="spellEnd"/>
          </w:p>
          <w:p w14:paraId="12439A87" w14:textId="719DF262" w:rsidR="0018601C" w:rsidRPr="00F82ABA" w:rsidRDefault="00165DDD" w:rsidP="001C6342">
            <w:pPr>
              <w:jc w:val="both"/>
              <w:rPr>
                <w:rFonts w:cs="Arial"/>
                <w:i/>
              </w:rPr>
            </w:pPr>
            <w:proofErr w:type="spellStart"/>
            <w:r>
              <w:rPr>
                <w:rFonts w:cs="Arial"/>
                <w:i/>
              </w:rPr>
              <w:t>d</w:t>
            </w:r>
            <w:r w:rsidR="0018601C" w:rsidRPr="00F82ABA">
              <w:rPr>
                <w:rFonts w:cs="Arial"/>
                <w:i/>
              </w:rPr>
              <w:t>ieldrin</w:t>
            </w:r>
            <w:proofErr w:type="spellEnd"/>
          </w:p>
          <w:p w14:paraId="468BF0B4" w14:textId="68EFC391" w:rsidR="0018601C" w:rsidRPr="00F82ABA" w:rsidRDefault="00165DDD" w:rsidP="001C6342">
            <w:pPr>
              <w:jc w:val="both"/>
              <w:rPr>
                <w:rFonts w:cs="Arial"/>
                <w:i/>
              </w:rPr>
            </w:pPr>
            <w:r>
              <w:rPr>
                <w:rFonts w:cs="Arial"/>
                <w:i/>
              </w:rPr>
              <w:t>a</w:t>
            </w:r>
            <w:r w:rsidR="0018601C" w:rsidRPr="00F82ABA">
              <w:rPr>
                <w:rFonts w:cs="Arial"/>
                <w:i/>
              </w:rPr>
              <w:t xml:space="preserve">lfa-, beta-, gama- </w:t>
            </w:r>
            <w:proofErr w:type="spellStart"/>
            <w:r w:rsidR="0018601C" w:rsidRPr="00F82ABA">
              <w:rPr>
                <w:rFonts w:cs="Arial"/>
                <w:i/>
              </w:rPr>
              <w:t>heksaklorocikloheksan</w:t>
            </w:r>
            <w:proofErr w:type="spellEnd"/>
          </w:p>
          <w:p w14:paraId="019E040F" w14:textId="37FE7547" w:rsidR="0018601C" w:rsidRPr="00F82ABA" w:rsidRDefault="00165DDD" w:rsidP="001C6342">
            <w:pPr>
              <w:jc w:val="both"/>
              <w:rPr>
                <w:rFonts w:cs="Arial"/>
                <w:i/>
              </w:rPr>
            </w:pPr>
            <w:proofErr w:type="spellStart"/>
            <w:r>
              <w:rPr>
                <w:rFonts w:cs="Arial"/>
                <w:i/>
              </w:rPr>
              <w:t>e</w:t>
            </w:r>
            <w:r w:rsidR="0018601C" w:rsidRPr="00F82ABA">
              <w:rPr>
                <w:rFonts w:cs="Arial"/>
                <w:i/>
              </w:rPr>
              <w:t>ndosulfan</w:t>
            </w:r>
            <w:proofErr w:type="spellEnd"/>
          </w:p>
          <w:p w14:paraId="260E5EAF" w14:textId="71F02F83" w:rsidR="0018601C" w:rsidRPr="00F82ABA" w:rsidRDefault="00165DDD" w:rsidP="001C6342">
            <w:pPr>
              <w:jc w:val="both"/>
              <w:rPr>
                <w:rFonts w:cs="Arial"/>
                <w:i/>
              </w:rPr>
            </w:pPr>
            <w:r>
              <w:rPr>
                <w:rFonts w:cs="Arial"/>
                <w:i/>
              </w:rPr>
              <w:t>p</w:t>
            </w:r>
            <w:r w:rsidR="0018601C" w:rsidRPr="00F82ABA">
              <w:rPr>
                <w:rFonts w:cs="Arial"/>
                <w:i/>
              </w:rPr>
              <w:t>entaklor</w:t>
            </w:r>
            <w:r w:rsidR="00C23BC9">
              <w:rPr>
                <w:rFonts w:cs="Arial"/>
                <w:i/>
              </w:rPr>
              <w:t>o</w:t>
            </w:r>
            <w:r w:rsidR="0018601C" w:rsidRPr="00F82ABA">
              <w:rPr>
                <w:rFonts w:cs="Arial"/>
                <w:i/>
              </w:rPr>
              <w:t>benzen</w:t>
            </w:r>
          </w:p>
          <w:p w14:paraId="10533200" w14:textId="158F321E" w:rsidR="0018601C" w:rsidRPr="00F82ABA" w:rsidRDefault="00165DDD" w:rsidP="001C6342">
            <w:pPr>
              <w:jc w:val="both"/>
              <w:rPr>
                <w:rFonts w:cs="Arial"/>
                <w:i/>
              </w:rPr>
            </w:pPr>
            <w:proofErr w:type="spellStart"/>
            <w:r>
              <w:rPr>
                <w:rFonts w:cs="Arial"/>
                <w:i/>
              </w:rPr>
              <w:t>p</w:t>
            </w:r>
            <w:r w:rsidR="0018601C" w:rsidRPr="00F82ABA">
              <w:rPr>
                <w:rFonts w:cs="Arial"/>
                <w:i/>
              </w:rPr>
              <w:t>olibromirani</w:t>
            </w:r>
            <w:proofErr w:type="spellEnd"/>
            <w:r w:rsidR="0018601C" w:rsidRPr="00F82ABA">
              <w:rPr>
                <w:rFonts w:cs="Arial"/>
                <w:i/>
              </w:rPr>
              <w:t xml:space="preserve"> </w:t>
            </w:r>
            <w:proofErr w:type="spellStart"/>
            <w:r w:rsidR="0018601C" w:rsidRPr="00F82ABA">
              <w:rPr>
                <w:rFonts w:cs="Arial"/>
                <w:i/>
              </w:rPr>
              <w:t>difenileteri</w:t>
            </w:r>
            <w:proofErr w:type="spellEnd"/>
          </w:p>
          <w:p w14:paraId="62B1E17C" w14:textId="5E756461" w:rsidR="0018601C" w:rsidRPr="00F82ABA" w:rsidRDefault="00742787" w:rsidP="001C6342">
            <w:pPr>
              <w:jc w:val="both"/>
              <w:rPr>
                <w:rFonts w:cs="Arial"/>
                <w:i/>
              </w:rPr>
            </w:pPr>
            <w:proofErr w:type="spellStart"/>
            <w:r>
              <w:rPr>
                <w:rFonts w:cs="Arial"/>
                <w:i/>
              </w:rPr>
              <w:t>p</w:t>
            </w:r>
            <w:r w:rsidR="0018601C" w:rsidRPr="00F82ABA">
              <w:rPr>
                <w:rFonts w:cs="Arial"/>
                <w:i/>
              </w:rPr>
              <w:t>entaklor</w:t>
            </w:r>
            <w:r w:rsidR="00C23BC9">
              <w:rPr>
                <w:rFonts w:cs="Arial"/>
                <w:i/>
              </w:rPr>
              <w:t>o</w:t>
            </w:r>
            <w:r w:rsidR="0018601C" w:rsidRPr="00F82ABA">
              <w:rPr>
                <w:rFonts w:cs="Arial"/>
                <w:i/>
              </w:rPr>
              <w:t>fenol</w:t>
            </w:r>
            <w:proofErr w:type="spellEnd"/>
          </w:p>
          <w:p w14:paraId="5D242C12" w14:textId="2B68A87A" w:rsidR="0018601C" w:rsidRPr="00F82ABA" w:rsidRDefault="00742787" w:rsidP="001C6342">
            <w:pPr>
              <w:jc w:val="both"/>
              <w:rPr>
                <w:rFonts w:cs="Arial"/>
                <w:i/>
              </w:rPr>
            </w:pPr>
            <w:proofErr w:type="spellStart"/>
            <w:r>
              <w:rPr>
                <w:rFonts w:cs="Arial"/>
                <w:i/>
              </w:rPr>
              <w:t>k</w:t>
            </w:r>
            <w:r w:rsidR="0018601C" w:rsidRPr="00F82ABA">
              <w:rPr>
                <w:rFonts w:cs="Arial"/>
                <w:i/>
              </w:rPr>
              <w:t>loralkani</w:t>
            </w:r>
            <w:proofErr w:type="spellEnd"/>
            <w:r w:rsidR="0018601C" w:rsidRPr="00F82ABA">
              <w:rPr>
                <w:rFonts w:cs="Arial"/>
                <w:i/>
              </w:rPr>
              <w:t xml:space="preserve"> C10-C13</w:t>
            </w:r>
          </w:p>
        </w:tc>
      </w:tr>
      <w:tr w:rsidR="0018601C" w:rsidRPr="004C2176" w14:paraId="3D506A58" w14:textId="77777777" w:rsidTr="009D2743">
        <w:trPr>
          <w:jc w:val="center"/>
        </w:trPr>
        <w:tc>
          <w:tcPr>
            <w:tcW w:w="2405" w:type="dxa"/>
          </w:tcPr>
          <w:p w14:paraId="6CAD31E5" w14:textId="77777777" w:rsidR="0018601C" w:rsidRPr="004C2176" w:rsidRDefault="0018601C" w:rsidP="001C6342">
            <w:pPr>
              <w:jc w:val="both"/>
              <w:rPr>
                <w:rFonts w:cs="Arial"/>
              </w:rPr>
            </w:pPr>
          </w:p>
        </w:tc>
        <w:tc>
          <w:tcPr>
            <w:tcW w:w="6804" w:type="dxa"/>
            <w:vAlign w:val="center"/>
          </w:tcPr>
          <w:p w14:paraId="4B600298" w14:textId="77777777" w:rsidR="0018601C" w:rsidRPr="004C2176" w:rsidRDefault="0018601C" w:rsidP="001C6342">
            <w:pPr>
              <w:jc w:val="both"/>
              <w:rPr>
                <w:rFonts w:cs="Arial"/>
                <w:b/>
              </w:rPr>
            </w:pPr>
            <w:proofErr w:type="spellStart"/>
            <w:r w:rsidRPr="004C2176">
              <w:rPr>
                <w:rFonts w:cs="Arial"/>
                <w:b/>
              </w:rPr>
              <w:t>POPs</w:t>
            </w:r>
            <w:proofErr w:type="spellEnd"/>
            <w:r>
              <w:rPr>
                <w:rFonts w:cs="Arial"/>
                <w:b/>
              </w:rPr>
              <w:t>-</w:t>
            </w:r>
            <w:r w:rsidRPr="004C2176">
              <w:rPr>
                <w:rFonts w:cs="Arial"/>
                <w:b/>
              </w:rPr>
              <w:t xml:space="preserve">ovi mjereni u 2016. </w:t>
            </w:r>
            <w:r>
              <w:rPr>
                <w:rFonts w:cs="Arial"/>
                <w:b/>
              </w:rPr>
              <w:t>(p</w:t>
            </w:r>
            <w:r w:rsidRPr="004C2176">
              <w:rPr>
                <w:rFonts w:cs="Arial"/>
                <w:b/>
              </w:rPr>
              <w:t>rijelaz</w:t>
            </w:r>
            <w:r>
              <w:rPr>
                <w:rFonts w:cs="Arial"/>
                <w:b/>
              </w:rPr>
              <w:t>e</w:t>
            </w:r>
            <w:r w:rsidRPr="004C2176">
              <w:rPr>
                <w:rFonts w:cs="Arial"/>
                <w:b/>
              </w:rPr>
              <w:t xml:space="preserve"> vod</w:t>
            </w:r>
            <w:r>
              <w:rPr>
                <w:rFonts w:cs="Arial"/>
                <w:b/>
              </w:rPr>
              <w:t xml:space="preserve">e) </w:t>
            </w:r>
            <w:r w:rsidRPr="004C2176">
              <w:rPr>
                <w:rFonts w:cs="Arial"/>
                <w:b/>
              </w:rPr>
              <w:t xml:space="preserve">i 2017. </w:t>
            </w:r>
            <w:r>
              <w:rPr>
                <w:rFonts w:cs="Arial"/>
                <w:b/>
              </w:rPr>
              <w:t>(</w:t>
            </w:r>
            <w:r w:rsidRPr="004C2176">
              <w:rPr>
                <w:rFonts w:cs="Arial"/>
                <w:b/>
              </w:rPr>
              <w:t>priobaln</w:t>
            </w:r>
            <w:r>
              <w:rPr>
                <w:rFonts w:cs="Arial"/>
                <w:b/>
              </w:rPr>
              <w:t>e</w:t>
            </w:r>
            <w:r w:rsidRPr="004C2176">
              <w:rPr>
                <w:rFonts w:cs="Arial"/>
                <w:b/>
              </w:rPr>
              <w:t xml:space="preserve"> vod</w:t>
            </w:r>
            <w:r>
              <w:rPr>
                <w:rFonts w:cs="Arial"/>
                <w:b/>
              </w:rPr>
              <w:t>e)</w:t>
            </w:r>
          </w:p>
        </w:tc>
      </w:tr>
      <w:tr w:rsidR="0018601C" w:rsidRPr="004C2176" w14:paraId="6C9F12F2" w14:textId="77777777" w:rsidTr="009D2743">
        <w:trPr>
          <w:trHeight w:val="1305"/>
          <w:jc w:val="center"/>
        </w:trPr>
        <w:tc>
          <w:tcPr>
            <w:tcW w:w="2405" w:type="dxa"/>
          </w:tcPr>
          <w:p w14:paraId="510C85BD" w14:textId="77777777" w:rsidR="0018601C" w:rsidRPr="004C2176" w:rsidRDefault="0018601C" w:rsidP="001C6342">
            <w:pPr>
              <w:jc w:val="both"/>
              <w:rPr>
                <w:rFonts w:cs="Arial"/>
                <w:b/>
              </w:rPr>
            </w:pPr>
          </w:p>
          <w:p w14:paraId="68738058" w14:textId="77777777" w:rsidR="0018601C" w:rsidRPr="004C2176" w:rsidRDefault="0018601C" w:rsidP="001C6342">
            <w:pPr>
              <w:jc w:val="both"/>
              <w:rPr>
                <w:rFonts w:cs="Arial"/>
                <w:b/>
              </w:rPr>
            </w:pPr>
            <w:r w:rsidRPr="004C2176">
              <w:rPr>
                <w:rFonts w:cs="Arial"/>
                <w:b/>
              </w:rPr>
              <w:t>Voda</w:t>
            </w:r>
          </w:p>
        </w:tc>
        <w:tc>
          <w:tcPr>
            <w:tcW w:w="6804" w:type="dxa"/>
            <w:vAlign w:val="center"/>
          </w:tcPr>
          <w:p w14:paraId="320FA442" w14:textId="04A4D3ED" w:rsidR="0018601C" w:rsidRPr="004C2176" w:rsidRDefault="00742787" w:rsidP="001C6342">
            <w:pPr>
              <w:jc w:val="both"/>
              <w:rPr>
                <w:rFonts w:cs="Arial"/>
              </w:rPr>
            </w:pPr>
            <w:proofErr w:type="spellStart"/>
            <w:r>
              <w:rPr>
                <w:rFonts w:cs="Arial"/>
              </w:rPr>
              <w:t>p</w:t>
            </w:r>
            <w:r w:rsidR="0018601C" w:rsidRPr="004C2176">
              <w:rPr>
                <w:rFonts w:cs="Arial"/>
              </w:rPr>
              <w:t>olibromirani</w:t>
            </w:r>
            <w:proofErr w:type="spellEnd"/>
            <w:r w:rsidR="0018601C" w:rsidRPr="004C2176">
              <w:rPr>
                <w:rFonts w:cs="Arial"/>
              </w:rPr>
              <w:t xml:space="preserve"> </w:t>
            </w:r>
            <w:proofErr w:type="spellStart"/>
            <w:r w:rsidR="0018601C" w:rsidRPr="004C2176">
              <w:rPr>
                <w:rFonts w:cs="Arial"/>
              </w:rPr>
              <w:t>difenileteri</w:t>
            </w:r>
            <w:proofErr w:type="spellEnd"/>
          </w:p>
          <w:p w14:paraId="1D1D4E39" w14:textId="77777777" w:rsidR="0018601C" w:rsidRPr="004C2176" w:rsidRDefault="0018601C" w:rsidP="001C6342">
            <w:pPr>
              <w:jc w:val="both"/>
              <w:rPr>
                <w:rFonts w:cs="Arial"/>
              </w:rPr>
            </w:pPr>
            <w:r w:rsidRPr="004C2176">
              <w:rPr>
                <w:rFonts w:cs="Arial"/>
              </w:rPr>
              <w:t>DDT</w:t>
            </w:r>
          </w:p>
          <w:p w14:paraId="084E96CF" w14:textId="5C3BCD91" w:rsidR="0018601C" w:rsidRPr="004C2176" w:rsidRDefault="00742787" w:rsidP="001C6342">
            <w:pPr>
              <w:jc w:val="both"/>
              <w:rPr>
                <w:rFonts w:cs="Arial"/>
              </w:rPr>
            </w:pPr>
            <w:proofErr w:type="spellStart"/>
            <w:r>
              <w:rPr>
                <w:rFonts w:cs="Arial"/>
              </w:rPr>
              <w:t>e</w:t>
            </w:r>
            <w:r w:rsidR="0018601C" w:rsidRPr="004C2176">
              <w:rPr>
                <w:rFonts w:cs="Arial"/>
              </w:rPr>
              <w:t>ndosulfan</w:t>
            </w:r>
            <w:proofErr w:type="spellEnd"/>
          </w:p>
          <w:p w14:paraId="49FC3C38" w14:textId="1A867598" w:rsidR="0018601C" w:rsidRPr="004C2176" w:rsidRDefault="00742787" w:rsidP="001C6342">
            <w:pPr>
              <w:jc w:val="both"/>
              <w:rPr>
                <w:rFonts w:cs="Arial"/>
              </w:rPr>
            </w:pPr>
            <w:r>
              <w:rPr>
                <w:rFonts w:cs="Arial"/>
              </w:rPr>
              <w:t>p</w:t>
            </w:r>
            <w:r w:rsidR="0018601C" w:rsidRPr="004C2176">
              <w:rPr>
                <w:rFonts w:cs="Arial"/>
              </w:rPr>
              <w:t>entaklor</w:t>
            </w:r>
            <w:r w:rsidR="00C23BC9">
              <w:rPr>
                <w:rFonts w:cs="Arial"/>
              </w:rPr>
              <w:t>o</w:t>
            </w:r>
            <w:r w:rsidR="0018601C" w:rsidRPr="004C2176">
              <w:rPr>
                <w:rFonts w:cs="Arial"/>
              </w:rPr>
              <w:t>benzen</w:t>
            </w:r>
          </w:p>
        </w:tc>
      </w:tr>
      <w:tr w:rsidR="0018601C" w:rsidRPr="004C2176" w14:paraId="098269AA" w14:textId="77777777" w:rsidTr="009D2743">
        <w:trPr>
          <w:trHeight w:val="2094"/>
          <w:jc w:val="center"/>
        </w:trPr>
        <w:tc>
          <w:tcPr>
            <w:tcW w:w="2405" w:type="dxa"/>
          </w:tcPr>
          <w:p w14:paraId="2DA6CF9E" w14:textId="77777777" w:rsidR="0018601C" w:rsidRPr="004C2176" w:rsidRDefault="0018601C" w:rsidP="001C6342">
            <w:pPr>
              <w:jc w:val="both"/>
              <w:rPr>
                <w:rFonts w:cs="Arial"/>
              </w:rPr>
            </w:pPr>
          </w:p>
          <w:p w14:paraId="7377A40E" w14:textId="77777777" w:rsidR="0018601C" w:rsidRPr="004C2176" w:rsidRDefault="0018601C" w:rsidP="001C6342">
            <w:pPr>
              <w:jc w:val="both"/>
              <w:rPr>
                <w:rFonts w:cs="Arial"/>
                <w:b/>
              </w:rPr>
            </w:pPr>
            <w:proofErr w:type="spellStart"/>
            <w:r w:rsidRPr="004C2176">
              <w:rPr>
                <w:rFonts w:cs="Arial"/>
                <w:b/>
              </w:rPr>
              <w:t>Biota</w:t>
            </w:r>
            <w:proofErr w:type="spellEnd"/>
          </w:p>
        </w:tc>
        <w:tc>
          <w:tcPr>
            <w:tcW w:w="6804" w:type="dxa"/>
            <w:vAlign w:val="center"/>
          </w:tcPr>
          <w:p w14:paraId="4FDDAE1D" w14:textId="7BB5CF9C" w:rsidR="0018601C" w:rsidRPr="004C2176" w:rsidRDefault="00742787" w:rsidP="001C6342">
            <w:pPr>
              <w:jc w:val="both"/>
              <w:rPr>
                <w:rFonts w:cs="Arial"/>
              </w:rPr>
            </w:pPr>
            <w:proofErr w:type="spellStart"/>
            <w:r>
              <w:rPr>
                <w:rFonts w:cs="Arial"/>
              </w:rPr>
              <w:t>p</w:t>
            </w:r>
            <w:r w:rsidR="0018601C" w:rsidRPr="004C2176">
              <w:rPr>
                <w:rFonts w:cs="Arial"/>
              </w:rPr>
              <w:t>olibromirani</w:t>
            </w:r>
            <w:proofErr w:type="spellEnd"/>
            <w:r w:rsidR="0018601C" w:rsidRPr="004C2176">
              <w:rPr>
                <w:rFonts w:cs="Arial"/>
              </w:rPr>
              <w:t xml:space="preserve"> </w:t>
            </w:r>
            <w:proofErr w:type="spellStart"/>
            <w:r w:rsidR="0018601C" w:rsidRPr="004C2176">
              <w:rPr>
                <w:rFonts w:cs="Arial"/>
              </w:rPr>
              <w:t>difenileteri</w:t>
            </w:r>
            <w:proofErr w:type="spellEnd"/>
          </w:p>
          <w:p w14:paraId="066D6049" w14:textId="42E9BE57" w:rsidR="0018601C" w:rsidRPr="004C2176" w:rsidRDefault="00742787" w:rsidP="001C6342">
            <w:pPr>
              <w:jc w:val="both"/>
              <w:rPr>
                <w:rFonts w:cs="Arial"/>
              </w:rPr>
            </w:pPr>
            <w:proofErr w:type="spellStart"/>
            <w:r>
              <w:rPr>
                <w:rFonts w:cs="Arial"/>
              </w:rPr>
              <w:t>h</w:t>
            </w:r>
            <w:r w:rsidR="0018601C" w:rsidRPr="004C2176">
              <w:rPr>
                <w:rFonts w:cs="Arial"/>
              </w:rPr>
              <w:t>eksaklorobenzen</w:t>
            </w:r>
            <w:proofErr w:type="spellEnd"/>
          </w:p>
          <w:p w14:paraId="2D138A84" w14:textId="0F2703DB" w:rsidR="0018601C" w:rsidRPr="004C2176" w:rsidRDefault="00742787" w:rsidP="001C6342">
            <w:pPr>
              <w:jc w:val="both"/>
              <w:rPr>
                <w:rFonts w:cs="Arial"/>
              </w:rPr>
            </w:pPr>
            <w:r>
              <w:rPr>
                <w:rFonts w:cs="Arial"/>
              </w:rPr>
              <w:t>h</w:t>
            </w:r>
            <w:r w:rsidR="0018601C" w:rsidRPr="004C2176">
              <w:rPr>
                <w:rFonts w:cs="Arial"/>
              </w:rPr>
              <w:t>eksaklorobutadien</w:t>
            </w:r>
          </w:p>
          <w:p w14:paraId="61B5B40E" w14:textId="55A2DFCB" w:rsidR="0018601C" w:rsidRPr="004C2176" w:rsidRDefault="00742787" w:rsidP="001C6342">
            <w:pPr>
              <w:jc w:val="both"/>
              <w:rPr>
                <w:rFonts w:cs="Arial"/>
              </w:rPr>
            </w:pPr>
            <w:r>
              <w:rPr>
                <w:rFonts w:cs="Arial"/>
              </w:rPr>
              <w:t>a</w:t>
            </w:r>
            <w:r w:rsidR="0018601C" w:rsidRPr="004C2176">
              <w:rPr>
                <w:rFonts w:cs="Arial"/>
              </w:rPr>
              <w:t xml:space="preserve">lfa-, beta-, gama- </w:t>
            </w:r>
            <w:proofErr w:type="spellStart"/>
            <w:r w:rsidR="0018601C" w:rsidRPr="004C2176">
              <w:rPr>
                <w:rFonts w:cs="Arial"/>
              </w:rPr>
              <w:t>heksaklorocikloheksan</w:t>
            </w:r>
            <w:proofErr w:type="spellEnd"/>
          </w:p>
          <w:p w14:paraId="12C96F94" w14:textId="5ECD975B" w:rsidR="0018601C" w:rsidRPr="004C2176" w:rsidRDefault="00742787" w:rsidP="001C6342">
            <w:pPr>
              <w:jc w:val="both"/>
              <w:rPr>
                <w:rFonts w:cs="Arial"/>
              </w:rPr>
            </w:pPr>
            <w:proofErr w:type="spellStart"/>
            <w:r>
              <w:rPr>
                <w:rFonts w:cs="Arial"/>
              </w:rPr>
              <w:t>p</w:t>
            </w:r>
            <w:r w:rsidR="0018601C" w:rsidRPr="004C2176">
              <w:rPr>
                <w:rFonts w:cs="Arial"/>
              </w:rPr>
              <w:t>erfluorooktansulfonska</w:t>
            </w:r>
            <w:proofErr w:type="spellEnd"/>
            <w:r w:rsidR="0018601C" w:rsidRPr="004C2176">
              <w:rPr>
                <w:rFonts w:cs="Arial"/>
              </w:rPr>
              <w:t xml:space="preserve"> (PFOS)</w:t>
            </w:r>
          </w:p>
          <w:p w14:paraId="54CA4938" w14:textId="366B4698" w:rsidR="0018601C" w:rsidRPr="004C2176" w:rsidRDefault="00742787" w:rsidP="001C6342">
            <w:pPr>
              <w:jc w:val="both"/>
              <w:rPr>
                <w:rFonts w:cs="Arial"/>
              </w:rPr>
            </w:pPr>
            <w:proofErr w:type="spellStart"/>
            <w:r>
              <w:rPr>
                <w:rFonts w:cs="Arial"/>
              </w:rPr>
              <w:t>d</w:t>
            </w:r>
            <w:r w:rsidR="0018601C" w:rsidRPr="004C2176">
              <w:rPr>
                <w:rFonts w:cs="Arial"/>
              </w:rPr>
              <w:t>ioksini</w:t>
            </w:r>
            <w:proofErr w:type="spellEnd"/>
            <w:r w:rsidR="0018601C" w:rsidRPr="004C2176">
              <w:rPr>
                <w:rFonts w:cs="Arial"/>
              </w:rPr>
              <w:t xml:space="preserve"> i spojevi poput </w:t>
            </w:r>
            <w:proofErr w:type="spellStart"/>
            <w:r w:rsidR="0018601C" w:rsidRPr="004C2176">
              <w:rPr>
                <w:rFonts w:cs="Arial"/>
              </w:rPr>
              <w:t>dioksina</w:t>
            </w:r>
            <w:proofErr w:type="spellEnd"/>
          </w:p>
          <w:p w14:paraId="6F67DBFB" w14:textId="5AEB99AB" w:rsidR="0018601C" w:rsidRPr="004C2176" w:rsidRDefault="00742787" w:rsidP="001C6342">
            <w:pPr>
              <w:jc w:val="both"/>
              <w:rPr>
                <w:rFonts w:cs="Arial"/>
              </w:rPr>
            </w:pPr>
            <w:proofErr w:type="spellStart"/>
            <w:r>
              <w:rPr>
                <w:rFonts w:cs="Arial"/>
              </w:rPr>
              <w:t>h</w:t>
            </w:r>
            <w:r w:rsidR="0018601C" w:rsidRPr="004C2176">
              <w:rPr>
                <w:rFonts w:cs="Arial"/>
              </w:rPr>
              <w:t>eksabromociklododekan</w:t>
            </w:r>
            <w:proofErr w:type="spellEnd"/>
            <w:r w:rsidR="0018601C" w:rsidRPr="004C2176">
              <w:rPr>
                <w:rFonts w:cs="Arial"/>
              </w:rPr>
              <w:t xml:space="preserve"> (HBCDD)</w:t>
            </w:r>
          </w:p>
          <w:p w14:paraId="7E6F28F0" w14:textId="28271BA4" w:rsidR="0018601C" w:rsidRPr="004C2176" w:rsidRDefault="00742787" w:rsidP="001C6342">
            <w:pPr>
              <w:jc w:val="both"/>
              <w:rPr>
                <w:rFonts w:cs="Arial"/>
              </w:rPr>
            </w:pPr>
            <w:proofErr w:type="spellStart"/>
            <w:r>
              <w:rPr>
                <w:rFonts w:cs="Arial"/>
              </w:rPr>
              <w:t>h</w:t>
            </w:r>
            <w:r w:rsidR="0018601C" w:rsidRPr="004C2176">
              <w:rPr>
                <w:rFonts w:cs="Arial"/>
              </w:rPr>
              <w:t>eptaklor</w:t>
            </w:r>
            <w:proofErr w:type="spellEnd"/>
            <w:r w:rsidR="0018601C" w:rsidRPr="004C2176">
              <w:rPr>
                <w:rFonts w:cs="Arial"/>
              </w:rPr>
              <w:t xml:space="preserve"> i </w:t>
            </w:r>
            <w:proofErr w:type="spellStart"/>
            <w:r w:rsidR="0018601C" w:rsidRPr="004C2176">
              <w:rPr>
                <w:rFonts w:cs="Arial"/>
              </w:rPr>
              <w:t>heptaklorepkosid</w:t>
            </w:r>
            <w:proofErr w:type="spellEnd"/>
          </w:p>
        </w:tc>
      </w:tr>
      <w:tr w:rsidR="0018601C" w:rsidRPr="004C2176" w14:paraId="469223CD" w14:textId="77777777" w:rsidTr="009D2743">
        <w:trPr>
          <w:trHeight w:val="2356"/>
          <w:jc w:val="center"/>
        </w:trPr>
        <w:tc>
          <w:tcPr>
            <w:tcW w:w="2405" w:type="dxa"/>
          </w:tcPr>
          <w:p w14:paraId="6B1C5694" w14:textId="77777777" w:rsidR="0018601C" w:rsidRPr="004C2176" w:rsidRDefault="0018601C" w:rsidP="001C6342">
            <w:pPr>
              <w:jc w:val="both"/>
              <w:rPr>
                <w:rFonts w:cs="Arial"/>
              </w:rPr>
            </w:pPr>
          </w:p>
          <w:p w14:paraId="393251F8" w14:textId="77777777" w:rsidR="0018601C" w:rsidRPr="004C2176" w:rsidRDefault="0018601C" w:rsidP="001C6342">
            <w:pPr>
              <w:jc w:val="both"/>
              <w:rPr>
                <w:rFonts w:cs="Arial"/>
                <w:b/>
              </w:rPr>
            </w:pPr>
            <w:r w:rsidRPr="004C2176">
              <w:rPr>
                <w:rFonts w:cs="Arial"/>
                <w:b/>
              </w:rPr>
              <w:t>Sediment</w:t>
            </w:r>
          </w:p>
        </w:tc>
        <w:tc>
          <w:tcPr>
            <w:tcW w:w="6804" w:type="dxa"/>
            <w:vAlign w:val="center"/>
          </w:tcPr>
          <w:p w14:paraId="5A7F67A4" w14:textId="603DDCE7" w:rsidR="0018601C" w:rsidRPr="004C2176" w:rsidRDefault="00E42F82" w:rsidP="001C6342">
            <w:pPr>
              <w:jc w:val="both"/>
              <w:rPr>
                <w:rFonts w:cs="Arial"/>
              </w:rPr>
            </w:pPr>
            <w:proofErr w:type="spellStart"/>
            <w:r>
              <w:rPr>
                <w:rFonts w:cs="Arial"/>
              </w:rPr>
              <w:t>p</w:t>
            </w:r>
            <w:r w:rsidR="0018601C" w:rsidRPr="004C2176">
              <w:rPr>
                <w:rFonts w:cs="Arial"/>
              </w:rPr>
              <w:t>olibromirani</w:t>
            </w:r>
            <w:proofErr w:type="spellEnd"/>
            <w:r w:rsidR="0018601C" w:rsidRPr="004C2176">
              <w:rPr>
                <w:rFonts w:cs="Arial"/>
              </w:rPr>
              <w:t xml:space="preserve"> </w:t>
            </w:r>
            <w:proofErr w:type="spellStart"/>
            <w:r w:rsidR="0018601C" w:rsidRPr="004C2176">
              <w:rPr>
                <w:rFonts w:cs="Arial"/>
              </w:rPr>
              <w:t>difenileteri</w:t>
            </w:r>
            <w:proofErr w:type="spellEnd"/>
          </w:p>
          <w:p w14:paraId="64B7E288" w14:textId="0891ED4F" w:rsidR="0018601C" w:rsidRPr="004C2176" w:rsidRDefault="00E42F82" w:rsidP="001C6342">
            <w:pPr>
              <w:jc w:val="both"/>
              <w:rPr>
                <w:rFonts w:cs="Arial"/>
              </w:rPr>
            </w:pPr>
            <w:proofErr w:type="spellStart"/>
            <w:r>
              <w:rPr>
                <w:rFonts w:cs="Arial"/>
              </w:rPr>
              <w:t>k</w:t>
            </w:r>
            <w:r w:rsidR="0018601C" w:rsidRPr="004C2176">
              <w:rPr>
                <w:rFonts w:cs="Arial"/>
              </w:rPr>
              <w:t>loralkani</w:t>
            </w:r>
            <w:proofErr w:type="spellEnd"/>
            <w:r w:rsidR="0018601C" w:rsidRPr="004C2176">
              <w:rPr>
                <w:rFonts w:cs="Arial"/>
              </w:rPr>
              <w:t xml:space="preserve"> C10-C13</w:t>
            </w:r>
          </w:p>
          <w:p w14:paraId="7D7A6115" w14:textId="23D07EA1" w:rsidR="0018601C" w:rsidRPr="004C2176" w:rsidRDefault="00E42F82" w:rsidP="001C6342">
            <w:pPr>
              <w:jc w:val="both"/>
              <w:rPr>
                <w:rFonts w:cs="Arial"/>
              </w:rPr>
            </w:pPr>
            <w:proofErr w:type="spellStart"/>
            <w:r>
              <w:rPr>
                <w:rFonts w:cs="Arial"/>
              </w:rPr>
              <w:t>o</w:t>
            </w:r>
            <w:r w:rsidR="0018601C" w:rsidRPr="004C2176">
              <w:rPr>
                <w:rFonts w:cs="Arial"/>
              </w:rPr>
              <w:t>rganoklorovi</w:t>
            </w:r>
            <w:proofErr w:type="spellEnd"/>
            <w:r w:rsidR="0018601C" w:rsidRPr="004C2176">
              <w:rPr>
                <w:rFonts w:cs="Arial"/>
              </w:rPr>
              <w:t xml:space="preserve"> pesticidi (</w:t>
            </w:r>
            <w:proofErr w:type="spellStart"/>
            <w:r w:rsidR="0018601C" w:rsidRPr="004C2176">
              <w:rPr>
                <w:rFonts w:cs="Arial"/>
              </w:rPr>
              <w:t>heksaklor</w:t>
            </w:r>
            <w:r w:rsidR="009D2743">
              <w:rPr>
                <w:rFonts w:cs="Arial"/>
              </w:rPr>
              <w:t>o</w:t>
            </w:r>
            <w:r w:rsidR="0018601C" w:rsidRPr="004C2176">
              <w:rPr>
                <w:rFonts w:cs="Arial"/>
              </w:rPr>
              <w:t>benzen</w:t>
            </w:r>
            <w:proofErr w:type="spellEnd"/>
            <w:r w:rsidR="0018601C" w:rsidRPr="004C2176">
              <w:rPr>
                <w:rFonts w:cs="Arial"/>
              </w:rPr>
              <w:t xml:space="preserve"> i </w:t>
            </w:r>
            <w:proofErr w:type="spellStart"/>
            <w:r w:rsidR="0018601C" w:rsidRPr="004C2176">
              <w:rPr>
                <w:rFonts w:cs="Arial"/>
              </w:rPr>
              <w:t>heksaklor</w:t>
            </w:r>
            <w:r w:rsidR="009D2743">
              <w:rPr>
                <w:rFonts w:cs="Arial"/>
              </w:rPr>
              <w:t>o</w:t>
            </w:r>
            <w:r w:rsidR="0018601C" w:rsidRPr="004C2176">
              <w:rPr>
                <w:rFonts w:cs="Arial"/>
              </w:rPr>
              <w:t>cikloheksan</w:t>
            </w:r>
            <w:proofErr w:type="spellEnd"/>
            <w:r w:rsidR="0018601C" w:rsidRPr="004C2176">
              <w:rPr>
                <w:rFonts w:cs="Arial"/>
              </w:rPr>
              <w:t>)</w:t>
            </w:r>
          </w:p>
          <w:p w14:paraId="5AEB4F20" w14:textId="2AF2F264" w:rsidR="0018601C" w:rsidRPr="004C2176" w:rsidRDefault="00E42F82" w:rsidP="001C6342">
            <w:pPr>
              <w:jc w:val="both"/>
              <w:rPr>
                <w:rFonts w:cs="Arial"/>
              </w:rPr>
            </w:pPr>
            <w:r>
              <w:rPr>
                <w:rFonts w:cs="Arial"/>
              </w:rPr>
              <w:t>p</w:t>
            </w:r>
            <w:r w:rsidR="0018601C" w:rsidRPr="004C2176">
              <w:rPr>
                <w:rFonts w:cs="Arial"/>
              </w:rPr>
              <w:t>entaklor</w:t>
            </w:r>
            <w:r w:rsidR="00C23BC9">
              <w:rPr>
                <w:rFonts w:cs="Arial"/>
              </w:rPr>
              <w:t>o</w:t>
            </w:r>
            <w:r w:rsidR="0018601C" w:rsidRPr="004C2176">
              <w:rPr>
                <w:rFonts w:cs="Arial"/>
              </w:rPr>
              <w:t>benzen</w:t>
            </w:r>
          </w:p>
          <w:p w14:paraId="10475911" w14:textId="0463385C" w:rsidR="0018601C" w:rsidRPr="004C2176" w:rsidRDefault="00E42F82" w:rsidP="001C6342">
            <w:pPr>
              <w:jc w:val="both"/>
              <w:rPr>
                <w:rFonts w:cs="Arial"/>
              </w:rPr>
            </w:pPr>
            <w:proofErr w:type="spellStart"/>
            <w:r>
              <w:rPr>
                <w:rFonts w:cs="Arial"/>
              </w:rPr>
              <w:t>p</w:t>
            </w:r>
            <w:r w:rsidR="0018601C" w:rsidRPr="004C2176">
              <w:rPr>
                <w:rFonts w:cs="Arial"/>
              </w:rPr>
              <w:t>erfluorooktansulfonska</w:t>
            </w:r>
            <w:proofErr w:type="spellEnd"/>
            <w:r w:rsidR="0018601C" w:rsidRPr="004C2176">
              <w:rPr>
                <w:rFonts w:cs="Arial"/>
              </w:rPr>
              <w:t xml:space="preserve"> kiselina (PFOS)</w:t>
            </w:r>
          </w:p>
          <w:p w14:paraId="1C309DDF" w14:textId="7760C1AA" w:rsidR="0018601C" w:rsidRPr="004C2176" w:rsidRDefault="00E42F82" w:rsidP="001C6342">
            <w:pPr>
              <w:jc w:val="both"/>
              <w:rPr>
                <w:rFonts w:cs="Arial"/>
              </w:rPr>
            </w:pPr>
            <w:proofErr w:type="spellStart"/>
            <w:r>
              <w:rPr>
                <w:rFonts w:cs="Arial"/>
              </w:rPr>
              <w:t>d</w:t>
            </w:r>
            <w:r w:rsidR="0018601C" w:rsidRPr="004C2176">
              <w:rPr>
                <w:rFonts w:cs="Arial"/>
              </w:rPr>
              <w:t>ioksini</w:t>
            </w:r>
            <w:proofErr w:type="spellEnd"/>
            <w:r w:rsidR="0018601C" w:rsidRPr="004C2176">
              <w:rPr>
                <w:rFonts w:cs="Arial"/>
              </w:rPr>
              <w:t xml:space="preserve"> i spojevi poput </w:t>
            </w:r>
            <w:proofErr w:type="spellStart"/>
            <w:r w:rsidR="0018601C" w:rsidRPr="004C2176">
              <w:rPr>
                <w:rFonts w:cs="Arial"/>
              </w:rPr>
              <w:t>dioksina</w:t>
            </w:r>
            <w:proofErr w:type="spellEnd"/>
            <w:r w:rsidR="0018601C" w:rsidRPr="004C2176">
              <w:rPr>
                <w:rFonts w:cs="Arial"/>
              </w:rPr>
              <w:t xml:space="preserve"> </w:t>
            </w:r>
          </w:p>
          <w:p w14:paraId="10252C70" w14:textId="73C20D09" w:rsidR="0018601C" w:rsidRPr="004C2176" w:rsidRDefault="00E42F82" w:rsidP="001C6342">
            <w:pPr>
              <w:jc w:val="both"/>
              <w:rPr>
                <w:rFonts w:cs="Arial"/>
              </w:rPr>
            </w:pPr>
            <w:proofErr w:type="spellStart"/>
            <w:r>
              <w:rPr>
                <w:rFonts w:cs="Arial"/>
              </w:rPr>
              <w:t>h</w:t>
            </w:r>
            <w:r w:rsidR="0018601C" w:rsidRPr="004C2176">
              <w:rPr>
                <w:rFonts w:cs="Arial"/>
              </w:rPr>
              <w:t>eksabrom</w:t>
            </w:r>
            <w:r w:rsidR="00C23BC9">
              <w:rPr>
                <w:rFonts w:cs="Arial"/>
              </w:rPr>
              <w:t>o</w:t>
            </w:r>
            <w:r w:rsidR="0018601C" w:rsidRPr="004C2176">
              <w:rPr>
                <w:rFonts w:cs="Arial"/>
              </w:rPr>
              <w:t>ciklododekan</w:t>
            </w:r>
            <w:proofErr w:type="spellEnd"/>
          </w:p>
          <w:p w14:paraId="7D266F8B" w14:textId="29ADEFB3" w:rsidR="0018601C" w:rsidRPr="004C2176" w:rsidRDefault="00E42F82" w:rsidP="001C6342">
            <w:pPr>
              <w:jc w:val="both"/>
              <w:rPr>
                <w:rFonts w:cs="Arial"/>
              </w:rPr>
            </w:pPr>
            <w:proofErr w:type="spellStart"/>
            <w:r>
              <w:rPr>
                <w:rFonts w:cs="Arial"/>
              </w:rPr>
              <w:t>h</w:t>
            </w:r>
            <w:r w:rsidR="0018601C" w:rsidRPr="004C2176">
              <w:rPr>
                <w:rFonts w:cs="Arial"/>
              </w:rPr>
              <w:t>eptaklor</w:t>
            </w:r>
            <w:proofErr w:type="spellEnd"/>
            <w:r w:rsidR="0018601C" w:rsidRPr="004C2176">
              <w:rPr>
                <w:rFonts w:cs="Arial"/>
              </w:rPr>
              <w:t xml:space="preserve"> i </w:t>
            </w:r>
            <w:proofErr w:type="spellStart"/>
            <w:r w:rsidR="0018601C" w:rsidRPr="004C2176">
              <w:rPr>
                <w:rFonts w:cs="Arial"/>
              </w:rPr>
              <w:t>heptaklorepoksid</w:t>
            </w:r>
            <w:proofErr w:type="spellEnd"/>
          </w:p>
        </w:tc>
      </w:tr>
    </w:tbl>
    <w:p w14:paraId="6F74567F" w14:textId="77777777" w:rsidR="0018601C" w:rsidRPr="004C2176" w:rsidRDefault="0018601C" w:rsidP="0018601C">
      <w:pPr>
        <w:jc w:val="both"/>
        <w:rPr>
          <w:noProof/>
        </w:rPr>
      </w:pPr>
    </w:p>
    <w:p w14:paraId="5D273CF9" w14:textId="180ED358" w:rsidR="0018601C" w:rsidRPr="0049146C" w:rsidRDefault="0018601C" w:rsidP="004C192E">
      <w:pPr>
        <w:spacing w:after="120"/>
        <w:jc w:val="both"/>
        <w:rPr>
          <w:noProof/>
        </w:rPr>
      </w:pPr>
      <w:r w:rsidRPr="0018601C">
        <w:rPr>
          <w:noProof/>
        </w:rPr>
        <w:t>U razdoblju 2016.</w:t>
      </w:r>
      <w:r w:rsidR="004C192E">
        <w:rPr>
          <w:noProof/>
        </w:rPr>
        <w:t xml:space="preserve"> – </w:t>
      </w:r>
      <w:r w:rsidRPr="0018601C">
        <w:rPr>
          <w:noProof/>
        </w:rPr>
        <w:t>2017.</w:t>
      </w:r>
      <w:r>
        <w:rPr>
          <w:noProof/>
        </w:rPr>
        <w:t xml:space="preserve"> godine</w:t>
      </w:r>
      <w:r w:rsidRPr="0018601C">
        <w:rPr>
          <w:noProof/>
        </w:rPr>
        <w:t xml:space="preserve">  u okviru „Ugovora o sustavnom ispitivanju kakvoće prijelaznih i priobalnih voda u 2016</w:t>
      </w:r>
      <w:r w:rsidR="004C192E">
        <w:rPr>
          <w:noProof/>
        </w:rPr>
        <w:t xml:space="preserve">. – </w:t>
      </w:r>
      <w:r w:rsidRPr="0018601C">
        <w:rPr>
          <w:noProof/>
        </w:rPr>
        <w:t>2017. godini“ financiranog od strane Hrvatskih voda</w:t>
      </w:r>
      <w:r w:rsidR="00F30326">
        <w:rPr>
          <w:noProof/>
        </w:rPr>
        <w:t>,</w:t>
      </w:r>
      <w:r w:rsidRPr="0018601C">
        <w:rPr>
          <w:noProof/>
        </w:rPr>
        <w:t xml:space="preserve"> </w:t>
      </w:r>
      <w:r w:rsidR="00B40940" w:rsidRPr="0018601C">
        <w:rPr>
          <w:noProof/>
        </w:rPr>
        <w:t>ra</w:t>
      </w:r>
      <w:r w:rsidR="00B40940">
        <w:rPr>
          <w:noProof/>
        </w:rPr>
        <w:t>đ</w:t>
      </w:r>
      <w:r w:rsidR="00B40940" w:rsidRPr="0018601C">
        <w:rPr>
          <w:noProof/>
        </w:rPr>
        <w:t xml:space="preserve">ene </w:t>
      </w:r>
      <w:r w:rsidRPr="0018601C">
        <w:rPr>
          <w:noProof/>
        </w:rPr>
        <w:t xml:space="preserve">su analize niza organskih </w:t>
      </w:r>
      <w:r w:rsidR="004C192E" w:rsidRPr="004C192E">
        <w:rPr>
          <w:noProof/>
        </w:rPr>
        <w:t>onečiščujućih tvari</w:t>
      </w:r>
      <w:r w:rsidRPr="004C192E">
        <w:rPr>
          <w:noProof/>
        </w:rPr>
        <w:t xml:space="preserve"> </w:t>
      </w:r>
      <w:r w:rsidRPr="0018601C">
        <w:rPr>
          <w:noProof/>
        </w:rPr>
        <w:t xml:space="preserve">koje ulaze u skupinu POPs-ova (Tablica </w:t>
      </w:r>
      <w:r w:rsidR="004C192E" w:rsidRPr="004C192E">
        <w:rPr>
          <w:noProof/>
        </w:rPr>
        <w:t>2.3-1</w:t>
      </w:r>
      <w:r w:rsidRPr="0018601C">
        <w:rPr>
          <w:noProof/>
        </w:rPr>
        <w:t>). Izvođači projekta bili su konzorcij Instituta za o</w:t>
      </w:r>
      <w:r w:rsidRPr="0049146C">
        <w:rPr>
          <w:noProof/>
        </w:rPr>
        <w:t>ceanografiju i ribarstvo iz Splita (IOR), Instituta Ruđer Bošković iz Zagreba (IRB) i Nacionalnog laboratorija za zdravje, okolje i hrano iz Maribora, Slovenija (NZLO). Analize POP</w:t>
      </w:r>
      <w:r w:rsidR="004C192E">
        <w:rPr>
          <w:noProof/>
        </w:rPr>
        <w:t>s</w:t>
      </w:r>
      <w:r w:rsidRPr="0049146C">
        <w:rPr>
          <w:noProof/>
        </w:rPr>
        <w:t xml:space="preserve">-ova rađene su u laboratorijima IRB-a i NZLO-a. </w:t>
      </w:r>
      <w:r w:rsidRPr="0018601C">
        <w:rPr>
          <w:noProof/>
        </w:rPr>
        <w:t xml:space="preserve"> </w:t>
      </w:r>
    </w:p>
    <w:p w14:paraId="455AF998" w14:textId="69087373" w:rsidR="0018601C" w:rsidRPr="00DE638D" w:rsidRDefault="0018601C" w:rsidP="0018601C">
      <w:pPr>
        <w:jc w:val="both"/>
        <w:rPr>
          <w:noProof/>
        </w:rPr>
      </w:pPr>
      <w:r w:rsidRPr="0049713B">
        <w:rPr>
          <w:noProof/>
        </w:rPr>
        <w:t>Analize su provođene prema zahtjevima Europske direktive o vodama o praćenju prioritetnih tvari u vodama te je ocjena kemijskog stanja rađena prema važeć</w:t>
      </w:r>
      <w:r w:rsidR="004C192E">
        <w:rPr>
          <w:noProof/>
        </w:rPr>
        <w:t>em</w:t>
      </w:r>
      <w:r w:rsidRPr="0049713B">
        <w:rPr>
          <w:noProof/>
        </w:rPr>
        <w:t xml:space="preserve"> </w:t>
      </w:r>
      <w:r w:rsidR="004F6D47" w:rsidRPr="00CB3FD2">
        <w:rPr>
          <w:noProof/>
        </w:rPr>
        <w:t>e</w:t>
      </w:r>
      <w:r w:rsidR="004F6D47">
        <w:rPr>
          <w:noProof/>
        </w:rPr>
        <w:t>u</w:t>
      </w:r>
      <w:r w:rsidR="004F6D47" w:rsidRPr="00CB3FD2">
        <w:rPr>
          <w:noProof/>
        </w:rPr>
        <w:t>ropsk</w:t>
      </w:r>
      <w:r w:rsidR="004C192E">
        <w:rPr>
          <w:noProof/>
        </w:rPr>
        <w:t>om</w:t>
      </w:r>
      <w:r w:rsidR="004F6D47" w:rsidRPr="00CB3FD2">
        <w:rPr>
          <w:noProof/>
        </w:rPr>
        <w:t xml:space="preserve"> </w:t>
      </w:r>
      <w:r w:rsidRPr="00CB3FD2">
        <w:rPr>
          <w:noProof/>
        </w:rPr>
        <w:t xml:space="preserve">i </w:t>
      </w:r>
      <w:r w:rsidRPr="00362FDE">
        <w:rPr>
          <w:noProof/>
        </w:rPr>
        <w:t>hrvatsko</w:t>
      </w:r>
      <w:r w:rsidR="004C192E">
        <w:rPr>
          <w:noProof/>
        </w:rPr>
        <w:t>m</w:t>
      </w:r>
      <w:r w:rsidRPr="00362FDE">
        <w:rPr>
          <w:noProof/>
        </w:rPr>
        <w:t xml:space="preserve"> </w:t>
      </w:r>
      <w:r w:rsidR="00DE638D">
        <w:rPr>
          <w:noProof/>
        </w:rPr>
        <w:t>zakonodavstvu</w:t>
      </w:r>
      <w:r w:rsidR="00E23D6C">
        <w:rPr>
          <w:noProof/>
        </w:rPr>
        <w:t xml:space="preserve">, </w:t>
      </w:r>
      <w:r w:rsidR="00E23D6C" w:rsidRPr="00E23D6C">
        <w:rPr>
          <w:noProof/>
        </w:rPr>
        <w:t>Uredba o standardu kakvoće voda (Narodne novine, br. 73/13, 151/14 i 78/15)</w:t>
      </w:r>
      <w:r w:rsidR="00E23D6C">
        <w:rPr>
          <w:noProof/>
        </w:rPr>
        <w:t>,</w:t>
      </w:r>
      <w:r w:rsidR="009D70B0">
        <w:rPr>
          <w:noProof/>
        </w:rPr>
        <w:t xml:space="preserve"> </w:t>
      </w:r>
      <w:r w:rsidRPr="00362FDE">
        <w:rPr>
          <w:noProof/>
        </w:rPr>
        <w:t>u koj</w:t>
      </w:r>
      <w:r w:rsidR="00DE638D">
        <w:rPr>
          <w:noProof/>
        </w:rPr>
        <w:t>em</w:t>
      </w:r>
      <w:r w:rsidRPr="00362FDE">
        <w:rPr>
          <w:noProof/>
        </w:rPr>
        <w:t xml:space="preserve"> su definirane dozvoljene konce</w:t>
      </w:r>
      <w:r w:rsidRPr="001C6342">
        <w:rPr>
          <w:noProof/>
        </w:rPr>
        <w:t>ntracije tih tvari u vodama i bioti</w:t>
      </w:r>
      <w:r w:rsidRPr="0018601C">
        <w:rPr>
          <w:noProof/>
        </w:rPr>
        <w:t>. Ocjena stanja</w:t>
      </w:r>
      <w:r w:rsidRPr="0049146C">
        <w:rPr>
          <w:noProof/>
        </w:rPr>
        <w:t xml:space="preserve"> za sediment (za koji ne postoji niti hrvatska niti </w:t>
      </w:r>
      <w:r w:rsidR="004F6D47" w:rsidRPr="0049146C">
        <w:rPr>
          <w:noProof/>
        </w:rPr>
        <w:t>e</w:t>
      </w:r>
      <w:r w:rsidR="004F6D47">
        <w:rPr>
          <w:noProof/>
        </w:rPr>
        <w:t>u</w:t>
      </w:r>
      <w:r w:rsidR="004F6D47" w:rsidRPr="0049146C">
        <w:rPr>
          <w:noProof/>
        </w:rPr>
        <w:t xml:space="preserve">ropska </w:t>
      </w:r>
      <w:r w:rsidRPr="0049146C">
        <w:rPr>
          <w:noProof/>
        </w:rPr>
        <w:t>regulativa) rađena je prema dostupnoj znanstvenoj literaturi. U 2015. godini  organsk</w:t>
      </w:r>
      <w:r w:rsidR="00DE638D">
        <w:rPr>
          <w:noProof/>
        </w:rPr>
        <w:t>e</w:t>
      </w:r>
      <w:r w:rsidRPr="0049146C">
        <w:rPr>
          <w:noProof/>
        </w:rPr>
        <w:t xml:space="preserve"> </w:t>
      </w:r>
      <w:r w:rsidR="00DE638D">
        <w:rPr>
          <w:noProof/>
        </w:rPr>
        <w:t>onečišćujuće tvari</w:t>
      </w:r>
      <w:r w:rsidRPr="0049146C">
        <w:rPr>
          <w:noProof/>
        </w:rPr>
        <w:t xml:space="preserve"> mjeren</w:t>
      </w:r>
      <w:r w:rsidR="00DE638D">
        <w:rPr>
          <w:noProof/>
        </w:rPr>
        <w:t>e</w:t>
      </w:r>
      <w:r w:rsidRPr="0049146C">
        <w:rPr>
          <w:noProof/>
        </w:rPr>
        <w:t xml:space="preserve"> su samo u vodi (priobalne vode), a u razdoblju 2016.</w:t>
      </w:r>
      <w:r w:rsidR="00DE638D">
        <w:rPr>
          <w:noProof/>
        </w:rPr>
        <w:t xml:space="preserve"> – </w:t>
      </w:r>
      <w:r w:rsidRPr="0049146C">
        <w:rPr>
          <w:noProof/>
        </w:rPr>
        <w:t>2017. godina praćen</w:t>
      </w:r>
      <w:r w:rsidR="00827461">
        <w:rPr>
          <w:noProof/>
        </w:rPr>
        <w:t>e</w:t>
      </w:r>
      <w:r w:rsidRPr="0049146C">
        <w:rPr>
          <w:noProof/>
        </w:rPr>
        <w:t xml:space="preserve"> su u vodi, sedimentu i bioti i to u 2016. godini u području prijelaznih voda, a u 2017. godini u području priobalnih voda. U ovom prikazu opisani su rezultati za one prioritetne organske tvari koje ulaze u skupinu POPs-ova (</w:t>
      </w:r>
      <w:r w:rsidR="00DE638D" w:rsidRPr="00DE638D">
        <w:rPr>
          <w:noProof/>
        </w:rPr>
        <w:t>Tablica 2.3-1</w:t>
      </w:r>
      <w:r w:rsidRPr="0018601C">
        <w:rPr>
          <w:noProof/>
        </w:rPr>
        <w:t xml:space="preserve">). </w:t>
      </w:r>
    </w:p>
    <w:p w14:paraId="24E43DBD" w14:textId="77777777" w:rsidR="0018601C" w:rsidRPr="00D55E4A" w:rsidRDefault="0018601C" w:rsidP="00D55E4A">
      <w:pPr>
        <w:spacing w:before="100" w:beforeAutospacing="1" w:after="120"/>
        <w:jc w:val="both"/>
        <w:rPr>
          <w:rFonts w:eastAsia="Calibri"/>
          <w:i/>
        </w:rPr>
      </w:pPr>
      <w:r w:rsidRPr="00D55E4A">
        <w:rPr>
          <w:rFonts w:eastAsia="Calibri"/>
          <w:i/>
        </w:rPr>
        <w:t>Priobalne vode, 2015. godina</w:t>
      </w:r>
    </w:p>
    <w:p w14:paraId="63213401" w14:textId="05B1397B" w:rsidR="0018601C" w:rsidRPr="0018601C" w:rsidRDefault="0018601C" w:rsidP="0018601C">
      <w:pPr>
        <w:jc w:val="both"/>
        <w:rPr>
          <w:rFonts w:eastAsia="Calibri"/>
          <w:b/>
          <w:u w:val="single"/>
        </w:rPr>
      </w:pPr>
      <w:r w:rsidRPr="0018601C">
        <w:rPr>
          <w:rFonts w:eastAsia="Calibri"/>
        </w:rPr>
        <w:t xml:space="preserve">Većina </w:t>
      </w:r>
      <w:proofErr w:type="spellStart"/>
      <w:r w:rsidRPr="0018601C">
        <w:rPr>
          <w:rFonts w:eastAsia="Calibri"/>
        </w:rPr>
        <w:t>POPs</w:t>
      </w:r>
      <w:proofErr w:type="spellEnd"/>
      <w:r w:rsidRPr="0018601C">
        <w:rPr>
          <w:rFonts w:eastAsia="Calibri"/>
        </w:rPr>
        <w:t>-ova mjerenih u vodi u području priobalnih voda istočne jadranske obale u 2015. godini (4 sezonska izlaska na 26 postaja) bili su niži od granica detekcije korištenih analitičkih metoda i od dozvoljenih koncentracija za te spojev</w:t>
      </w:r>
      <w:r w:rsidR="009D70B0">
        <w:rPr>
          <w:rFonts w:eastAsia="Calibri"/>
        </w:rPr>
        <w:t xml:space="preserve">e prema postojećoj regulativi. </w:t>
      </w:r>
      <w:r w:rsidRPr="0018601C">
        <w:rPr>
          <w:rFonts w:eastAsia="Calibri"/>
        </w:rPr>
        <w:t xml:space="preserve">U nekoliko uzoraka zabilježene su koncentracije </w:t>
      </w:r>
      <w:proofErr w:type="spellStart"/>
      <w:r w:rsidRPr="0018601C">
        <w:rPr>
          <w:rFonts w:eastAsia="Calibri"/>
        </w:rPr>
        <w:t>izomera</w:t>
      </w:r>
      <w:proofErr w:type="spellEnd"/>
      <w:r w:rsidRPr="0018601C">
        <w:rPr>
          <w:rFonts w:eastAsia="Calibri"/>
        </w:rPr>
        <w:t xml:space="preserve"> </w:t>
      </w:r>
      <w:proofErr w:type="spellStart"/>
      <w:r w:rsidRPr="0018601C">
        <w:rPr>
          <w:rFonts w:eastAsia="Calibri"/>
        </w:rPr>
        <w:t>heksaklorocikloheksana</w:t>
      </w:r>
      <w:proofErr w:type="spellEnd"/>
      <w:r w:rsidRPr="0018601C">
        <w:rPr>
          <w:rFonts w:eastAsia="Calibri"/>
        </w:rPr>
        <w:t xml:space="preserve">  (beta-, gama- i delta-) koje su prelazile </w:t>
      </w:r>
      <w:r w:rsidRPr="00E23D6C">
        <w:rPr>
          <w:rFonts w:eastAsia="Calibri"/>
        </w:rPr>
        <w:t>PGK, ali niti jedna nije prelazila MGK,</w:t>
      </w:r>
      <w:r w:rsidRPr="0018601C">
        <w:rPr>
          <w:rFonts w:eastAsia="Calibri"/>
        </w:rPr>
        <w:t xml:space="preserve"> tako da je s obzirom na mjerene </w:t>
      </w:r>
      <w:proofErr w:type="spellStart"/>
      <w:r w:rsidRPr="0018601C">
        <w:rPr>
          <w:rFonts w:eastAsia="Calibri"/>
        </w:rPr>
        <w:t>POPs</w:t>
      </w:r>
      <w:proofErr w:type="spellEnd"/>
      <w:r w:rsidRPr="0018601C">
        <w:rPr>
          <w:rFonts w:eastAsia="Calibri"/>
        </w:rPr>
        <w:t>-ove u vodi kemijsko stanje priobalnih voda bilo dobro.</w:t>
      </w:r>
    </w:p>
    <w:p w14:paraId="04AD4940" w14:textId="77777777" w:rsidR="0018601C" w:rsidRPr="00D55E4A" w:rsidRDefault="0018601C" w:rsidP="00D55E4A">
      <w:pPr>
        <w:spacing w:before="100" w:beforeAutospacing="1" w:after="120"/>
        <w:jc w:val="both"/>
        <w:rPr>
          <w:rFonts w:eastAsia="Calibri"/>
          <w:i/>
        </w:rPr>
      </w:pPr>
      <w:r w:rsidRPr="00D55E4A">
        <w:rPr>
          <w:rFonts w:eastAsia="Calibri"/>
          <w:i/>
        </w:rPr>
        <w:t>Prijelazne vode, 2016. godina</w:t>
      </w:r>
    </w:p>
    <w:p w14:paraId="06DFDC78" w14:textId="0858B44C" w:rsidR="0018601C" w:rsidRPr="0018601C" w:rsidRDefault="0018601C" w:rsidP="0018601C">
      <w:pPr>
        <w:jc w:val="both"/>
        <w:rPr>
          <w:rFonts w:eastAsia="Calibri"/>
          <w:i/>
        </w:rPr>
      </w:pPr>
      <w:r w:rsidRPr="0018601C">
        <w:rPr>
          <w:rFonts w:eastAsia="Calibri"/>
          <w:i/>
        </w:rPr>
        <w:t>VODA</w:t>
      </w:r>
    </w:p>
    <w:p w14:paraId="14791124" w14:textId="2A66E3DF" w:rsidR="00E42F82" w:rsidRPr="00D92CF1" w:rsidRDefault="0018601C" w:rsidP="00D92CF1">
      <w:pPr>
        <w:jc w:val="both"/>
        <w:rPr>
          <w:noProof/>
        </w:rPr>
      </w:pPr>
      <w:r w:rsidRPr="0018601C">
        <w:rPr>
          <w:noProof/>
        </w:rPr>
        <w:t>Praćenje POPs-ova u prijelaznim vodama tijekom 2016. godine obuhvatilo je 4 sezonska izlaska na 26 postaj</w:t>
      </w:r>
      <w:r w:rsidRPr="0049146C">
        <w:rPr>
          <w:noProof/>
        </w:rPr>
        <w:t xml:space="preserve">a i pokazalo da je stanje voda u odnosu na opterećenje praćenim tvarima uglavnom dobro. </w:t>
      </w:r>
      <w:r w:rsidRPr="007B4C0A">
        <w:rPr>
          <w:noProof/>
        </w:rPr>
        <w:t xml:space="preserve">Na svim postajama i </w:t>
      </w:r>
      <w:r w:rsidRPr="00C24732">
        <w:rPr>
          <w:noProof/>
        </w:rPr>
        <w:t>u svim sezonama koncentracije</w:t>
      </w:r>
      <w:r w:rsidRPr="00C722A3">
        <w:rPr>
          <w:noProof/>
        </w:rPr>
        <w:t xml:space="preserve"> organoklorovih pesticida pentaklorbenzena, </w:t>
      </w:r>
      <w:r w:rsidRPr="00C722A3">
        <w:rPr>
          <w:noProof/>
        </w:rPr>
        <w:lastRenderedPageBreak/>
        <w:t>endosulfana, h</w:t>
      </w:r>
      <w:r w:rsidR="00205DAC">
        <w:rPr>
          <w:noProof/>
        </w:rPr>
        <w:t>eksaklor</w:t>
      </w:r>
      <w:r w:rsidR="009D2743">
        <w:rPr>
          <w:noProof/>
        </w:rPr>
        <w:t>o</w:t>
      </w:r>
      <w:r w:rsidR="00205DAC">
        <w:rPr>
          <w:noProof/>
        </w:rPr>
        <w:t>cikloheksana i p,p-DDT-</w:t>
      </w:r>
      <w:r w:rsidRPr="00C722A3">
        <w:rPr>
          <w:noProof/>
        </w:rPr>
        <w:t>a bile su ispod granice određivanja primijenjene metode (0,1 i 0,5 ng/L) što je niže od propisanih PGK vrijednosti (0,7 ng/L, 0,5 ng/L, 2 ng/L i 10 ng/L).</w:t>
      </w:r>
      <w:r w:rsidRPr="00CB3FD2">
        <w:rPr>
          <w:noProof/>
        </w:rPr>
        <w:t xml:space="preserve"> </w:t>
      </w:r>
      <w:r w:rsidRPr="00362FDE">
        <w:rPr>
          <w:noProof/>
        </w:rPr>
        <w:t xml:space="preserve">Koncentracija sume kongenera PBDE u prijelaznim vodama 2016. godine kretala se </w:t>
      </w:r>
      <w:r w:rsidRPr="00B9700D">
        <w:rPr>
          <w:noProof/>
        </w:rPr>
        <w:t>u rasponu od &lt;0,12 ng/L do 1,25 ng/L. Prema starom hrvatskom kriteriju za površinske vode iz 2013. godine (</w:t>
      </w:r>
      <w:r w:rsidRPr="001C6342">
        <w:rPr>
          <w:noProof/>
        </w:rPr>
        <w:t>PGK</w:t>
      </w:r>
      <w:r w:rsidR="009132BE">
        <w:rPr>
          <w:noProof/>
        </w:rPr>
        <w:t xml:space="preserve"> </w:t>
      </w:r>
      <w:r w:rsidRPr="001C6342">
        <w:rPr>
          <w:noProof/>
        </w:rPr>
        <w:t>=</w:t>
      </w:r>
      <w:r w:rsidR="009132BE">
        <w:rPr>
          <w:noProof/>
        </w:rPr>
        <w:t xml:space="preserve"> </w:t>
      </w:r>
      <w:r w:rsidRPr="001C6342">
        <w:rPr>
          <w:noProof/>
        </w:rPr>
        <w:t xml:space="preserve">0,2 ng/L) na nekim lokacijama izmjerene vrijednosti su premašivale taj PGK, međutim, </w:t>
      </w:r>
      <w:r w:rsidRPr="00BC766B">
        <w:rPr>
          <w:noProof/>
        </w:rPr>
        <w:t xml:space="preserve">propis iz 2015. </w:t>
      </w:r>
      <w:r w:rsidR="00BC766B">
        <w:rPr>
          <w:noProof/>
        </w:rPr>
        <w:t xml:space="preserve">godine </w:t>
      </w:r>
      <w:r w:rsidRPr="001C6342">
        <w:rPr>
          <w:noProof/>
        </w:rPr>
        <w:t xml:space="preserve">sadrži samo MGK (14 ng/L) kao kriterij SKVO i niti jedna od povišenih koncentracija nije premašila taj kriterij. Stoga se može reći da je, što se tiče koncentracije PBDE u vodenom stupcu, situacija zadovoljavajuća. </w:t>
      </w:r>
    </w:p>
    <w:p w14:paraId="50734953" w14:textId="0525C166" w:rsidR="0018601C" w:rsidRPr="00C95863" w:rsidRDefault="0018601C" w:rsidP="00D55E4A">
      <w:pPr>
        <w:spacing w:before="100" w:beforeAutospacing="1" w:after="120"/>
        <w:jc w:val="both"/>
        <w:rPr>
          <w:i/>
          <w:noProof/>
        </w:rPr>
      </w:pPr>
      <w:r w:rsidRPr="00C95863">
        <w:rPr>
          <w:i/>
          <w:noProof/>
        </w:rPr>
        <w:t>BIOTA</w:t>
      </w:r>
    </w:p>
    <w:p w14:paraId="71D0DCB3" w14:textId="5284985D" w:rsidR="0018601C" w:rsidRDefault="0018601C" w:rsidP="00D462EE">
      <w:pPr>
        <w:spacing w:after="120"/>
        <w:jc w:val="both"/>
      </w:pPr>
      <w:r>
        <w:t xml:space="preserve">Koncentracije </w:t>
      </w:r>
      <w:proofErr w:type="spellStart"/>
      <w:r>
        <w:t>heksaklor</w:t>
      </w:r>
      <w:r w:rsidR="009D2743">
        <w:t>o</w:t>
      </w:r>
      <w:r>
        <w:t>benzena</w:t>
      </w:r>
      <w:proofErr w:type="spellEnd"/>
      <w:r>
        <w:t xml:space="preserve"> (&lt;0,03</w:t>
      </w:r>
      <w:r w:rsidR="009D2743">
        <w:t xml:space="preserve"> – </w:t>
      </w:r>
      <w:r>
        <w:t xml:space="preserve">0,06 </w:t>
      </w:r>
      <w:proofErr w:type="spellStart"/>
      <w:r>
        <w:t>ng</w:t>
      </w:r>
      <w:proofErr w:type="spellEnd"/>
      <w:r>
        <w:t>/g), heksaklor</w:t>
      </w:r>
      <w:r w:rsidR="009D2743">
        <w:t>o</w:t>
      </w:r>
      <w:r>
        <w:t xml:space="preserve">butadiena (&lt;0,1 </w:t>
      </w:r>
      <w:proofErr w:type="spellStart"/>
      <w:r>
        <w:t>ng</w:t>
      </w:r>
      <w:proofErr w:type="spellEnd"/>
      <w:r>
        <w:t xml:space="preserve">/g), i </w:t>
      </w:r>
      <w:proofErr w:type="spellStart"/>
      <w:r>
        <w:t>dioksina</w:t>
      </w:r>
      <w:proofErr w:type="spellEnd"/>
      <w:r>
        <w:t xml:space="preserve"> i njima srodnih spojeva (0,00009</w:t>
      </w:r>
      <w:r w:rsidR="009D2743">
        <w:t xml:space="preserve"> – </w:t>
      </w:r>
      <w:r>
        <w:t xml:space="preserve">0,0045 </w:t>
      </w:r>
      <w:proofErr w:type="spellStart"/>
      <w:r>
        <w:t>ng</w:t>
      </w:r>
      <w:proofErr w:type="spellEnd"/>
      <w:r>
        <w:t xml:space="preserve">/g, zbroj TEQ) u uzorcima riba iz prijelaznih voda u 2016. godini bile su znatno niže od odgovarajućih vrijednosti SKVO za </w:t>
      </w:r>
      <w:proofErr w:type="spellStart"/>
      <w:r>
        <w:t>biotu</w:t>
      </w:r>
      <w:proofErr w:type="spellEnd"/>
      <w:r>
        <w:t xml:space="preserve"> (u cijeloj ribi ili mišiću ribe, ovisno o tvari). Koncentracije </w:t>
      </w:r>
      <w:proofErr w:type="spellStart"/>
      <w:r>
        <w:t>heptaklora</w:t>
      </w:r>
      <w:proofErr w:type="spellEnd"/>
      <w:r>
        <w:t xml:space="preserve"> i </w:t>
      </w:r>
      <w:proofErr w:type="spellStart"/>
      <w:r>
        <w:t>heptaklor</w:t>
      </w:r>
      <w:proofErr w:type="spellEnd"/>
      <w:r>
        <w:t xml:space="preserve"> </w:t>
      </w:r>
      <w:proofErr w:type="spellStart"/>
      <w:r>
        <w:t>epoksida</w:t>
      </w:r>
      <w:proofErr w:type="spellEnd"/>
      <w:r>
        <w:t xml:space="preserve"> (&lt;0,05</w:t>
      </w:r>
      <w:r w:rsidR="009D2743">
        <w:t xml:space="preserve"> – </w:t>
      </w:r>
      <w:r>
        <w:t xml:space="preserve">0,53 </w:t>
      </w:r>
      <w:proofErr w:type="spellStart"/>
      <w:r>
        <w:t>ng</w:t>
      </w:r>
      <w:proofErr w:type="spellEnd"/>
      <w:r>
        <w:t xml:space="preserve">/g) bile su za neke uzorke znatno više od vrlo zahtjevne vrijednosti SKVO od 0,0067 </w:t>
      </w:r>
      <w:proofErr w:type="spellStart"/>
      <w:r>
        <w:t>ng</w:t>
      </w:r>
      <w:proofErr w:type="spellEnd"/>
      <w:r>
        <w:t xml:space="preserve">/g. </w:t>
      </w:r>
    </w:p>
    <w:p w14:paraId="74AFC047" w14:textId="70F97E4F" w:rsidR="0018601C" w:rsidRPr="004C2176" w:rsidRDefault="0018601C" w:rsidP="0018601C">
      <w:pPr>
        <w:jc w:val="both"/>
      </w:pPr>
      <w:r>
        <w:t>N</w:t>
      </w:r>
      <w:r w:rsidRPr="004C2176">
        <w:t>a</w:t>
      </w:r>
      <w:r>
        <w:t>j</w:t>
      </w:r>
      <w:r w:rsidRPr="004C2176">
        <w:t xml:space="preserve">kritičniji pokazatelj sa stajališta zadovoljavanja kriterija </w:t>
      </w:r>
      <w:r>
        <w:t>SKVO</w:t>
      </w:r>
      <w:r w:rsidRPr="004C2176">
        <w:t xml:space="preserve"> </w:t>
      </w:r>
      <w:r>
        <w:t xml:space="preserve">za </w:t>
      </w:r>
      <w:proofErr w:type="spellStart"/>
      <w:r>
        <w:t>biotu</w:t>
      </w:r>
      <w:proofErr w:type="spellEnd"/>
      <w:r w:rsidRPr="004C2176">
        <w:t xml:space="preserve"> predstavlja</w:t>
      </w:r>
      <w:r>
        <w:t>ju</w:t>
      </w:r>
      <w:r w:rsidRPr="004C2176">
        <w:t xml:space="preserve"> </w:t>
      </w:r>
      <w:proofErr w:type="spellStart"/>
      <w:r w:rsidRPr="004C2176">
        <w:t>polibromirani</w:t>
      </w:r>
      <w:proofErr w:type="spellEnd"/>
      <w:r w:rsidRPr="004C2176">
        <w:t xml:space="preserve"> </w:t>
      </w:r>
      <w:proofErr w:type="spellStart"/>
      <w:r w:rsidRPr="004C2176">
        <w:t>difenileter</w:t>
      </w:r>
      <w:r>
        <w:t>i</w:t>
      </w:r>
      <w:proofErr w:type="spellEnd"/>
      <w:r w:rsidRPr="004C2176">
        <w:t xml:space="preserve"> (PBDE) u mišiću riba</w:t>
      </w:r>
      <w:r>
        <w:t>. Z</w:t>
      </w:r>
      <w:r w:rsidRPr="004C2176">
        <w:t>bog izrazito strogog kriterija SKVO</w:t>
      </w:r>
      <w:r>
        <w:t xml:space="preserve"> </w:t>
      </w:r>
      <w:r w:rsidRPr="004C2176">
        <w:t xml:space="preserve">od 0,0085 </w:t>
      </w:r>
      <w:proofErr w:type="spellStart"/>
      <w:r w:rsidRPr="004C2176">
        <w:t>ng</w:t>
      </w:r>
      <w:proofErr w:type="spellEnd"/>
      <w:r w:rsidRPr="004C2176">
        <w:t xml:space="preserve">/g za sumu reprezentativnih 6 </w:t>
      </w:r>
      <w:proofErr w:type="spellStart"/>
      <w:r w:rsidRPr="004C2176">
        <w:t>kong</w:t>
      </w:r>
      <w:r>
        <w:t>e</w:t>
      </w:r>
      <w:r w:rsidRPr="004C2176">
        <w:t>nera</w:t>
      </w:r>
      <w:proofErr w:type="spellEnd"/>
      <w:r w:rsidRPr="004C2176">
        <w:t xml:space="preserve"> PBDE niti jedan uzorak nije zadovoljio taj kriterij (</w:t>
      </w:r>
      <w:r w:rsidR="00B05311" w:rsidRPr="00B05311">
        <w:t>Grafikon 2.3-1.</w:t>
      </w:r>
      <w:r w:rsidRPr="00B05311">
        <w:t>)</w:t>
      </w:r>
      <w:r w:rsidRPr="004C2176">
        <w:t xml:space="preserve">. Raspon koncentracija kretao se u rasponu od 0,04 do 0,99 </w:t>
      </w:r>
      <w:proofErr w:type="spellStart"/>
      <w:r w:rsidRPr="004C2176">
        <w:t>ng</w:t>
      </w:r>
      <w:proofErr w:type="spellEnd"/>
      <w:r w:rsidRPr="004C2176">
        <w:t xml:space="preserve">/g te prosječna koncentracija od 0,32 </w:t>
      </w:r>
      <w:proofErr w:type="spellStart"/>
      <w:r w:rsidRPr="004C2176">
        <w:t>ng</w:t>
      </w:r>
      <w:proofErr w:type="spellEnd"/>
      <w:r w:rsidRPr="004C2176">
        <w:t xml:space="preserve">/g višestruko premašuje propisani kriterij. Prema prostornoj raspodjeli koncentracija u našim prijelaznim vodama, najjača žarišta unosa PBDE zabilježena su u estuariju </w:t>
      </w:r>
      <w:proofErr w:type="spellStart"/>
      <w:r w:rsidRPr="004C2176">
        <w:t>Omble</w:t>
      </w:r>
      <w:proofErr w:type="spellEnd"/>
      <w:r w:rsidR="0049713B">
        <w:t xml:space="preserve"> </w:t>
      </w:r>
      <w:r w:rsidRPr="004C2176">
        <w:t xml:space="preserve">(FP-P1 i FP-P2), ali </w:t>
      </w:r>
      <w:r w:rsidR="009D70B0">
        <w:t xml:space="preserve">koncentracije su bile značajne </w:t>
      </w:r>
      <w:r w:rsidRPr="004C2176">
        <w:t>i u estuarijima Neretve (FP-P5b),</w:t>
      </w:r>
      <w:r w:rsidR="00F30326">
        <w:t xml:space="preserve"> </w:t>
      </w:r>
      <w:r w:rsidRPr="004C2176">
        <w:t xml:space="preserve">Cetine (FP-8), </w:t>
      </w:r>
      <w:proofErr w:type="spellStart"/>
      <w:r w:rsidRPr="004C2176">
        <w:t>Jadra</w:t>
      </w:r>
      <w:proofErr w:type="spellEnd"/>
      <w:r w:rsidRPr="004C2176">
        <w:t xml:space="preserve"> (FP-P9), Krke (FP-P13) i Rječine (FP-18). </w:t>
      </w:r>
    </w:p>
    <w:p w14:paraId="15704A5F" w14:textId="77777777" w:rsidR="0018601C" w:rsidRPr="004C2176" w:rsidRDefault="0018601C" w:rsidP="0018601C">
      <w:pPr>
        <w:jc w:val="center"/>
        <w:rPr>
          <w:rFonts w:ascii="Calibri" w:eastAsia="Calibri" w:hAnsi="Calibri"/>
        </w:rPr>
      </w:pPr>
      <w:r w:rsidRPr="004C2176">
        <w:rPr>
          <w:noProof/>
        </w:rPr>
        <w:drawing>
          <wp:inline distT="0" distB="0" distL="0" distR="0" wp14:anchorId="2628B294" wp14:editId="52FB9985">
            <wp:extent cx="5572800" cy="3844800"/>
            <wp:effectExtent l="0" t="0" r="0" b="381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572800" cy="3844800"/>
                    </a:xfrm>
                    <a:prstGeom prst="rect">
                      <a:avLst/>
                    </a:prstGeom>
                    <a:noFill/>
                    <a:ln w="9525">
                      <a:noFill/>
                      <a:miter lim="800000"/>
                      <a:headEnd/>
                      <a:tailEnd/>
                    </a:ln>
                  </pic:spPr>
                </pic:pic>
              </a:graphicData>
            </a:graphic>
          </wp:inline>
        </w:drawing>
      </w:r>
    </w:p>
    <w:p w14:paraId="0FE1EB9E" w14:textId="38067808" w:rsidR="0018601C" w:rsidRPr="0049146C" w:rsidRDefault="00D462EE" w:rsidP="00D55E4A">
      <w:pPr>
        <w:rPr>
          <w:i/>
        </w:rPr>
      </w:pPr>
      <w:r w:rsidRPr="00D462EE">
        <w:rPr>
          <w:i/>
        </w:rPr>
        <w:t>Grafikon 2.</w:t>
      </w:r>
      <w:r>
        <w:rPr>
          <w:i/>
        </w:rPr>
        <w:t>3</w:t>
      </w:r>
      <w:r w:rsidRPr="00D462EE">
        <w:rPr>
          <w:i/>
        </w:rPr>
        <w:t>-</w:t>
      </w:r>
      <w:r>
        <w:rPr>
          <w:i/>
        </w:rPr>
        <w:t>1</w:t>
      </w:r>
      <w:r w:rsidRPr="00D462EE">
        <w:rPr>
          <w:i/>
        </w:rPr>
        <w:t>.</w:t>
      </w:r>
      <w:r w:rsidR="0018601C" w:rsidRPr="0049146C">
        <w:rPr>
          <w:i/>
        </w:rPr>
        <w:t xml:space="preserve"> Raspodjela </w:t>
      </w:r>
      <w:proofErr w:type="spellStart"/>
      <w:r w:rsidR="0018601C" w:rsidRPr="0049146C">
        <w:rPr>
          <w:i/>
        </w:rPr>
        <w:t>polibromiranih</w:t>
      </w:r>
      <w:proofErr w:type="spellEnd"/>
      <w:r w:rsidR="0018601C" w:rsidRPr="0049146C">
        <w:rPr>
          <w:i/>
        </w:rPr>
        <w:t xml:space="preserve"> </w:t>
      </w:r>
      <w:proofErr w:type="spellStart"/>
      <w:r w:rsidR="0018601C" w:rsidRPr="0049146C">
        <w:rPr>
          <w:i/>
        </w:rPr>
        <w:t>difeniletera</w:t>
      </w:r>
      <w:proofErr w:type="spellEnd"/>
      <w:r w:rsidR="0018601C" w:rsidRPr="0049146C">
        <w:rPr>
          <w:i/>
        </w:rPr>
        <w:t xml:space="preserve"> (PB</w:t>
      </w:r>
      <w:r w:rsidR="00F861B8">
        <w:rPr>
          <w:i/>
        </w:rPr>
        <w:t>DE) u</w:t>
      </w:r>
      <w:r w:rsidR="00B14499">
        <w:rPr>
          <w:i/>
        </w:rPr>
        <w:t xml:space="preserve"> ribama prijelaznih voda 2016. godine</w:t>
      </w:r>
    </w:p>
    <w:p w14:paraId="64F7D61E" w14:textId="77777777" w:rsidR="0018601C" w:rsidRDefault="0018601C" w:rsidP="0018601C">
      <w:pPr>
        <w:jc w:val="both"/>
        <w:rPr>
          <w:noProof/>
        </w:rPr>
      </w:pPr>
    </w:p>
    <w:p w14:paraId="6918BC5A" w14:textId="46E32449" w:rsidR="0018601C" w:rsidRPr="004C2176" w:rsidRDefault="0018601C" w:rsidP="00B05311">
      <w:pPr>
        <w:spacing w:after="120"/>
        <w:jc w:val="both"/>
        <w:rPr>
          <w:noProof/>
        </w:rPr>
      </w:pPr>
      <w:r>
        <w:rPr>
          <w:noProof/>
        </w:rPr>
        <w:t>Z</w:t>
      </w:r>
      <w:r w:rsidRPr="004C2176">
        <w:rPr>
          <w:noProof/>
        </w:rPr>
        <w:t>animljivo</w:t>
      </w:r>
      <w:r>
        <w:rPr>
          <w:noProof/>
        </w:rPr>
        <w:t xml:space="preserve"> je</w:t>
      </w:r>
      <w:r w:rsidRPr="004C2176">
        <w:rPr>
          <w:noProof/>
        </w:rPr>
        <w:t xml:space="preserve"> napomenuti da drugi tip bromiranih usporivača gorenja koji je obuhvaćen monitoringom biote</w:t>
      </w:r>
      <w:r>
        <w:rPr>
          <w:noProof/>
        </w:rPr>
        <w:t>,</w:t>
      </w:r>
      <w:r w:rsidRPr="004C2176">
        <w:rPr>
          <w:noProof/>
        </w:rPr>
        <w:t xml:space="preserve"> heksabromociklododekan (HBCDD)</w:t>
      </w:r>
      <w:r>
        <w:rPr>
          <w:noProof/>
        </w:rPr>
        <w:t>,</w:t>
      </w:r>
      <w:r w:rsidRPr="004C2176">
        <w:rPr>
          <w:noProof/>
        </w:rPr>
        <w:t xml:space="preserve"> pokazuje </w:t>
      </w:r>
      <w:r>
        <w:rPr>
          <w:noProof/>
        </w:rPr>
        <w:t xml:space="preserve">koncetracije u </w:t>
      </w:r>
      <w:r w:rsidRPr="004C2176">
        <w:rPr>
          <w:noProof/>
        </w:rPr>
        <w:t>sličn</w:t>
      </w:r>
      <w:r>
        <w:rPr>
          <w:noProof/>
        </w:rPr>
        <w:t>om</w:t>
      </w:r>
      <w:r w:rsidRPr="004C2176">
        <w:rPr>
          <w:noProof/>
        </w:rPr>
        <w:t xml:space="preserve"> red</w:t>
      </w:r>
      <w:r>
        <w:rPr>
          <w:noProof/>
        </w:rPr>
        <w:t>u</w:t>
      </w:r>
      <w:r w:rsidR="00B05311">
        <w:rPr>
          <w:noProof/>
        </w:rPr>
        <w:t xml:space="preserve"> veličine (&lt;0,1</w:t>
      </w:r>
      <w:r w:rsidR="009D2743">
        <w:rPr>
          <w:noProof/>
        </w:rPr>
        <w:t xml:space="preserve"> – </w:t>
      </w:r>
      <w:r w:rsidR="00B05311">
        <w:rPr>
          <w:noProof/>
        </w:rPr>
        <w:t>0,5 ng/g; srednja</w:t>
      </w:r>
      <w:r w:rsidRPr="004C2176">
        <w:rPr>
          <w:noProof/>
        </w:rPr>
        <w:t xml:space="preserve"> vrijednost 0,13 ng/g; </w:t>
      </w:r>
      <w:r w:rsidR="00B05311" w:rsidRPr="00B05311">
        <w:rPr>
          <w:noProof/>
        </w:rPr>
        <w:t>Grafikon 2.3-</w:t>
      </w:r>
      <w:r w:rsidR="00B05311">
        <w:rPr>
          <w:noProof/>
        </w:rPr>
        <w:t>2</w:t>
      </w:r>
      <w:r w:rsidR="00B05311" w:rsidRPr="00B05311">
        <w:rPr>
          <w:noProof/>
        </w:rPr>
        <w:t>.</w:t>
      </w:r>
      <w:r w:rsidRPr="004C2176">
        <w:rPr>
          <w:noProof/>
        </w:rPr>
        <w:t>)</w:t>
      </w:r>
      <w:r>
        <w:rPr>
          <w:noProof/>
        </w:rPr>
        <w:t xml:space="preserve"> kao za PBDE</w:t>
      </w:r>
      <w:r w:rsidRPr="004C2176">
        <w:rPr>
          <w:noProof/>
        </w:rPr>
        <w:t>.</w:t>
      </w:r>
      <w:r>
        <w:rPr>
          <w:noProof/>
        </w:rPr>
        <w:t xml:space="preserve"> </w:t>
      </w:r>
      <w:r w:rsidRPr="004C2176">
        <w:rPr>
          <w:noProof/>
        </w:rPr>
        <w:t xml:space="preserve">Međutim, </w:t>
      </w:r>
      <w:r w:rsidRPr="004C2176">
        <w:rPr>
          <w:noProof/>
        </w:rPr>
        <w:lastRenderedPageBreak/>
        <w:t xml:space="preserve">SKVO za koncentraciju HBCDD u ribama je, za razliku od PBDE, dosta visok (167 ng/g) pa su sve izmjerene vrijednosti barem sto puta manje od propisanog kriterija SKVO. Također, treba uočiti da ne postoji korelacija između pojavljivanja </w:t>
      </w:r>
      <w:r w:rsidR="00752D4D">
        <w:rPr>
          <w:noProof/>
        </w:rPr>
        <w:t xml:space="preserve">povišenih razina PBDE i HBCDD. </w:t>
      </w:r>
      <w:r w:rsidRPr="004C2176">
        <w:rPr>
          <w:noProof/>
        </w:rPr>
        <w:t>Najviše koncentracije HBCDD izmjerene su u ribama iz estuarija Krke (FP-P13), Rječine (FP-P18) i Raše (FP-P19).</w:t>
      </w:r>
    </w:p>
    <w:p w14:paraId="74FEAC1F" w14:textId="0A359E7E" w:rsidR="0018601C" w:rsidRDefault="0018601C" w:rsidP="0018601C">
      <w:pPr>
        <w:jc w:val="both"/>
        <w:rPr>
          <w:noProof/>
        </w:rPr>
      </w:pPr>
      <w:r w:rsidRPr="004C2176">
        <w:rPr>
          <w:noProof/>
        </w:rPr>
        <w:t>PFOS su kemijski spojevi koji uz lipofilna svojstva imaju i polarni karakter što znači da po svojim fizi</w:t>
      </w:r>
      <w:r w:rsidR="00752D4D">
        <w:rPr>
          <w:noProof/>
        </w:rPr>
        <w:t>kalno</w:t>
      </w:r>
      <w:r w:rsidRPr="004C2176">
        <w:rPr>
          <w:noProof/>
        </w:rPr>
        <w:t>-kemijskim značajkama pripadaju skupini tenzida. To svojstvo ih dosta razlikuje od ostalih tipova perzistentnih prioritetnih tvari. Njihova koncentracija u ribama bila je vrlo sličnog reda veličine kao i koncentracija polibromiranih usporivača gorenja (raspon koncentracija &lt;0,1</w:t>
      </w:r>
      <w:r w:rsidR="009D2743">
        <w:rPr>
          <w:noProof/>
        </w:rPr>
        <w:t xml:space="preserve"> – </w:t>
      </w:r>
      <w:r w:rsidRPr="004C2176">
        <w:rPr>
          <w:noProof/>
        </w:rPr>
        <w:t>0,5 ng/g), što je niže od propisanog kriterija SKVO (9,1 ng/g) (</w:t>
      </w:r>
      <w:r w:rsidR="00B05311" w:rsidRPr="00B05311">
        <w:rPr>
          <w:noProof/>
        </w:rPr>
        <w:t>Grafikon 2.3-</w:t>
      </w:r>
      <w:r w:rsidR="00B05311">
        <w:rPr>
          <w:noProof/>
        </w:rPr>
        <w:t>3</w:t>
      </w:r>
      <w:r w:rsidR="00B05311" w:rsidRPr="00B05311">
        <w:rPr>
          <w:noProof/>
        </w:rPr>
        <w:t>.</w:t>
      </w:r>
      <w:r w:rsidRPr="004C2176">
        <w:rPr>
          <w:noProof/>
        </w:rPr>
        <w:t>). S obzirom na omjer srednje (0,22 ng/g) i maksimalne izmjerene koncentracije (0,5 ng/g) i kriterija SKVO</w:t>
      </w:r>
      <w:r w:rsidR="009D70B0">
        <w:rPr>
          <w:noProof/>
        </w:rPr>
        <w:t xml:space="preserve">, </w:t>
      </w:r>
      <w:r w:rsidR="00752D4D">
        <w:rPr>
          <w:noProof/>
        </w:rPr>
        <w:t xml:space="preserve">čini se </w:t>
      </w:r>
      <w:r w:rsidRPr="004C2176">
        <w:rPr>
          <w:noProof/>
        </w:rPr>
        <w:t>da ne postoji naglašena opasnost od prekoračenja propisanih vrijednosti.</w:t>
      </w:r>
    </w:p>
    <w:p w14:paraId="2D0AD58C" w14:textId="5D54E8E8" w:rsidR="0049146C" w:rsidRPr="004C2176" w:rsidRDefault="0049146C" w:rsidP="0018601C">
      <w:pPr>
        <w:jc w:val="both"/>
        <w:rPr>
          <w:noProof/>
        </w:rPr>
      </w:pPr>
    </w:p>
    <w:p w14:paraId="691E22E3" w14:textId="77777777" w:rsidR="0018601C" w:rsidRPr="004C2176" w:rsidRDefault="0018601C" w:rsidP="0049146C">
      <w:pPr>
        <w:jc w:val="center"/>
        <w:rPr>
          <w:noProof/>
        </w:rPr>
      </w:pPr>
      <w:r w:rsidRPr="004C2176">
        <w:rPr>
          <w:noProof/>
        </w:rPr>
        <w:drawing>
          <wp:inline distT="0" distB="0" distL="0" distR="0" wp14:anchorId="744352A8" wp14:editId="41A89311">
            <wp:extent cx="5428800" cy="3855600"/>
            <wp:effectExtent l="0" t="0" r="63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428800" cy="3855600"/>
                    </a:xfrm>
                    <a:prstGeom prst="rect">
                      <a:avLst/>
                    </a:prstGeom>
                    <a:noFill/>
                    <a:ln w="9525">
                      <a:noFill/>
                      <a:miter lim="800000"/>
                      <a:headEnd/>
                      <a:tailEnd/>
                    </a:ln>
                  </pic:spPr>
                </pic:pic>
              </a:graphicData>
            </a:graphic>
          </wp:inline>
        </w:drawing>
      </w:r>
    </w:p>
    <w:p w14:paraId="442D4198" w14:textId="19073C17" w:rsidR="0018601C" w:rsidRDefault="00B05311" w:rsidP="00D55E4A">
      <w:pPr>
        <w:rPr>
          <w:i/>
        </w:rPr>
      </w:pPr>
      <w:r w:rsidRPr="00B05311">
        <w:rPr>
          <w:i/>
        </w:rPr>
        <w:t>Grafikon 2.3-</w:t>
      </w:r>
      <w:r>
        <w:rPr>
          <w:i/>
        </w:rPr>
        <w:t>2</w:t>
      </w:r>
      <w:r w:rsidRPr="00B05311">
        <w:rPr>
          <w:i/>
        </w:rPr>
        <w:t>.</w:t>
      </w:r>
      <w:r>
        <w:rPr>
          <w:i/>
        </w:rPr>
        <w:t xml:space="preserve"> </w:t>
      </w:r>
      <w:r w:rsidR="0018601C" w:rsidRPr="0049146C">
        <w:rPr>
          <w:i/>
        </w:rPr>
        <w:t xml:space="preserve">Raspodjela </w:t>
      </w:r>
      <w:proofErr w:type="spellStart"/>
      <w:r w:rsidR="0018601C" w:rsidRPr="0049146C">
        <w:rPr>
          <w:i/>
        </w:rPr>
        <w:t>hek</w:t>
      </w:r>
      <w:r w:rsidR="009D70B0">
        <w:rPr>
          <w:i/>
        </w:rPr>
        <w:t>sabromociklododekana</w:t>
      </w:r>
      <w:proofErr w:type="spellEnd"/>
      <w:r w:rsidR="009D70B0">
        <w:rPr>
          <w:i/>
        </w:rPr>
        <w:t xml:space="preserve"> (HBCDD) u </w:t>
      </w:r>
      <w:r w:rsidR="0018601C" w:rsidRPr="0049146C">
        <w:rPr>
          <w:i/>
        </w:rPr>
        <w:t>ribam</w:t>
      </w:r>
      <w:r w:rsidR="00B14499">
        <w:rPr>
          <w:i/>
        </w:rPr>
        <w:t>a prijelaznih voda 2016. godine</w:t>
      </w:r>
    </w:p>
    <w:p w14:paraId="42DB184D" w14:textId="77777777" w:rsidR="00C2259E" w:rsidRPr="0049146C" w:rsidRDefault="00C2259E" w:rsidP="0049146C">
      <w:pPr>
        <w:jc w:val="center"/>
        <w:rPr>
          <w:i/>
        </w:rPr>
      </w:pPr>
    </w:p>
    <w:p w14:paraId="173A49F9" w14:textId="77777777" w:rsidR="0018601C" w:rsidRPr="004C2176" w:rsidRDefault="0018601C" w:rsidP="0049146C">
      <w:pPr>
        <w:jc w:val="center"/>
        <w:rPr>
          <w:noProof/>
        </w:rPr>
      </w:pPr>
      <w:r w:rsidRPr="004C2176">
        <w:rPr>
          <w:noProof/>
        </w:rPr>
        <w:lastRenderedPageBreak/>
        <w:drawing>
          <wp:inline distT="0" distB="0" distL="0" distR="0" wp14:anchorId="4C722832" wp14:editId="45B07C7D">
            <wp:extent cx="5601600" cy="3898800"/>
            <wp:effectExtent l="0" t="0" r="0" b="6985"/>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601600" cy="3898800"/>
                    </a:xfrm>
                    <a:prstGeom prst="rect">
                      <a:avLst/>
                    </a:prstGeom>
                    <a:noFill/>
                    <a:ln w="9525">
                      <a:noFill/>
                      <a:miter lim="800000"/>
                      <a:headEnd/>
                      <a:tailEnd/>
                    </a:ln>
                  </pic:spPr>
                </pic:pic>
              </a:graphicData>
            </a:graphic>
          </wp:inline>
        </w:drawing>
      </w:r>
    </w:p>
    <w:p w14:paraId="3234A28F" w14:textId="09ACE0CC" w:rsidR="0018601C" w:rsidRPr="0049146C" w:rsidRDefault="00B05311" w:rsidP="00D55E4A">
      <w:pPr>
        <w:rPr>
          <w:i/>
          <w:noProof/>
        </w:rPr>
      </w:pPr>
      <w:r w:rsidRPr="00B05311">
        <w:rPr>
          <w:i/>
          <w:noProof/>
        </w:rPr>
        <w:t>Grafikon 2.3-</w:t>
      </w:r>
      <w:r>
        <w:rPr>
          <w:i/>
          <w:noProof/>
        </w:rPr>
        <w:t>3</w:t>
      </w:r>
      <w:r w:rsidRPr="00B05311">
        <w:rPr>
          <w:i/>
          <w:noProof/>
        </w:rPr>
        <w:t>.</w:t>
      </w:r>
      <w:r>
        <w:rPr>
          <w:i/>
          <w:noProof/>
        </w:rPr>
        <w:t xml:space="preserve"> </w:t>
      </w:r>
      <w:r w:rsidR="0018601C" w:rsidRPr="0049146C">
        <w:rPr>
          <w:i/>
          <w:noProof/>
        </w:rPr>
        <w:t>Raspodjela perfluorooktansulfonske kiselin</w:t>
      </w:r>
      <w:r w:rsidR="00283B3E">
        <w:rPr>
          <w:i/>
          <w:noProof/>
        </w:rPr>
        <w:t xml:space="preserve">e (PFOS) u </w:t>
      </w:r>
      <w:r w:rsidR="0018601C" w:rsidRPr="0049146C">
        <w:rPr>
          <w:i/>
          <w:noProof/>
        </w:rPr>
        <w:t>ribama</w:t>
      </w:r>
      <w:r w:rsidR="00B14499">
        <w:rPr>
          <w:i/>
          <w:noProof/>
        </w:rPr>
        <w:t xml:space="preserve"> prijelaznih voda 2016. godine</w:t>
      </w:r>
    </w:p>
    <w:p w14:paraId="1DE6FF69" w14:textId="77777777" w:rsidR="007B70A8" w:rsidRDefault="007B70A8" w:rsidP="00D55E4A">
      <w:pPr>
        <w:spacing w:before="120"/>
        <w:jc w:val="both"/>
        <w:rPr>
          <w:noProof/>
        </w:rPr>
      </w:pPr>
    </w:p>
    <w:p w14:paraId="6C7C693C" w14:textId="4862A3DB" w:rsidR="001C002F" w:rsidRPr="00205DAC" w:rsidRDefault="001C002F" w:rsidP="00D55E4A">
      <w:pPr>
        <w:spacing w:before="120"/>
        <w:jc w:val="both"/>
        <w:rPr>
          <w:noProof/>
        </w:rPr>
      </w:pPr>
      <w:r>
        <w:rPr>
          <w:noProof/>
        </w:rPr>
        <w:t>Rezultati istraživanja koncentracija POPs-</w:t>
      </w:r>
      <w:r w:rsidR="006D4519">
        <w:rPr>
          <w:noProof/>
        </w:rPr>
        <w:t>o</w:t>
      </w:r>
      <w:r>
        <w:rPr>
          <w:noProof/>
        </w:rPr>
        <w:t xml:space="preserve">va u jestivim vrstama riba iz različitih ribarskih zona Jadrana iz 2016. godine rezultatima ukazuju kako su one sigurne za ljudsku prehranu, prema parametrima koje propisuje </w:t>
      </w:r>
      <w:r w:rsidR="006D4519">
        <w:rPr>
          <w:noProof/>
        </w:rPr>
        <w:t>zakonodavstvo</w:t>
      </w:r>
      <w:r>
        <w:rPr>
          <w:noProof/>
        </w:rPr>
        <w:t xml:space="preserve"> Europske </w:t>
      </w:r>
      <w:r w:rsidR="006D4519">
        <w:rPr>
          <w:noProof/>
        </w:rPr>
        <w:t>unije</w:t>
      </w:r>
      <w:r>
        <w:rPr>
          <w:noProof/>
        </w:rPr>
        <w:t xml:space="preserve">. Kao ciljanu vrstu u istraživanju odabralo se pelagičke vrste riba (srdelu, </w:t>
      </w:r>
      <w:r w:rsidRPr="006668BC">
        <w:rPr>
          <w:noProof/>
        </w:rPr>
        <w:t>in</w:t>
      </w:r>
      <w:r w:rsidR="006668BC" w:rsidRPr="006668BC">
        <w:rPr>
          <w:noProof/>
        </w:rPr>
        <w:t>ć</w:t>
      </w:r>
      <w:r w:rsidRPr="006668BC">
        <w:rPr>
          <w:noProof/>
        </w:rPr>
        <w:t>un</w:t>
      </w:r>
      <w:r>
        <w:rPr>
          <w:noProof/>
        </w:rPr>
        <w:t xml:space="preserve">, šarun i golemu srdelu) na kojima se zatim provodila odgovarajuća toksikološka analiza. Rezultati </w:t>
      </w:r>
      <w:r w:rsidR="00826536">
        <w:rPr>
          <w:noProof/>
        </w:rPr>
        <w:t>po</w:t>
      </w:r>
      <w:r>
        <w:rPr>
          <w:noProof/>
        </w:rPr>
        <w:t>kazuju kako su u uzorcima riba bili prisutni organoklorovi pesticidi u intervalu 0</w:t>
      </w:r>
      <w:r w:rsidR="006D4519">
        <w:rPr>
          <w:noProof/>
        </w:rPr>
        <w:t>,</w:t>
      </w:r>
      <w:r>
        <w:rPr>
          <w:noProof/>
        </w:rPr>
        <w:t>02 – 2</w:t>
      </w:r>
      <w:r w:rsidR="006D4519">
        <w:rPr>
          <w:noProof/>
        </w:rPr>
        <w:t>,</w:t>
      </w:r>
      <w:r>
        <w:rPr>
          <w:noProof/>
        </w:rPr>
        <w:t>32 ng/g te poliklorirani bifenili u intervalu 0</w:t>
      </w:r>
      <w:r w:rsidR="006D4519">
        <w:rPr>
          <w:noProof/>
        </w:rPr>
        <w:t>,</w:t>
      </w:r>
      <w:r>
        <w:rPr>
          <w:noProof/>
        </w:rPr>
        <w:t>02 – 3</w:t>
      </w:r>
      <w:r w:rsidR="0012759C">
        <w:rPr>
          <w:noProof/>
        </w:rPr>
        <w:t>,</w:t>
      </w:r>
      <w:r>
        <w:rPr>
          <w:noProof/>
        </w:rPr>
        <w:t>29 ng/g koncentracije. Od bitnijih pesticida DDE je bio najza</w:t>
      </w:r>
      <w:r w:rsidR="0012759C">
        <w:rPr>
          <w:noProof/>
        </w:rPr>
        <w:t>s</w:t>
      </w:r>
      <w:r>
        <w:rPr>
          <w:noProof/>
        </w:rPr>
        <w:t>tupljeniji, dok su kod polikloriranih bifenila najzastupljeniji bili kongeneri PCB-153, PCB-138 i PCB-180. Smatra se kako je glavni razlog viših koncentracija navedenih POPs-ova u uzorcima veća biopostojanost uslijed dužeg poluživota tih spojeva u morskom okolišu. Međutim, također je primjećeno kako u uzorcima srdele postoji blagi porast PCB-a u odnosu na 2014. godinu, što ukazuje na mogućnost neprestano</w:t>
      </w:r>
      <w:r w:rsidR="00205DAC">
        <w:rPr>
          <w:noProof/>
        </w:rPr>
        <w:t>g</w:t>
      </w:r>
      <w:r>
        <w:rPr>
          <w:noProof/>
        </w:rPr>
        <w:t xml:space="preserve"> obogaćenj</w:t>
      </w:r>
      <w:r w:rsidR="00205DAC">
        <w:rPr>
          <w:noProof/>
        </w:rPr>
        <w:t>a</w:t>
      </w:r>
      <w:r>
        <w:rPr>
          <w:noProof/>
        </w:rPr>
        <w:t xml:space="preserve"> tim spojevima te potrebu za kontinuiranim nadzorom u ribama za ljudsku prehranu. Rezultati </w:t>
      </w:r>
      <w:r w:rsidR="00332955">
        <w:rPr>
          <w:noProof/>
        </w:rPr>
        <w:t>su također</w:t>
      </w:r>
      <w:r>
        <w:rPr>
          <w:noProof/>
        </w:rPr>
        <w:t xml:space="preserve"> </w:t>
      </w:r>
      <w:r w:rsidR="00332955">
        <w:rPr>
          <w:noProof/>
        </w:rPr>
        <w:t>pokazali</w:t>
      </w:r>
      <w:r>
        <w:rPr>
          <w:noProof/>
        </w:rPr>
        <w:t xml:space="preserve"> </w:t>
      </w:r>
      <w:r w:rsidR="00332955">
        <w:rPr>
          <w:noProof/>
        </w:rPr>
        <w:t xml:space="preserve">kako nije bilo </w:t>
      </w:r>
      <w:r>
        <w:rPr>
          <w:noProof/>
        </w:rPr>
        <w:t xml:space="preserve">značajne razlike </w:t>
      </w:r>
      <w:r w:rsidR="00332955">
        <w:rPr>
          <w:noProof/>
        </w:rPr>
        <w:t xml:space="preserve">u </w:t>
      </w:r>
      <w:r>
        <w:rPr>
          <w:noProof/>
        </w:rPr>
        <w:t>razina</w:t>
      </w:r>
      <w:r w:rsidR="00332955">
        <w:rPr>
          <w:noProof/>
        </w:rPr>
        <w:t>ma</w:t>
      </w:r>
      <w:r>
        <w:rPr>
          <w:noProof/>
        </w:rPr>
        <w:t xml:space="preserve"> </w:t>
      </w:r>
      <w:r w:rsidR="00332955">
        <w:rPr>
          <w:noProof/>
        </w:rPr>
        <w:t>POPs-</w:t>
      </w:r>
      <w:r w:rsidR="00205DAC">
        <w:rPr>
          <w:noProof/>
        </w:rPr>
        <w:t>o</w:t>
      </w:r>
      <w:r w:rsidR="00332955">
        <w:rPr>
          <w:noProof/>
        </w:rPr>
        <w:t>va</w:t>
      </w:r>
      <w:r>
        <w:rPr>
          <w:noProof/>
        </w:rPr>
        <w:t xml:space="preserve"> između skupina srdela </w:t>
      </w:r>
      <w:r w:rsidR="00332955">
        <w:rPr>
          <w:noProof/>
        </w:rPr>
        <w:t>iz različitih dijelova Jadrana</w:t>
      </w:r>
      <w:r>
        <w:rPr>
          <w:noProof/>
        </w:rPr>
        <w:t xml:space="preserve">. </w:t>
      </w:r>
    </w:p>
    <w:p w14:paraId="284D1E45" w14:textId="16C3FCC5" w:rsidR="0018601C" w:rsidRPr="007B4C0A" w:rsidRDefault="0018601C" w:rsidP="00D55E4A">
      <w:pPr>
        <w:spacing w:before="100" w:beforeAutospacing="1" w:after="120"/>
        <w:jc w:val="both"/>
        <w:rPr>
          <w:i/>
          <w:noProof/>
        </w:rPr>
      </w:pPr>
      <w:r w:rsidRPr="007B4C0A">
        <w:rPr>
          <w:i/>
          <w:noProof/>
        </w:rPr>
        <w:t>SEDIMENT</w:t>
      </w:r>
    </w:p>
    <w:p w14:paraId="318EFA22" w14:textId="1D6ED5CB" w:rsidR="0018601C" w:rsidRPr="00C2259E" w:rsidRDefault="0018601C" w:rsidP="00826536">
      <w:pPr>
        <w:spacing w:after="120"/>
        <w:jc w:val="both"/>
        <w:rPr>
          <w:rFonts w:eastAsia="Calibri"/>
        </w:rPr>
      </w:pPr>
      <w:r w:rsidRPr="00C2259E">
        <w:rPr>
          <w:rFonts w:eastAsia="Calibri"/>
        </w:rPr>
        <w:t xml:space="preserve">Koncentracije </w:t>
      </w:r>
      <w:proofErr w:type="spellStart"/>
      <w:r w:rsidRPr="00C2259E">
        <w:rPr>
          <w:rFonts w:eastAsia="Calibri"/>
        </w:rPr>
        <w:t>POPs</w:t>
      </w:r>
      <w:proofErr w:type="spellEnd"/>
      <w:r w:rsidRPr="00C2259E">
        <w:rPr>
          <w:rFonts w:eastAsia="Calibri"/>
        </w:rPr>
        <w:t xml:space="preserve">-ova u sedimentima prijelaznih voda u 2016. godini bile su za većinu praćenih pokazatelja relativno niske i zadovoljavale korištene kriterije. To uključuje </w:t>
      </w:r>
      <w:proofErr w:type="spellStart"/>
      <w:r w:rsidRPr="00C2259E">
        <w:rPr>
          <w:rFonts w:eastAsia="Calibri"/>
        </w:rPr>
        <w:t>organoklorove</w:t>
      </w:r>
      <w:proofErr w:type="spellEnd"/>
      <w:r w:rsidRPr="00C2259E">
        <w:rPr>
          <w:rFonts w:eastAsia="Calibri"/>
        </w:rPr>
        <w:t xml:space="preserve"> insekticide </w:t>
      </w:r>
      <w:proofErr w:type="spellStart"/>
      <w:r w:rsidRPr="00C2259E">
        <w:rPr>
          <w:rFonts w:eastAsia="Calibri"/>
        </w:rPr>
        <w:t>heksaklorbenzen</w:t>
      </w:r>
      <w:proofErr w:type="spellEnd"/>
      <w:r w:rsidRPr="00C2259E">
        <w:rPr>
          <w:rFonts w:eastAsia="Calibri"/>
        </w:rPr>
        <w:t xml:space="preserve"> i </w:t>
      </w:r>
      <w:proofErr w:type="spellStart"/>
      <w:r w:rsidRPr="00C2259E">
        <w:rPr>
          <w:rFonts w:eastAsia="Calibri"/>
        </w:rPr>
        <w:t>hek</w:t>
      </w:r>
      <w:r w:rsidR="00283B3E">
        <w:rPr>
          <w:rFonts w:eastAsia="Calibri"/>
        </w:rPr>
        <w:t>saklor</w:t>
      </w:r>
      <w:r w:rsidR="009D2743">
        <w:rPr>
          <w:rFonts w:eastAsia="Calibri"/>
        </w:rPr>
        <w:t>o</w:t>
      </w:r>
      <w:r w:rsidR="00283B3E">
        <w:rPr>
          <w:rFonts w:eastAsia="Calibri"/>
        </w:rPr>
        <w:t>cikloheksan</w:t>
      </w:r>
      <w:proofErr w:type="spellEnd"/>
      <w:r w:rsidR="00283B3E">
        <w:rPr>
          <w:rFonts w:eastAsia="Calibri"/>
        </w:rPr>
        <w:t xml:space="preserve"> (&lt;0,1 </w:t>
      </w:r>
      <w:proofErr w:type="spellStart"/>
      <w:r w:rsidR="00283B3E">
        <w:rPr>
          <w:rFonts w:eastAsia="Calibri"/>
        </w:rPr>
        <w:t>ng</w:t>
      </w:r>
      <w:proofErr w:type="spellEnd"/>
      <w:r w:rsidR="00283B3E">
        <w:rPr>
          <w:rFonts w:eastAsia="Calibri"/>
        </w:rPr>
        <w:t xml:space="preserve">/g), </w:t>
      </w:r>
      <w:proofErr w:type="spellStart"/>
      <w:r w:rsidR="00321B71">
        <w:rPr>
          <w:rFonts w:eastAsia="Calibri"/>
        </w:rPr>
        <w:t>heksabromociklododekan</w:t>
      </w:r>
      <w:proofErr w:type="spellEnd"/>
      <w:r w:rsidR="00321B71">
        <w:rPr>
          <w:rFonts w:eastAsia="Calibri"/>
        </w:rPr>
        <w:t xml:space="preserve"> (&lt;0,1 – 1,</w:t>
      </w:r>
      <w:r w:rsidRPr="00C2259E">
        <w:rPr>
          <w:rFonts w:eastAsia="Calibri"/>
        </w:rPr>
        <w:t xml:space="preserve">8 </w:t>
      </w:r>
      <w:proofErr w:type="spellStart"/>
      <w:r w:rsidRPr="00C2259E">
        <w:rPr>
          <w:rFonts w:eastAsia="Calibri"/>
        </w:rPr>
        <w:t>ng</w:t>
      </w:r>
      <w:proofErr w:type="spellEnd"/>
      <w:r w:rsidRPr="00C2259E">
        <w:rPr>
          <w:rFonts w:eastAsia="Calibri"/>
        </w:rPr>
        <w:t>/g),  pentaklor</w:t>
      </w:r>
      <w:r w:rsidR="009D2743">
        <w:rPr>
          <w:rFonts w:eastAsia="Calibri"/>
        </w:rPr>
        <w:t>o</w:t>
      </w:r>
      <w:r w:rsidRPr="00C2259E">
        <w:rPr>
          <w:rFonts w:eastAsia="Calibri"/>
        </w:rPr>
        <w:t>benzen (&lt;0,1</w:t>
      </w:r>
      <w:r w:rsidR="00321B71">
        <w:rPr>
          <w:rFonts w:eastAsia="Calibri"/>
        </w:rPr>
        <w:t xml:space="preserve"> – </w:t>
      </w:r>
      <w:r w:rsidRPr="00C2259E">
        <w:rPr>
          <w:rFonts w:eastAsia="Calibri"/>
        </w:rPr>
        <w:t xml:space="preserve">0,3 </w:t>
      </w:r>
      <w:proofErr w:type="spellStart"/>
      <w:r w:rsidRPr="00C2259E">
        <w:rPr>
          <w:rFonts w:eastAsia="Calibri"/>
        </w:rPr>
        <w:t>ng</w:t>
      </w:r>
      <w:proofErr w:type="spellEnd"/>
      <w:r w:rsidRPr="00C2259E">
        <w:rPr>
          <w:rFonts w:eastAsia="Calibri"/>
        </w:rPr>
        <w:t xml:space="preserve">/g), </w:t>
      </w:r>
      <w:proofErr w:type="spellStart"/>
      <w:r w:rsidRPr="00C2259E">
        <w:rPr>
          <w:rFonts w:eastAsia="Calibri"/>
        </w:rPr>
        <w:t>heptaklor</w:t>
      </w:r>
      <w:proofErr w:type="spellEnd"/>
      <w:r w:rsidRPr="00C2259E">
        <w:rPr>
          <w:rFonts w:eastAsia="Calibri"/>
        </w:rPr>
        <w:t xml:space="preserve"> i </w:t>
      </w:r>
      <w:proofErr w:type="spellStart"/>
      <w:r w:rsidRPr="00C2259E">
        <w:rPr>
          <w:rFonts w:eastAsia="Calibri"/>
        </w:rPr>
        <w:t>heptaklor</w:t>
      </w:r>
      <w:proofErr w:type="spellEnd"/>
      <w:r w:rsidRPr="00C2259E">
        <w:rPr>
          <w:rFonts w:eastAsia="Calibri"/>
        </w:rPr>
        <w:t xml:space="preserve"> </w:t>
      </w:r>
      <w:proofErr w:type="spellStart"/>
      <w:r w:rsidRPr="00C2259E">
        <w:rPr>
          <w:rFonts w:eastAsia="Calibri"/>
        </w:rPr>
        <w:t>e</w:t>
      </w:r>
      <w:r w:rsidR="00321B71">
        <w:rPr>
          <w:rFonts w:eastAsia="Calibri"/>
        </w:rPr>
        <w:t>poksid</w:t>
      </w:r>
      <w:proofErr w:type="spellEnd"/>
      <w:r w:rsidR="00321B71">
        <w:rPr>
          <w:rFonts w:eastAsia="Calibri"/>
        </w:rPr>
        <w:t xml:space="preserve"> (&lt;0,1 </w:t>
      </w:r>
      <w:proofErr w:type="spellStart"/>
      <w:r w:rsidR="00321B71">
        <w:rPr>
          <w:rFonts w:eastAsia="Calibri"/>
        </w:rPr>
        <w:t>ng</w:t>
      </w:r>
      <w:proofErr w:type="spellEnd"/>
      <w:r w:rsidR="00321B71">
        <w:rPr>
          <w:rFonts w:eastAsia="Calibri"/>
        </w:rPr>
        <w:t xml:space="preserve">/g), PFOS (&lt;0,1 – </w:t>
      </w:r>
      <w:r w:rsidRPr="00C2259E">
        <w:rPr>
          <w:rFonts w:eastAsia="Calibri"/>
        </w:rPr>
        <w:t xml:space="preserve">0,29 </w:t>
      </w:r>
      <w:proofErr w:type="spellStart"/>
      <w:r w:rsidRPr="00C2259E">
        <w:rPr>
          <w:rFonts w:eastAsia="Calibri"/>
        </w:rPr>
        <w:t>ng</w:t>
      </w:r>
      <w:proofErr w:type="spellEnd"/>
      <w:r w:rsidRPr="00C2259E">
        <w:rPr>
          <w:rFonts w:eastAsia="Calibri"/>
        </w:rPr>
        <w:t xml:space="preserve">/g) i </w:t>
      </w:r>
      <w:proofErr w:type="spellStart"/>
      <w:r w:rsidRPr="00C2259E">
        <w:rPr>
          <w:rFonts w:eastAsia="Calibri"/>
        </w:rPr>
        <w:t>dioksine</w:t>
      </w:r>
      <w:proofErr w:type="spellEnd"/>
      <w:r w:rsidRPr="00C2259E">
        <w:rPr>
          <w:rFonts w:eastAsia="Calibri"/>
        </w:rPr>
        <w:t xml:space="preserve"> i </w:t>
      </w:r>
      <w:r w:rsidR="00321B71">
        <w:rPr>
          <w:rFonts w:eastAsia="Calibri"/>
        </w:rPr>
        <w:t xml:space="preserve">njima srodne spojeve (&lt;0,00005 – </w:t>
      </w:r>
      <w:r w:rsidRPr="00C2259E">
        <w:rPr>
          <w:rFonts w:eastAsia="Calibri"/>
        </w:rPr>
        <w:t xml:space="preserve">0,0048 </w:t>
      </w:r>
      <w:proofErr w:type="spellStart"/>
      <w:r w:rsidRPr="00C2259E">
        <w:rPr>
          <w:rFonts w:eastAsia="Calibri"/>
        </w:rPr>
        <w:t>ng</w:t>
      </w:r>
      <w:proofErr w:type="spellEnd"/>
      <w:r w:rsidRPr="00C2259E">
        <w:rPr>
          <w:rFonts w:eastAsia="Calibri"/>
        </w:rPr>
        <w:t>/g, zbroj TEQ</w:t>
      </w:r>
      <w:r w:rsidR="00283B3E">
        <w:rPr>
          <w:rFonts w:eastAsia="Calibri"/>
        </w:rPr>
        <w:t xml:space="preserve">). </w:t>
      </w:r>
      <w:r w:rsidRPr="00C2259E">
        <w:rPr>
          <w:rFonts w:eastAsia="Calibri"/>
        </w:rPr>
        <w:t xml:space="preserve">Kako za kakvoću sedimenta nisu propisani jedinstveni europski kriteriji kao što je to slučaj za vodu i </w:t>
      </w:r>
      <w:proofErr w:type="spellStart"/>
      <w:r w:rsidRPr="00C2259E">
        <w:rPr>
          <w:rFonts w:eastAsia="Calibri"/>
        </w:rPr>
        <w:t>biotu</w:t>
      </w:r>
      <w:proofErr w:type="spellEnd"/>
      <w:r w:rsidRPr="00C2259E">
        <w:rPr>
          <w:rFonts w:eastAsia="Calibri"/>
        </w:rPr>
        <w:t xml:space="preserve">, ocjena stanja načinjena je prema kriterijima koje su u Norveškoj predložili </w:t>
      </w:r>
      <w:proofErr w:type="spellStart"/>
      <w:r w:rsidRPr="00C2259E">
        <w:rPr>
          <w:rFonts w:eastAsia="Calibri"/>
        </w:rPr>
        <w:t>Bakke</w:t>
      </w:r>
      <w:proofErr w:type="spellEnd"/>
      <w:r w:rsidRPr="00C2259E">
        <w:rPr>
          <w:rFonts w:eastAsia="Calibri"/>
        </w:rPr>
        <w:t xml:space="preserve"> i suradnici (2010). Prema </w:t>
      </w:r>
      <w:proofErr w:type="spellStart"/>
      <w:r w:rsidRPr="00C2259E">
        <w:rPr>
          <w:rFonts w:eastAsia="Calibri"/>
        </w:rPr>
        <w:t>Bakkeu</w:t>
      </w:r>
      <w:proofErr w:type="spellEnd"/>
      <w:r w:rsidRPr="00C2259E">
        <w:rPr>
          <w:rFonts w:eastAsia="Calibri"/>
        </w:rPr>
        <w:t xml:space="preserve"> i suradnicima kakvoća sedimenata je razvrstana u pet kategorija pri čemu su prve dvije, što se tiče stanja okoliša, smatrane dobrom i/ili zadovoljavajućom, dok su III, IV i V smatrane nezadovoljavajućom jer se u tom rasponu koncentracija  mogu očekivati toksični učinci. </w:t>
      </w:r>
    </w:p>
    <w:p w14:paraId="551EC59D" w14:textId="2566DB54" w:rsidR="0018601C" w:rsidRPr="007B4C0A" w:rsidRDefault="0018601C" w:rsidP="0018601C">
      <w:pPr>
        <w:jc w:val="both"/>
        <w:rPr>
          <w:noProof/>
        </w:rPr>
      </w:pPr>
      <w:r w:rsidRPr="00C2259E">
        <w:rPr>
          <w:noProof/>
        </w:rPr>
        <w:lastRenderedPageBreak/>
        <w:t xml:space="preserve">Prema Bakkeu i sur. (2010) kriterij za značajno onečišćenje sedimenta s PBDE je 62 ng/g što je u odnosu na koncentracije izmjerene u sedimentima naših prijelaznih voda vrlo visoko. Kao što se vidi na </w:t>
      </w:r>
      <w:r w:rsidR="004C4DEE">
        <w:rPr>
          <w:noProof/>
        </w:rPr>
        <w:t>g</w:t>
      </w:r>
      <w:r w:rsidR="004C4DEE" w:rsidRPr="004C4DEE">
        <w:rPr>
          <w:noProof/>
        </w:rPr>
        <w:t>rafikon</w:t>
      </w:r>
      <w:r w:rsidR="004C4DEE">
        <w:rPr>
          <w:noProof/>
        </w:rPr>
        <w:t>u</w:t>
      </w:r>
      <w:r w:rsidR="004C4DEE" w:rsidRPr="004C4DEE">
        <w:rPr>
          <w:noProof/>
        </w:rPr>
        <w:t xml:space="preserve"> 2.3-</w:t>
      </w:r>
      <w:r w:rsidR="004C4DEE">
        <w:rPr>
          <w:noProof/>
        </w:rPr>
        <w:t>4</w:t>
      </w:r>
      <w:r w:rsidR="004C4DEE" w:rsidRPr="004C4DEE">
        <w:rPr>
          <w:noProof/>
        </w:rPr>
        <w:t>.</w:t>
      </w:r>
      <w:r w:rsidRPr="004C4DEE">
        <w:rPr>
          <w:noProof/>
        </w:rPr>
        <w:t>,</w:t>
      </w:r>
      <w:r w:rsidRPr="00CB3FD2">
        <w:rPr>
          <w:noProof/>
        </w:rPr>
        <w:t xml:space="preserve"> raspon koncetracija PBDE u sedimentima bio je 0,03 ng/g do 0,44 ng/g (srednja vrijednost 0,14 ng/g) što je preko 100 puta niže od predloženog kriterija. Ovdje je odnos izmjerenih koncentracija i kriterija kakvoće okoliša potpuno obrnut od onog koji je zabilježen za biotu. Zanimljivo je uočiti da ne postoji korelacija opterećenja sedimenta i biote, međutim moguća razlika može biti povezana s činjenicom da se mikrolokacije uzorkovanja sedimenta i biote često ne poklapaju. Ipak, najviše su koncentracije izmjerene na lokacijama u estuarijima Omble, Neretve, Rječine i Raše.</w:t>
      </w:r>
    </w:p>
    <w:p w14:paraId="188FFB05" w14:textId="77777777" w:rsidR="0018601C" w:rsidRPr="004C2176" w:rsidRDefault="0018601C" w:rsidP="007B4C0A">
      <w:pPr>
        <w:jc w:val="center"/>
        <w:rPr>
          <w:noProof/>
        </w:rPr>
      </w:pPr>
      <w:r w:rsidRPr="004C2176">
        <w:rPr>
          <w:noProof/>
        </w:rPr>
        <w:drawing>
          <wp:inline distT="0" distB="0" distL="0" distR="0" wp14:anchorId="1D9BA1AA" wp14:editId="69F60E79">
            <wp:extent cx="4258800" cy="2905200"/>
            <wp:effectExtent l="0" t="0" r="889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4258800" cy="2905200"/>
                    </a:xfrm>
                    <a:prstGeom prst="rect">
                      <a:avLst/>
                    </a:prstGeom>
                    <a:noFill/>
                    <a:ln w="9525">
                      <a:noFill/>
                      <a:miter lim="800000"/>
                      <a:headEnd/>
                      <a:tailEnd/>
                    </a:ln>
                  </pic:spPr>
                </pic:pic>
              </a:graphicData>
            </a:graphic>
          </wp:inline>
        </w:drawing>
      </w:r>
    </w:p>
    <w:p w14:paraId="669DA044" w14:textId="46C8168E" w:rsidR="0018601C" w:rsidRPr="007B4C0A" w:rsidRDefault="004C4DEE" w:rsidP="00D55E4A">
      <w:pPr>
        <w:spacing w:after="120"/>
        <w:rPr>
          <w:i/>
          <w:noProof/>
        </w:rPr>
      </w:pPr>
      <w:r w:rsidRPr="004C4DEE">
        <w:rPr>
          <w:i/>
          <w:noProof/>
        </w:rPr>
        <w:t>Grafikon 2.3-</w:t>
      </w:r>
      <w:r>
        <w:rPr>
          <w:i/>
          <w:noProof/>
        </w:rPr>
        <w:t>4</w:t>
      </w:r>
      <w:r w:rsidRPr="004C4DEE">
        <w:rPr>
          <w:i/>
          <w:noProof/>
        </w:rPr>
        <w:t xml:space="preserve">. </w:t>
      </w:r>
      <w:r w:rsidR="0018601C" w:rsidRPr="007B4C0A">
        <w:rPr>
          <w:i/>
          <w:noProof/>
        </w:rPr>
        <w:t>Raspodjela polib</w:t>
      </w:r>
      <w:r w:rsidR="00BF1EC8">
        <w:rPr>
          <w:i/>
          <w:noProof/>
        </w:rPr>
        <w:t xml:space="preserve">romiraih difeniletera (PBDE) u </w:t>
      </w:r>
      <w:r w:rsidR="0018601C" w:rsidRPr="007B4C0A">
        <w:rPr>
          <w:i/>
          <w:noProof/>
        </w:rPr>
        <w:t>sedimentim</w:t>
      </w:r>
      <w:r w:rsidR="00B14499">
        <w:rPr>
          <w:i/>
          <w:noProof/>
        </w:rPr>
        <w:t>a prijelaznih voda 2016. godine</w:t>
      </w:r>
    </w:p>
    <w:p w14:paraId="4C0E7B2C" w14:textId="77777777" w:rsidR="007B70A8" w:rsidRDefault="007B70A8" w:rsidP="0018601C">
      <w:pPr>
        <w:jc w:val="both"/>
        <w:rPr>
          <w:noProof/>
        </w:rPr>
      </w:pPr>
    </w:p>
    <w:p w14:paraId="481A4C69" w14:textId="5E7EF029" w:rsidR="0018601C" w:rsidRPr="004C2176" w:rsidRDefault="0018601C" w:rsidP="0018601C">
      <w:pPr>
        <w:jc w:val="both"/>
        <w:rPr>
          <w:noProof/>
        </w:rPr>
      </w:pPr>
      <w:r w:rsidRPr="004C2176">
        <w:rPr>
          <w:noProof/>
        </w:rPr>
        <w:t>U sedimentima priobalnih voda izmjerene su i značajne koncentracije dugolanča</w:t>
      </w:r>
      <w:r w:rsidR="0012759C">
        <w:rPr>
          <w:noProof/>
        </w:rPr>
        <w:t>n</w:t>
      </w:r>
      <w:r w:rsidRPr="004C2176">
        <w:rPr>
          <w:noProof/>
        </w:rPr>
        <w:t>ih kloralkana (</w:t>
      </w:r>
      <w:r w:rsidR="004C4DEE" w:rsidRPr="004C4DEE">
        <w:rPr>
          <w:noProof/>
        </w:rPr>
        <w:t>Grafikon 2.3-</w:t>
      </w:r>
      <w:r w:rsidR="004C4DEE">
        <w:rPr>
          <w:noProof/>
        </w:rPr>
        <w:t>5</w:t>
      </w:r>
      <w:r w:rsidR="004C4DEE" w:rsidRPr="004C4DEE">
        <w:rPr>
          <w:noProof/>
        </w:rPr>
        <w:t>.</w:t>
      </w:r>
      <w:r w:rsidRPr="004C4DEE">
        <w:rPr>
          <w:noProof/>
        </w:rPr>
        <w:t>)</w:t>
      </w:r>
      <w:r w:rsidRPr="004C2176">
        <w:rPr>
          <w:noProof/>
        </w:rPr>
        <w:t>. Kako se radi o prioritetnim tvarima industrijskog porijekla, njihova  prostorna raspodjela pokazuje povi</w:t>
      </w:r>
      <w:r w:rsidR="0012759C">
        <w:rPr>
          <w:noProof/>
        </w:rPr>
        <w:t xml:space="preserve">šene vrijednosti na lokacijama </w:t>
      </w:r>
      <w:r w:rsidRPr="004C2176">
        <w:rPr>
          <w:noProof/>
        </w:rPr>
        <w:t>u estuarijima Omble, Neretve, Jadra, Krke i Rječine (FP-P2, FP-P5b, FP-P10, FP-P13 i FP-P18) koje su imale povećane razine i nekih drugih prioritetnih tvari. Međutim, prema kanadskim kriterijima (Environment Canada, 2016), te su koncentracije preko 1000 puta niže od kritičnih.</w:t>
      </w:r>
    </w:p>
    <w:p w14:paraId="7AE1A857" w14:textId="77777777" w:rsidR="00D55E4A" w:rsidRDefault="0018601C" w:rsidP="00D55E4A">
      <w:pPr>
        <w:jc w:val="center"/>
        <w:rPr>
          <w:i/>
          <w:noProof/>
        </w:rPr>
      </w:pPr>
      <w:r w:rsidRPr="004C2176">
        <w:rPr>
          <w:noProof/>
        </w:rPr>
        <w:drawing>
          <wp:inline distT="0" distB="0" distL="0" distR="0" wp14:anchorId="690396B2" wp14:editId="503B787F">
            <wp:extent cx="4720450" cy="2854970"/>
            <wp:effectExtent l="0" t="0" r="4445" b="254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4734170" cy="2863268"/>
                    </a:xfrm>
                    <a:prstGeom prst="rect">
                      <a:avLst/>
                    </a:prstGeom>
                    <a:noFill/>
                    <a:ln w="9525">
                      <a:noFill/>
                      <a:miter lim="800000"/>
                      <a:headEnd/>
                      <a:tailEnd/>
                    </a:ln>
                  </pic:spPr>
                </pic:pic>
              </a:graphicData>
            </a:graphic>
          </wp:inline>
        </w:drawing>
      </w:r>
    </w:p>
    <w:p w14:paraId="6CD08996" w14:textId="1B883220" w:rsidR="0018601C" w:rsidRPr="00D55E4A" w:rsidRDefault="004C4DEE" w:rsidP="00D55E4A">
      <w:pPr>
        <w:rPr>
          <w:noProof/>
        </w:rPr>
      </w:pPr>
      <w:r w:rsidRPr="004C4DEE">
        <w:rPr>
          <w:i/>
          <w:noProof/>
        </w:rPr>
        <w:lastRenderedPageBreak/>
        <w:t>Grafikon 2.3-</w:t>
      </w:r>
      <w:r>
        <w:rPr>
          <w:i/>
          <w:noProof/>
        </w:rPr>
        <w:t>5</w:t>
      </w:r>
      <w:r w:rsidRPr="004C4DEE">
        <w:rPr>
          <w:i/>
          <w:noProof/>
        </w:rPr>
        <w:t xml:space="preserve">. </w:t>
      </w:r>
      <w:r w:rsidR="0012759C">
        <w:rPr>
          <w:i/>
          <w:noProof/>
        </w:rPr>
        <w:t>Raspodjela dugolančan</w:t>
      </w:r>
      <w:r w:rsidR="00BF1EC8">
        <w:rPr>
          <w:i/>
          <w:noProof/>
        </w:rPr>
        <w:t xml:space="preserve">ih kloralkana (C10-C13) u </w:t>
      </w:r>
      <w:r w:rsidR="0018601C" w:rsidRPr="00CB3FD2">
        <w:rPr>
          <w:i/>
          <w:noProof/>
        </w:rPr>
        <w:t>sedimentim</w:t>
      </w:r>
      <w:r w:rsidR="00B14499">
        <w:rPr>
          <w:i/>
          <w:noProof/>
        </w:rPr>
        <w:t>a prijelaznih voda 2016. godine</w:t>
      </w:r>
    </w:p>
    <w:p w14:paraId="3E9698C5" w14:textId="77777777" w:rsidR="00E42F82" w:rsidRDefault="00E42F82" w:rsidP="0018601C">
      <w:pPr>
        <w:jc w:val="both"/>
        <w:rPr>
          <w:rFonts w:eastAsia="Calibri"/>
          <w:i/>
        </w:rPr>
      </w:pPr>
    </w:p>
    <w:p w14:paraId="173B43F8" w14:textId="23924CBC" w:rsidR="0018601C" w:rsidRPr="007E5335" w:rsidRDefault="0018601C" w:rsidP="0018601C">
      <w:pPr>
        <w:jc w:val="both"/>
        <w:rPr>
          <w:rFonts w:eastAsia="Calibri"/>
          <w:i/>
        </w:rPr>
      </w:pPr>
      <w:r w:rsidRPr="007E5335">
        <w:rPr>
          <w:rFonts w:eastAsia="Calibri"/>
          <w:i/>
        </w:rPr>
        <w:t>Priobalne vode, 2017. godina</w:t>
      </w:r>
    </w:p>
    <w:p w14:paraId="57AB39F7" w14:textId="2F6DA6AF" w:rsidR="0018601C" w:rsidRPr="007E5335" w:rsidRDefault="0018601C" w:rsidP="007E5335">
      <w:pPr>
        <w:spacing w:before="120" w:after="120"/>
        <w:jc w:val="both"/>
        <w:rPr>
          <w:rFonts w:eastAsia="Calibri"/>
          <w:i/>
        </w:rPr>
      </w:pPr>
      <w:r w:rsidRPr="007E5335">
        <w:rPr>
          <w:rFonts w:eastAsia="Calibri"/>
          <w:i/>
        </w:rPr>
        <w:t>VODA</w:t>
      </w:r>
    </w:p>
    <w:p w14:paraId="5EDB8D66" w14:textId="64E67BB7" w:rsidR="0018601C" w:rsidRPr="00CB3FD2" w:rsidRDefault="0018601C" w:rsidP="0018601C">
      <w:pPr>
        <w:jc w:val="both"/>
        <w:rPr>
          <w:b/>
          <w:noProof/>
          <w:u w:val="single"/>
        </w:rPr>
      </w:pPr>
      <w:r w:rsidRPr="00CB3FD2">
        <w:rPr>
          <w:noProof/>
        </w:rPr>
        <w:t>Praćenje POPs-ova u priobalnim vodama tijekom 2017. godine, obuhvatilo je 4 sezonska izlaska na 37 postaja i pokazalo da je stanje voda u odnosu na opterećenje praćenim tvarima uglavnom vrlo dobro. Na svim postajama i u svim sezonama koncentracije organoklorovih pesticida pentaklorbenzena, endosulfana, h</w:t>
      </w:r>
      <w:r w:rsidR="00BA5624">
        <w:rPr>
          <w:noProof/>
        </w:rPr>
        <w:t>eksaklor</w:t>
      </w:r>
      <w:r w:rsidR="009D2743">
        <w:rPr>
          <w:noProof/>
        </w:rPr>
        <w:t>o</w:t>
      </w:r>
      <w:r w:rsidR="00BA5624">
        <w:rPr>
          <w:noProof/>
        </w:rPr>
        <w:t>cikloheksana i p,p-DDT-</w:t>
      </w:r>
      <w:r w:rsidRPr="00CB3FD2">
        <w:rPr>
          <w:noProof/>
        </w:rPr>
        <w:t>a bile su niže od propisanih PGK vrijednosti (0,7 ng/L, 0,5 ng/L, 2 ng/L i 10 ng/L). Koncentracija sume kongenera PBDE u priobalnim vodama 2017. godine kretala se u rasponu od &lt;0,12 ng/L do 2,21 ng/L što je vrlo slično rasponu koji je određen u prijelaznim vodama. Kao što je već spomenuto u poglavlju o prijelaznim vodama, SKVO za druge površinske vode prema hrvatskoj regulativi iz 2013. godine (PGK 0,2 ng/</w:t>
      </w:r>
      <w:r w:rsidR="00BF1EC8">
        <w:rPr>
          <w:noProof/>
        </w:rPr>
        <w:t xml:space="preserve">L) </w:t>
      </w:r>
      <w:r w:rsidRPr="00CB3FD2">
        <w:rPr>
          <w:noProof/>
        </w:rPr>
        <w:t>na nekim lokacijama PGK vrijednosti ne bi zadovoljavale propisanu razinu, međutim propis iz 2015. sadrži samo MG</w:t>
      </w:r>
      <w:r w:rsidR="00BF1EC8">
        <w:rPr>
          <w:noProof/>
        </w:rPr>
        <w:t xml:space="preserve">K (14 ng/L) kao kriterij SKVO. </w:t>
      </w:r>
      <w:r w:rsidRPr="00CB3FD2">
        <w:rPr>
          <w:noProof/>
        </w:rPr>
        <w:t xml:space="preserve">Niti jedna od povišenih koncentracija ne premašuje taj kriterij. </w:t>
      </w:r>
    </w:p>
    <w:p w14:paraId="27CC65A3" w14:textId="1108EA8D" w:rsidR="0018601C" w:rsidRPr="007E5335" w:rsidRDefault="0018601C" w:rsidP="007E5335">
      <w:pPr>
        <w:spacing w:before="100" w:beforeAutospacing="1" w:after="120"/>
        <w:jc w:val="both"/>
        <w:rPr>
          <w:i/>
          <w:noProof/>
        </w:rPr>
      </w:pPr>
      <w:r w:rsidRPr="007E5335">
        <w:rPr>
          <w:i/>
          <w:noProof/>
        </w:rPr>
        <w:t>BIOTA</w:t>
      </w:r>
    </w:p>
    <w:p w14:paraId="6763E10C" w14:textId="05BB7C1E" w:rsidR="0018601C" w:rsidRPr="008A5333" w:rsidRDefault="0018601C" w:rsidP="0018601C">
      <w:pPr>
        <w:jc w:val="both"/>
      </w:pPr>
      <w:r w:rsidRPr="00CB3FD2">
        <w:t>Ko</w:t>
      </w:r>
      <w:r w:rsidR="008A5333">
        <w:t xml:space="preserve">ncentracije </w:t>
      </w:r>
      <w:proofErr w:type="spellStart"/>
      <w:r w:rsidR="008A5333">
        <w:t>heksaklor</w:t>
      </w:r>
      <w:r w:rsidR="009D2743">
        <w:t>o</w:t>
      </w:r>
      <w:r w:rsidR="008A5333">
        <w:t>benzena</w:t>
      </w:r>
      <w:proofErr w:type="spellEnd"/>
      <w:r w:rsidR="008A5333">
        <w:t xml:space="preserve"> (0,</w:t>
      </w:r>
      <w:r w:rsidRPr="00CB3FD2">
        <w:t>06</w:t>
      </w:r>
      <w:r w:rsidR="008A5333">
        <w:t xml:space="preserve"> – 0,</w:t>
      </w:r>
      <w:r w:rsidRPr="00CB3FD2">
        <w:t xml:space="preserve">48 </w:t>
      </w:r>
      <w:proofErr w:type="spellStart"/>
      <w:r w:rsidRPr="00CB3FD2">
        <w:t>ng</w:t>
      </w:r>
      <w:proofErr w:type="spellEnd"/>
      <w:r w:rsidRPr="00CB3FD2">
        <w:t>/g), heksaklor</w:t>
      </w:r>
      <w:r w:rsidR="009D2743">
        <w:t>o</w:t>
      </w:r>
      <w:r w:rsidRPr="00CB3FD2">
        <w:t xml:space="preserve">butadiena (&lt;0,1 </w:t>
      </w:r>
      <w:proofErr w:type="spellStart"/>
      <w:r w:rsidRPr="00CB3FD2">
        <w:t>ng</w:t>
      </w:r>
      <w:proofErr w:type="spellEnd"/>
      <w:r w:rsidRPr="00CB3FD2">
        <w:t xml:space="preserve">/g), i </w:t>
      </w:r>
      <w:proofErr w:type="spellStart"/>
      <w:r w:rsidRPr="00CB3FD2">
        <w:t>dioksina</w:t>
      </w:r>
      <w:proofErr w:type="spellEnd"/>
      <w:r w:rsidRPr="00CB3FD2">
        <w:t xml:space="preserve"> i njima srodnih spojeva (&lt;0,00001</w:t>
      </w:r>
      <w:r w:rsidR="008A5333">
        <w:t xml:space="preserve"> – </w:t>
      </w:r>
      <w:r w:rsidRPr="00CB3FD2">
        <w:t xml:space="preserve">0,0123 </w:t>
      </w:r>
      <w:proofErr w:type="spellStart"/>
      <w:r w:rsidRPr="00CB3FD2">
        <w:t>ng</w:t>
      </w:r>
      <w:proofErr w:type="spellEnd"/>
      <w:r w:rsidRPr="00CB3FD2">
        <w:t xml:space="preserve">/g, zbroj TEQ) u uzorcima riba iz priobalnih voda u 2017. godini bile su uglavnom znatno niže od odgovarajućih vrijednosti SKVO za </w:t>
      </w:r>
      <w:proofErr w:type="spellStart"/>
      <w:r w:rsidRPr="00CB3FD2">
        <w:t>biotu</w:t>
      </w:r>
      <w:proofErr w:type="spellEnd"/>
      <w:r w:rsidRPr="00CB3FD2">
        <w:t xml:space="preserve"> (u cijeloj ribi ili mišiću ribe, ovisno o tvari). </w:t>
      </w:r>
      <w:r w:rsidRPr="00CB3FD2">
        <w:rPr>
          <w:rFonts w:eastAsia="Calibri"/>
        </w:rPr>
        <w:t xml:space="preserve">Međutim, treba spomenuti da su na 3 lokacije (Splitska luka - FP-O15a, Pulska luka - FP-O45 i na lokaciji FP-O21a u Šibenskom </w:t>
      </w:r>
      <w:proofErr w:type="spellStart"/>
      <w:r w:rsidRPr="00CB3FD2">
        <w:rPr>
          <w:rFonts w:eastAsia="Calibri"/>
        </w:rPr>
        <w:t>akvatoriju</w:t>
      </w:r>
      <w:proofErr w:type="spellEnd"/>
      <w:r w:rsidRPr="00CB3FD2">
        <w:rPr>
          <w:rFonts w:eastAsia="Calibri"/>
        </w:rPr>
        <w:t xml:space="preserve">) utvrđene koncentracije </w:t>
      </w:r>
      <w:proofErr w:type="spellStart"/>
      <w:r w:rsidRPr="00CB3FD2">
        <w:rPr>
          <w:rFonts w:eastAsia="Calibri"/>
        </w:rPr>
        <w:t>dioksina</w:t>
      </w:r>
      <w:proofErr w:type="spellEnd"/>
      <w:r w:rsidRPr="00CB3FD2">
        <w:rPr>
          <w:rFonts w:eastAsia="Calibri"/>
        </w:rPr>
        <w:t xml:space="preserve"> i njima srodnih spojeva</w:t>
      </w:r>
      <w:r w:rsidR="00BF1EC8">
        <w:rPr>
          <w:rFonts w:eastAsia="Calibri"/>
        </w:rPr>
        <w:t xml:space="preserve"> u mišiću riba (0,00685</w:t>
      </w:r>
      <w:r w:rsidR="008A5333">
        <w:rPr>
          <w:rFonts w:eastAsia="Calibri"/>
        </w:rPr>
        <w:t xml:space="preserve"> – </w:t>
      </w:r>
      <w:r w:rsidR="00BF1EC8">
        <w:rPr>
          <w:rFonts w:eastAsia="Calibri"/>
        </w:rPr>
        <w:t xml:space="preserve">0,0123 </w:t>
      </w:r>
      <w:proofErr w:type="spellStart"/>
      <w:r w:rsidRPr="00CB3FD2">
        <w:rPr>
          <w:rFonts w:eastAsia="Calibri"/>
        </w:rPr>
        <w:t>ng</w:t>
      </w:r>
      <w:proofErr w:type="spellEnd"/>
      <w:r w:rsidRPr="00CB3FD2">
        <w:rPr>
          <w:rFonts w:eastAsia="Calibri"/>
        </w:rPr>
        <w:t xml:space="preserve">/g, zbroj TEQ) koje su neznatno prelazile SKVO za te spojeve (0,0065 </w:t>
      </w:r>
      <w:proofErr w:type="spellStart"/>
      <w:r w:rsidRPr="00CB3FD2">
        <w:rPr>
          <w:rFonts w:eastAsia="Calibri"/>
        </w:rPr>
        <w:t>ng</w:t>
      </w:r>
      <w:proofErr w:type="spellEnd"/>
      <w:r w:rsidRPr="00CB3FD2">
        <w:rPr>
          <w:rFonts w:eastAsia="Calibri"/>
        </w:rPr>
        <w:t xml:space="preserve">/g </w:t>
      </w:r>
      <w:proofErr w:type="spellStart"/>
      <w:r w:rsidRPr="00CB3FD2">
        <w:rPr>
          <w:rFonts w:eastAsia="Calibri"/>
        </w:rPr>
        <w:t>ng</w:t>
      </w:r>
      <w:proofErr w:type="spellEnd"/>
      <w:r w:rsidRPr="00CB3FD2">
        <w:rPr>
          <w:rFonts w:eastAsia="Calibri"/>
        </w:rPr>
        <w:t xml:space="preserve">/g, zbroj TEQ). Također treba napomenuti da, zbog vrlo </w:t>
      </w:r>
      <w:r w:rsidR="00BF1EC8">
        <w:rPr>
          <w:rFonts w:eastAsia="Calibri"/>
        </w:rPr>
        <w:t xml:space="preserve">stroge SKVO vrijednosti (0,0067 </w:t>
      </w:r>
      <w:proofErr w:type="spellStart"/>
      <w:r w:rsidRPr="00CB3FD2">
        <w:rPr>
          <w:rFonts w:eastAsia="Calibri"/>
        </w:rPr>
        <w:t>ng</w:t>
      </w:r>
      <w:proofErr w:type="spellEnd"/>
      <w:r w:rsidRPr="00CB3FD2">
        <w:rPr>
          <w:rFonts w:eastAsia="Calibri"/>
        </w:rPr>
        <w:t xml:space="preserve">/g) kritičnu skupinu predstavljaju i </w:t>
      </w:r>
      <w:proofErr w:type="spellStart"/>
      <w:r w:rsidRPr="00CB3FD2">
        <w:rPr>
          <w:rFonts w:eastAsia="Calibri"/>
        </w:rPr>
        <w:t>heptaklor</w:t>
      </w:r>
      <w:proofErr w:type="spellEnd"/>
      <w:r w:rsidRPr="00CB3FD2">
        <w:rPr>
          <w:rFonts w:eastAsia="Calibri"/>
        </w:rPr>
        <w:t xml:space="preserve"> i </w:t>
      </w:r>
      <w:proofErr w:type="spellStart"/>
      <w:r w:rsidRPr="00CB3FD2">
        <w:rPr>
          <w:rFonts w:eastAsia="Calibri"/>
        </w:rPr>
        <w:t>heptaklor</w:t>
      </w:r>
      <w:proofErr w:type="spellEnd"/>
      <w:r w:rsidR="009D2743">
        <w:rPr>
          <w:rFonts w:eastAsia="Calibri"/>
        </w:rPr>
        <w:t xml:space="preserve"> </w:t>
      </w:r>
      <w:proofErr w:type="spellStart"/>
      <w:r w:rsidRPr="00CB3FD2">
        <w:rPr>
          <w:rFonts w:eastAsia="Calibri"/>
        </w:rPr>
        <w:t>epoksid</w:t>
      </w:r>
      <w:proofErr w:type="spellEnd"/>
      <w:r w:rsidRPr="00CB3FD2">
        <w:rPr>
          <w:rFonts w:eastAsia="Calibri"/>
        </w:rPr>
        <w:t>, te da su k</w:t>
      </w:r>
      <w:r w:rsidRPr="00CB3FD2">
        <w:t xml:space="preserve">oncentracije </w:t>
      </w:r>
      <w:proofErr w:type="spellStart"/>
      <w:r w:rsidRPr="00CB3FD2">
        <w:t>heptaklora</w:t>
      </w:r>
      <w:proofErr w:type="spellEnd"/>
      <w:r w:rsidRPr="00CB3FD2">
        <w:t xml:space="preserve"> i </w:t>
      </w:r>
      <w:proofErr w:type="spellStart"/>
      <w:r w:rsidRPr="00CB3FD2">
        <w:t>heptaklor</w:t>
      </w:r>
      <w:proofErr w:type="spellEnd"/>
      <w:r w:rsidRPr="00CB3FD2">
        <w:t xml:space="preserve"> </w:t>
      </w:r>
      <w:proofErr w:type="spellStart"/>
      <w:r w:rsidRPr="00CB3FD2">
        <w:t>epoksida</w:t>
      </w:r>
      <w:proofErr w:type="spellEnd"/>
      <w:r w:rsidRPr="00CB3FD2">
        <w:t xml:space="preserve"> (&lt;0,05</w:t>
      </w:r>
      <w:r w:rsidR="008A5333">
        <w:t xml:space="preserve"> – </w:t>
      </w:r>
      <w:r w:rsidRPr="00CB3FD2">
        <w:t xml:space="preserve">0,06 </w:t>
      </w:r>
      <w:proofErr w:type="spellStart"/>
      <w:r w:rsidRPr="00CB3FD2">
        <w:t>ng</w:t>
      </w:r>
      <w:proofErr w:type="spellEnd"/>
      <w:r w:rsidRPr="00CB3FD2">
        <w:t xml:space="preserve">/g) bile za neke uzorke više od SKVO. </w:t>
      </w:r>
    </w:p>
    <w:p w14:paraId="7DBD8A75" w14:textId="7E2062ED" w:rsidR="0018601C" w:rsidRPr="00CB3FD2" w:rsidRDefault="0018601C" w:rsidP="0018601C">
      <w:pPr>
        <w:jc w:val="both"/>
        <w:rPr>
          <w:rFonts w:eastAsia="Calibri"/>
        </w:rPr>
      </w:pPr>
      <w:r w:rsidRPr="00CB3FD2">
        <w:rPr>
          <w:rFonts w:eastAsia="Calibri"/>
        </w:rPr>
        <w:t xml:space="preserve">Raspodjela PBDE (0,04 do 0,68 </w:t>
      </w:r>
      <w:proofErr w:type="spellStart"/>
      <w:r w:rsidRPr="00CB3FD2">
        <w:rPr>
          <w:rFonts w:eastAsia="Calibri"/>
        </w:rPr>
        <w:t>ng</w:t>
      </w:r>
      <w:proofErr w:type="spellEnd"/>
      <w:r w:rsidRPr="00CB3FD2">
        <w:rPr>
          <w:rFonts w:eastAsia="Calibri"/>
        </w:rPr>
        <w:t>/g) u ribama priobalnog mora (</w:t>
      </w:r>
      <w:r w:rsidR="00B14499">
        <w:rPr>
          <w:rFonts w:eastAsia="Calibri"/>
        </w:rPr>
        <w:t>g</w:t>
      </w:r>
      <w:r w:rsidR="00B14499" w:rsidRPr="00B14499">
        <w:rPr>
          <w:rFonts w:eastAsia="Calibri"/>
        </w:rPr>
        <w:t>rafikon 2.3-</w:t>
      </w:r>
      <w:r w:rsidR="00B14499">
        <w:rPr>
          <w:rFonts w:eastAsia="Calibri"/>
        </w:rPr>
        <w:t>6</w:t>
      </w:r>
      <w:r w:rsidR="00B14499" w:rsidRPr="00B14499">
        <w:rPr>
          <w:rFonts w:eastAsia="Calibri"/>
        </w:rPr>
        <w:t>.</w:t>
      </w:r>
      <w:r w:rsidRPr="00B14499">
        <w:rPr>
          <w:rFonts w:eastAsia="Calibri"/>
        </w:rPr>
        <w:t>)</w:t>
      </w:r>
      <w:r w:rsidRPr="00CB3FD2">
        <w:rPr>
          <w:rFonts w:eastAsia="Calibri"/>
        </w:rPr>
        <w:t xml:space="preserve"> pokazuje značajne razlike između zagađenih i slabije opterećenih lokacija, međutim sve izmjerene koncentracije premašuju kriterij SKVO (0,0085 </w:t>
      </w:r>
      <w:proofErr w:type="spellStart"/>
      <w:r w:rsidRPr="00CB3FD2">
        <w:rPr>
          <w:rFonts w:eastAsia="Calibri"/>
        </w:rPr>
        <w:t>ng</w:t>
      </w:r>
      <w:proofErr w:type="spellEnd"/>
      <w:r w:rsidRPr="00CB3FD2">
        <w:rPr>
          <w:rFonts w:eastAsia="Calibri"/>
        </w:rPr>
        <w:t xml:space="preserve">/g) od 10 do 100 puta. </w:t>
      </w:r>
      <w:r w:rsidR="00E42F82">
        <w:rPr>
          <w:rFonts w:eastAsia="Calibri"/>
        </w:rPr>
        <w:t>U ovom trenu</w:t>
      </w:r>
      <w:r w:rsidRPr="00CB3FD2">
        <w:rPr>
          <w:rFonts w:eastAsia="Calibri"/>
        </w:rPr>
        <w:t xml:space="preserve"> vruće točke s jače povišenim razinama PBDE su splitska luka (FP-O15a), Kaštelanski zaljev (FP-O16a), šibensko područje (FP-O21 i FP-O23), riječka luka (FP-O38), Riječk</w:t>
      </w:r>
      <w:r w:rsidR="00BF1EC8">
        <w:rPr>
          <w:rFonts w:eastAsia="Calibri"/>
        </w:rPr>
        <w:t xml:space="preserve">i zaljev (FP-O39), </w:t>
      </w:r>
      <w:r w:rsidRPr="00CB3FD2">
        <w:rPr>
          <w:rFonts w:eastAsia="Calibri"/>
        </w:rPr>
        <w:t xml:space="preserve">Kvarner (FP-O42) i </w:t>
      </w:r>
      <w:proofErr w:type="spellStart"/>
      <w:r w:rsidRPr="00CB3FD2">
        <w:rPr>
          <w:rFonts w:eastAsia="Calibri"/>
        </w:rPr>
        <w:t>Kvarnerić</w:t>
      </w:r>
      <w:proofErr w:type="spellEnd"/>
      <w:r w:rsidRPr="00CB3FD2">
        <w:rPr>
          <w:rFonts w:eastAsia="Calibri"/>
        </w:rPr>
        <w:t xml:space="preserve"> (FP-O30).</w:t>
      </w:r>
    </w:p>
    <w:p w14:paraId="6B75A96E" w14:textId="6AADF636" w:rsidR="0018601C" w:rsidRPr="004C2176" w:rsidRDefault="007E5335" w:rsidP="007E5335">
      <w:pPr>
        <w:jc w:val="center"/>
        <w:rPr>
          <w:rFonts w:ascii="Calibri" w:eastAsia="Calibri" w:hAnsi="Calibri"/>
        </w:rPr>
      </w:pPr>
      <w:r w:rsidRPr="004C2176">
        <w:rPr>
          <w:noProof/>
        </w:rPr>
        <w:lastRenderedPageBreak/>
        <w:drawing>
          <wp:inline distT="0" distB="0" distL="0" distR="0" wp14:anchorId="2ECB53F4" wp14:editId="4960856A">
            <wp:extent cx="5161213" cy="3243568"/>
            <wp:effectExtent l="0" t="0" r="1905"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5197070" cy="3266102"/>
                    </a:xfrm>
                    <a:prstGeom prst="rect">
                      <a:avLst/>
                    </a:prstGeom>
                    <a:noFill/>
                    <a:ln w="9525">
                      <a:noFill/>
                      <a:miter lim="800000"/>
                      <a:headEnd/>
                      <a:tailEnd/>
                    </a:ln>
                  </pic:spPr>
                </pic:pic>
              </a:graphicData>
            </a:graphic>
          </wp:inline>
        </w:drawing>
      </w:r>
    </w:p>
    <w:p w14:paraId="417FFEE1" w14:textId="5911DD8F" w:rsidR="004C4DEE" w:rsidRPr="007E5335" w:rsidRDefault="00B14499" w:rsidP="007E5335">
      <w:pPr>
        <w:rPr>
          <w:i/>
        </w:rPr>
      </w:pPr>
      <w:r w:rsidRPr="00B14499">
        <w:rPr>
          <w:i/>
        </w:rPr>
        <w:t>Grafikon 2.3-</w:t>
      </w:r>
      <w:r>
        <w:rPr>
          <w:i/>
        </w:rPr>
        <w:t>6</w:t>
      </w:r>
      <w:r w:rsidRPr="00B14499">
        <w:rPr>
          <w:i/>
        </w:rPr>
        <w:t xml:space="preserve">. </w:t>
      </w:r>
      <w:r w:rsidR="0018601C" w:rsidRPr="00B14499">
        <w:rPr>
          <w:i/>
        </w:rPr>
        <w:t xml:space="preserve"> Raspodjela </w:t>
      </w:r>
      <w:proofErr w:type="spellStart"/>
      <w:r w:rsidR="0018601C" w:rsidRPr="00B14499">
        <w:rPr>
          <w:i/>
        </w:rPr>
        <w:t>polibromiranih</w:t>
      </w:r>
      <w:proofErr w:type="spellEnd"/>
      <w:r w:rsidR="0018601C" w:rsidRPr="00B14499">
        <w:rPr>
          <w:i/>
        </w:rPr>
        <w:t xml:space="preserve"> </w:t>
      </w:r>
      <w:proofErr w:type="spellStart"/>
      <w:r w:rsidR="0018601C" w:rsidRPr="00B14499">
        <w:rPr>
          <w:i/>
        </w:rPr>
        <w:t>difeniletera</w:t>
      </w:r>
      <w:proofErr w:type="spellEnd"/>
      <w:r w:rsidR="0018601C" w:rsidRPr="00B14499">
        <w:rPr>
          <w:i/>
        </w:rPr>
        <w:t xml:space="preserve"> (PBDE) u ribama priobalnih voda 2017. godine.</w:t>
      </w:r>
    </w:p>
    <w:p w14:paraId="3D0878F3" w14:textId="77777777" w:rsidR="00E42F82" w:rsidRDefault="00E42F82" w:rsidP="0018601C">
      <w:pPr>
        <w:jc w:val="both"/>
        <w:rPr>
          <w:rFonts w:eastAsia="Calibri"/>
        </w:rPr>
      </w:pPr>
    </w:p>
    <w:p w14:paraId="30845957" w14:textId="10137DD5" w:rsidR="0018601C" w:rsidRDefault="0018601C" w:rsidP="0018601C">
      <w:pPr>
        <w:jc w:val="both"/>
        <w:rPr>
          <w:rFonts w:eastAsia="Calibri"/>
        </w:rPr>
      </w:pPr>
      <w:r w:rsidRPr="00B14499">
        <w:rPr>
          <w:rFonts w:eastAsia="Calibri"/>
        </w:rPr>
        <w:t xml:space="preserve">Razina drugog tipa </w:t>
      </w:r>
      <w:proofErr w:type="spellStart"/>
      <w:r w:rsidRPr="00B14499">
        <w:rPr>
          <w:rFonts w:eastAsia="Calibri"/>
        </w:rPr>
        <w:t>bromiranih</w:t>
      </w:r>
      <w:proofErr w:type="spellEnd"/>
      <w:r w:rsidRPr="00B14499">
        <w:rPr>
          <w:rFonts w:eastAsia="Calibri"/>
        </w:rPr>
        <w:t xml:space="preserve"> usporivača gorenja HBCDD (&lt;0,1 </w:t>
      </w:r>
      <w:r w:rsidR="008A5333">
        <w:rPr>
          <w:rFonts w:eastAsia="Calibri"/>
        </w:rPr>
        <w:t>–</w:t>
      </w:r>
      <w:r w:rsidRPr="00B14499">
        <w:rPr>
          <w:rFonts w:eastAsia="Calibri"/>
        </w:rPr>
        <w:t xml:space="preserve"> 0,5 </w:t>
      </w:r>
      <w:proofErr w:type="spellStart"/>
      <w:r w:rsidRPr="00B14499">
        <w:rPr>
          <w:rFonts w:eastAsia="Calibri"/>
        </w:rPr>
        <w:t>ng</w:t>
      </w:r>
      <w:proofErr w:type="spellEnd"/>
      <w:r w:rsidRPr="00B14499">
        <w:rPr>
          <w:rFonts w:eastAsia="Calibri"/>
        </w:rPr>
        <w:t>/g) bila je u ribama priobalnih voda u 2017. godini u prosjeku niža nego u prijelaznim vodama (</w:t>
      </w:r>
      <w:r w:rsidR="00B14499" w:rsidRPr="00B14499">
        <w:rPr>
          <w:rFonts w:eastAsia="Calibri"/>
        </w:rPr>
        <w:t>Grafikon 2.3-</w:t>
      </w:r>
      <w:r w:rsidR="00B14499">
        <w:rPr>
          <w:rFonts w:eastAsia="Calibri"/>
        </w:rPr>
        <w:t>7</w:t>
      </w:r>
      <w:r w:rsidR="00B14499" w:rsidRPr="00B14499">
        <w:rPr>
          <w:rFonts w:eastAsia="Calibri"/>
        </w:rPr>
        <w:t>.</w:t>
      </w:r>
      <w:r w:rsidRPr="00B14499">
        <w:rPr>
          <w:rFonts w:eastAsia="Calibri"/>
        </w:rPr>
        <w:t>), ali su raspo</w:t>
      </w:r>
      <w:r w:rsidR="00BF1EC8">
        <w:rPr>
          <w:rFonts w:eastAsia="Calibri"/>
        </w:rPr>
        <w:t xml:space="preserve">ni koncentracija dosta slični. </w:t>
      </w:r>
      <w:r w:rsidRPr="00B14499">
        <w:rPr>
          <w:rFonts w:eastAsia="Calibri"/>
        </w:rPr>
        <w:t>Također, razine HBCDD vrlo su slične onima koje su opisane za PBDE, a povišene razine</w:t>
      </w:r>
      <w:r w:rsidR="009E255B">
        <w:rPr>
          <w:rFonts w:eastAsia="Calibri"/>
        </w:rPr>
        <w:t xml:space="preserve"> su</w:t>
      </w:r>
      <w:r w:rsidRPr="00B14499">
        <w:rPr>
          <w:rFonts w:eastAsia="Calibri"/>
        </w:rPr>
        <w:t xml:space="preserve"> nađene</w:t>
      </w:r>
      <w:r w:rsidR="009E255B">
        <w:rPr>
          <w:rFonts w:eastAsia="Calibri"/>
        </w:rPr>
        <w:t xml:space="preserve"> </w:t>
      </w:r>
      <w:r w:rsidRPr="00B14499">
        <w:rPr>
          <w:rFonts w:eastAsia="Calibri"/>
        </w:rPr>
        <w:t>u identičnim područjima: splitskom (lokacije FP-O14 i FP-O15a, FP-O16A), šibenskom (FP-O21) i riječkom (FP-O37, FP-O42).</w:t>
      </w:r>
    </w:p>
    <w:p w14:paraId="07250E6B" w14:textId="77777777" w:rsidR="00B14499" w:rsidRPr="00B14499" w:rsidRDefault="00B14499" w:rsidP="0018601C">
      <w:pPr>
        <w:jc w:val="both"/>
        <w:rPr>
          <w:rFonts w:eastAsia="Calibri"/>
        </w:rPr>
      </w:pPr>
    </w:p>
    <w:p w14:paraId="60643C7D" w14:textId="2FF0B636" w:rsidR="0018601C" w:rsidRPr="004C2176" w:rsidRDefault="0018601C" w:rsidP="00B14499">
      <w:pPr>
        <w:jc w:val="center"/>
        <w:rPr>
          <w:rFonts w:ascii="Calibri" w:eastAsia="Calibri" w:hAnsi="Calibri"/>
        </w:rPr>
      </w:pPr>
      <w:r w:rsidRPr="004C2176">
        <w:rPr>
          <w:noProof/>
        </w:rPr>
        <w:drawing>
          <wp:inline distT="0" distB="0" distL="0" distR="0" wp14:anchorId="0DB30864" wp14:editId="28559F99">
            <wp:extent cx="4181627" cy="2580529"/>
            <wp:effectExtent l="19050" t="0" r="9373"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4189548" cy="2585417"/>
                    </a:xfrm>
                    <a:prstGeom prst="rect">
                      <a:avLst/>
                    </a:prstGeom>
                    <a:noFill/>
                    <a:ln w="9525">
                      <a:noFill/>
                      <a:miter lim="800000"/>
                      <a:headEnd/>
                      <a:tailEnd/>
                    </a:ln>
                  </pic:spPr>
                </pic:pic>
              </a:graphicData>
            </a:graphic>
          </wp:inline>
        </w:drawing>
      </w:r>
    </w:p>
    <w:p w14:paraId="0071781B" w14:textId="3ADCC4D2" w:rsidR="0018601C" w:rsidRDefault="00B14499" w:rsidP="007E5335">
      <w:pPr>
        <w:rPr>
          <w:i/>
        </w:rPr>
      </w:pPr>
      <w:r w:rsidRPr="00B14499">
        <w:rPr>
          <w:i/>
        </w:rPr>
        <w:t xml:space="preserve">Grafikon 2.3-7. </w:t>
      </w:r>
      <w:r w:rsidR="0018601C" w:rsidRPr="00B14499">
        <w:rPr>
          <w:i/>
        </w:rPr>
        <w:t xml:space="preserve">Raspodjela </w:t>
      </w:r>
      <w:proofErr w:type="spellStart"/>
      <w:r w:rsidR="0018601C" w:rsidRPr="00B14499">
        <w:rPr>
          <w:i/>
        </w:rPr>
        <w:t>heksabromociklododekana</w:t>
      </w:r>
      <w:proofErr w:type="spellEnd"/>
      <w:r w:rsidR="0018601C" w:rsidRPr="00B14499">
        <w:rPr>
          <w:i/>
        </w:rPr>
        <w:t xml:space="preserve"> (HBCDD) u riba</w:t>
      </w:r>
      <w:r w:rsidRPr="00B14499">
        <w:rPr>
          <w:i/>
        </w:rPr>
        <w:t>ma priobalnih voda 2017. godine</w:t>
      </w:r>
    </w:p>
    <w:p w14:paraId="61DB5A8F" w14:textId="63DAB64D" w:rsidR="00B14499" w:rsidRPr="00B14499" w:rsidRDefault="0018601C" w:rsidP="00E42F82">
      <w:pPr>
        <w:spacing w:before="120" w:after="120"/>
        <w:jc w:val="both"/>
        <w:rPr>
          <w:rFonts w:eastAsia="Calibri"/>
        </w:rPr>
      </w:pPr>
      <w:r w:rsidRPr="00B14499">
        <w:rPr>
          <w:rFonts w:eastAsia="Calibri"/>
        </w:rPr>
        <w:t xml:space="preserve">Razine </w:t>
      </w:r>
      <w:proofErr w:type="spellStart"/>
      <w:r w:rsidRPr="00B14499">
        <w:rPr>
          <w:rFonts w:eastAsia="Calibri"/>
        </w:rPr>
        <w:t>perfluorooktansulfonke</w:t>
      </w:r>
      <w:proofErr w:type="spellEnd"/>
      <w:r w:rsidRPr="00B14499">
        <w:rPr>
          <w:rFonts w:eastAsia="Calibri"/>
        </w:rPr>
        <w:t xml:space="preserve"> kiseline (PFOS) vrlo su slične razinama </w:t>
      </w:r>
      <w:proofErr w:type="spellStart"/>
      <w:r w:rsidRPr="00B14499">
        <w:rPr>
          <w:rFonts w:eastAsia="Calibri"/>
        </w:rPr>
        <w:t>bromiranih</w:t>
      </w:r>
      <w:proofErr w:type="spellEnd"/>
      <w:r w:rsidRPr="00B14499">
        <w:rPr>
          <w:rFonts w:eastAsia="Calibri"/>
        </w:rPr>
        <w:t xml:space="preserve"> usporivača gorenja, ali s</w:t>
      </w:r>
      <w:r w:rsidR="009E255B">
        <w:rPr>
          <w:rFonts w:eastAsia="Calibri"/>
        </w:rPr>
        <w:t xml:space="preserve">e njihove prostorne raspodjele </w:t>
      </w:r>
      <w:r w:rsidRPr="00B14499">
        <w:rPr>
          <w:rFonts w:eastAsia="Calibri"/>
        </w:rPr>
        <w:t xml:space="preserve">dosta razlikuju </w:t>
      </w:r>
      <w:r w:rsidR="00B14499">
        <w:rPr>
          <w:rFonts w:eastAsia="Calibri"/>
        </w:rPr>
        <w:t>(</w:t>
      </w:r>
      <w:r w:rsidR="00B14499" w:rsidRPr="00B14499">
        <w:rPr>
          <w:rFonts w:eastAsia="Calibri"/>
        </w:rPr>
        <w:t>Grafikon 2.3-</w:t>
      </w:r>
      <w:r w:rsidR="00B14499">
        <w:rPr>
          <w:rFonts w:eastAsia="Calibri"/>
        </w:rPr>
        <w:t>8</w:t>
      </w:r>
      <w:r w:rsidR="00B14499" w:rsidRPr="00B14499">
        <w:rPr>
          <w:rFonts w:eastAsia="Calibri"/>
        </w:rPr>
        <w:t>.</w:t>
      </w:r>
      <w:r w:rsidR="00B14499">
        <w:rPr>
          <w:rFonts w:eastAsia="Calibri"/>
        </w:rPr>
        <w:t>)</w:t>
      </w:r>
      <w:r w:rsidRPr="00B14499">
        <w:rPr>
          <w:rFonts w:eastAsia="Calibri"/>
        </w:rPr>
        <w:t xml:space="preserve">.  Razina PFOS preko 10 puta je niža od propisanog SKVO (9,1 </w:t>
      </w:r>
      <w:proofErr w:type="spellStart"/>
      <w:r w:rsidRPr="00B14499">
        <w:rPr>
          <w:rFonts w:eastAsia="Calibri"/>
        </w:rPr>
        <w:t>ng</w:t>
      </w:r>
      <w:proofErr w:type="spellEnd"/>
      <w:r w:rsidRPr="00B14499">
        <w:rPr>
          <w:rFonts w:eastAsia="Calibri"/>
        </w:rPr>
        <w:t>/g), a povišene koncentracije nađene su, pomalo iznenađujuće, na lokacijama FP-O4, FP-O5 (Malostonski zaljev) i FP-O7 (Neretvanski kanal).  Mjerljive koncentracije određ</w:t>
      </w:r>
      <w:r w:rsidR="00BF1EC8">
        <w:rPr>
          <w:rFonts w:eastAsia="Calibri"/>
        </w:rPr>
        <w:t xml:space="preserve">ene su i u Zadarskom (FP-O24), </w:t>
      </w:r>
      <w:r w:rsidRPr="00B14499">
        <w:rPr>
          <w:rFonts w:eastAsia="Calibri"/>
        </w:rPr>
        <w:t>Bakarskom (FP-O37</w:t>
      </w:r>
      <w:r w:rsidR="00BF1EC8">
        <w:rPr>
          <w:rFonts w:eastAsia="Calibri"/>
        </w:rPr>
        <w:t xml:space="preserve">) i Riječkom zaljevu (FP-O39). </w:t>
      </w:r>
      <w:r w:rsidRPr="00B14499">
        <w:rPr>
          <w:rFonts w:eastAsia="Calibri"/>
        </w:rPr>
        <w:t xml:space="preserve">Zasada se ne čini da bi PFOS trebale predstavljati izravnu opasnost za kakvoću priobalni voda, ali budući da se radi tek o prvim mjerenjima tog pokazatelja u našim vodama, trebalo </w:t>
      </w:r>
      <w:r w:rsidRPr="00B14499">
        <w:rPr>
          <w:rFonts w:eastAsia="Calibri"/>
        </w:rPr>
        <w:lastRenderedPageBreak/>
        <w:t xml:space="preserve">bi osigurati njihovo sustavno praćenje i u narednom razdoblju </w:t>
      </w:r>
      <w:r w:rsidR="00C53243">
        <w:rPr>
          <w:rFonts w:eastAsia="Calibri"/>
        </w:rPr>
        <w:t>kako</w:t>
      </w:r>
      <w:r w:rsidRPr="00B14499">
        <w:rPr>
          <w:rFonts w:eastAsia="Calibri"/>
        </w:rPr>
        <w:t xml:space="preserve"> bi se na</w:t>
      </w:r>
      <w:r w:rsidR="00C53243">
        <w:rPr>
          <w:rFonts w:eastAsia="Calibri"/>
        </w:rPr>
        <w:t xml:space="preserve"> </w:t>
      </w:r>
      <w:r w:rsidRPr="00B14499">
        <w:rPr>
          <w:rFonts w:eastAsia="Calibri"/>
        </w:rPr>
        <w:t>vrijeme detektirali nepovoljni trendovi.</w:t>
      </w:r>
    </w:p>
    <w:p w14:paraId="144A50C8" w14:textId="77777777" w:rsidR="0018601C" w:rsidRPr="004C2176" w:rsidRDefault="0018601C" w:rsidP="00B14499">
      <w:pPr>
        <w:jc w:val="center"/>
      </w:pPr>
      <w:r w:rsidRPr="004C2176">
        <w:rPr>
          <w:noProof/>
        </w:rPr>
        <w:drawing>
          <wp:inline distT="0" distB="0" distL="0" distR="0" wp14:anchorId="77D87E0E" wp14:editId="4768D83F">
            <wp:extent cx="4155385" cy="2608028"/>
            <wp:effectExtent l="1905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4163104" cy="2612873"/>
                    </a:xfrm>
                    <a:prstGeom prst="rect">
                      <a:avLst/>
                    </a:prstGeom>
                    <a:noFill/>
                    <a:ln w="9525">
                      <a:noFill/>
                      <a:miter lim="800000"/>
                      <a:headEnd/>
                      <a:tailEnd/>
                    </a:ln>
                  </pic:spPr>
                </pic:pic>
              </a:graphicData>
            </a:graphic>
          </wp:inline>
        </w:drawing>
      </w:r>
    </w:p>
    <w:p w14:paraId="0209BB33" w14:textId="230EBE45" w:rsidR="0018601C" w:rsidRPr="00E755AA" w:rsidRDefault="00E755AA" w:rsidP="007E5335">
      <w:pPr>
        <w:rPr>
          <w:i/>
        </w:rPr>
      </w:pPr>
      <w:r w:rsidRPr="00E755AA">
        <w:rPr>
          <w:i/>
        </w:rPr>
        <w:t xml:space="preserve">Grafikon 2.3-8. </w:t>
      </w:r>
      <w:r w:rsidR="0018601C" w:rsidRPr="00E755AA">
        <w:rPr>
          <w:i/>
        </w:rPr>
        <w:t xml:space="preserve">Raspodjela </w:t>
      </w:r>
      <w:proofErr w:type="spellStart"/>
      <w:r w:rsidR="0018601C" w:rsidRPr="00E755AA">
        <w:rPr>
          <w:rFonts w:eastAsia="Calibri"/>
          <w:i/>
        </w:rPr>
        <w:t>perfluorooktansulfonke</w:t>
      </w:r>
      <w:proofErr w:type="spellEnd"/>
      <w:r w:rsidR="0018601C" w:rsidRPr="00E755AA">
        <w:rPr>
          <w:rFonts w:eastAsia="Calibri"/>
          <w:i/>
        </w:rPr>
        <w:t xml:space="preserve"> kiseline (PFOS)</w:t>
      </w:r>
      <w:r w:rsidR="0018601C" w:rsidRPr="00E755AA">
        <w:rPr>
          <w:i/>
        </w:rPr>
        <w:t xml:space="preserve"> u riba</w:t>
      </w:r>
      <w:r>
        <w:rPr>
          <w:i/>
        </w:rPr>
        <w:t>ma priobalnih voda 2017. godine</w:t>
      </w:r>
    </w:p>
    <w:p w14:paraId="4A5F47A4" w14:textId="77777777" w:rsidR="0018601C" w:rsidRPr="004C2176" w:rsidRDefault="0018601C" w:rsidP="0018601C">
      <w:pPr>
        <w:jc w:val="both"/>
        <w:rPr>
          <w:rFonts w:ascii="Calibri" w:eastAsia="Calibri" w:hAnsi="Calibri"/>
        </w:rPr>
      </w:pPr>
    </w:p>
    <w:p w14:paraId="444C31F0" w14:textId="77777777" w:rsidR="0018601C" w:rsidRPr="007E5335" w:rsidRDefault="0018601C" w:rsidP="007E5335">
      <w:pPr>
        <w:spacing w:after="120"/>
        <w:jc w:val="both"/>
        <w:rPr>
          <w:i/>
          <w:noProof/>
        </w:rPr>
      </w:pPr>
      <w:r w:rsidRPr="007E5335">
        <w:rPr>
          <w:i/>
          <w:noProof/>
        </w:rPr>
        <w:t>SEDIMENT</w:t>
      </w:r>
    </w:p>
    <w:p w14:paraId="3A24A4B2" w14:textId="4EC132C3" w:rsidR="0018601C" w:rsidRPr="00E755AA" w:rsidRDefault="0018601C" w:rsidP="0018601C">
      <w:pPr>
        <w:jc w:val="both"/>
        <w:rPr>
          <w:rFonts w:eastAsia="Calibri"/>
        </w:rPr>
      </w:pPr>
      <w:r w:rsidRPr="00E755AA">
        <w:rPr>
          <w:rFonts w:eastAsia="Calibri"/>
        </w:rPr>
        <w:t xml:space="preserve">Koncentracije </w:t>
      </w:r>
      <w:proofErr w:type="spellStart"/>
      <w:r w:rsidRPr="00E755AA">
        <w:rPr>
          <w:rFonts w:eastAsia="Calibri"/>
        </w:rPr>
        <w:t>POPs</w:t>
      </w:r>
      <w:proofErr w:type="spellEnd"/>
      <w:r w:rsidRPr="00E755AA">
        <w:rPr>
          <w:rFonts w:eastAsia="Calibri"/>
        </w:rPr>
        <w:t xml:space="preserve">-ova u sedimentima priobalnih voda u 2017. godini bile su za većinu praćenih pokazatelja relativno niske i zadovoljavale korištene kriterije. To uključuje </w:t>
      </w:r>
      <w:proofErr w:type="spellStart"/>
      <w:r w:rsidRPr="00E755AA">
        <w:rPr>
          <w:rFonts w:eastAsia="Calibri"/>
        </w:rPr>
        <w:t>organoklorove</w:t>
      </w:r>
      <w:proofErr w:type="spellEnd"/>
      <w:r w:rsidRPr="00E755AA">
        <w:rPr>
          <w:rFonts w:eastAsia="Calibri"/>
        </w:rPr>
        <w:t xml:space="preserve"> insekticide </w:t>
      </w:r>
      <w:proofErr w:type="spellStart"/>
      <w:r w:rsidRPr="00E755AA">
        <w:rPr>
          <w:rFonts w:eastAsia="Calibri"/>
        </w:rPr>
        <w:t>heksaklor</w:t>
      </w:r>
      <w:r w:rsidR="009D2743">
        <w:rPr>
          <w:rFonts w:eastAsia="Calibri"/>
        </w:rPr>
        <w:t>o</w:t>
      </w:r>
      <w:r w:rsidRPr="00E755AA">
        <w:rPr>
          <w:rFonts w:eastAsia="Calibri"/>
        </w:rPr>
        <w:t>benzen</w:t>
      </w:r>
      <w:proofErr w:type="spellEnd"/>
      <w:r w:rsidRPr="00E755AA">
        <w:rPr>
          <w:rFonts w:eastAsia="Calibri"/>
        </w:rPr>
        <w:t xml:space="preserve"> (&lt;0,03</w:t>
      </w:r>
      <w:r w:rsidR="008A5333">
        <w:rPr>
          <w:rFonts w:eastAsia="Calibri"/>
        </w:rPr>
        <w:t xml:space="preserve"> – </w:t>
      </w:r>
      <w:r w:rsidRPr="00E755AA">
        <w:rPr>
          <w:rFonts w:eastAsia="Calibri"/>
        </w:rPr>
        <w:t xml:space="preserve">5,89) i </w:t>
      </w:r>
      <w:proofErr w:type="spellStart"/>
      <w:r w:rsidRPr="00E755AA">
        <w:rPr>
          <w:rFonts w:eastAsia="Calibri"/>
        </w:rPr>
        <w:t>heksaklor</w:t>
      </w:r>
      <w:r w:rsidR="009D2743">
        <w:rPr>
          <w:rFonts w:eastAsia="Calibri"/>
        </w:rPr>
        <w:t>o</w:t>
      </w:r>
      <w:r w:rsidRPr="00E755AA">
        <w:rPr>
          <w:rFonts w:eastAsia="Calibri"/>
        </w:rPr>
        <w:t>cikloheksan</w:t>
      </w:r>
      <w:proofErr w:type="spellEnd"/>
      <w:r w:rsidRPr="00E755AA">
        <w:rPr>
          <w:rFonts w:eastAsia="Calibri"/>
        </w:rPr>
        <w:t xml:space="preserve"> (&lt;0,03 </w:t>
      </w:r>
      <w:proofErr w:type="spellStart"/>
      <w:r w:rsidRPr="00E755AA">
        <w:rPr>
          <w:rFonts w:eastAsia="Calibri"/>
        </w:rPr>
        <w:t>ng</w:t>
      </w:r>
      <w:proofErr w:type="spellEnd"/>
      <w:r w:rsidRPr="00E755AA">
        <w:rPr>
          <w:rFonts w:eastAsia="Calibri"/>
        </w:rPr>
        <w:t>/</w:t>
      </w:r>
      <w:r w:rsidR="00BF1EC8">
        <w:rPr>
          <w:rFonts w:eastAsia="Calibri"/>
        </w:rPr>
        <w:t xml:space="preserve">g), </w:t>
      </w:r>
      <w:proofErr w:type="spellStart"/>
      <w:r w:rsidR="009E255B">
        <w:rPr>
          <w:rFonts w:eastAsia="Calibri"/>
        </w:rPr>
        <w:t>heksabromociklododekan</w:t>
      </w:r>
      <w:proofErr w:type="spellEnd"/>
      <w:r w:rsidR="009E255B">
        <w:rPr>
          <w:rFonts w:eastAsia="Calibri"/>
        </w:rPr>
        <w:t xml:space="preserve"> (&lt;0,1 – 1,</w:t>
      </w:r>
      <w:r w:rsidRPr="00E755AA">
        <w:rPr>
          <w:rFonts w:eastAsia="Calibri"/>
        </w:rPr>
        <w:t xml:space="preserve">5 </w:t>
      </w:r>
      <w:proofErr w:type="spellStart"/>
      <w:r w:rsidRPr="00E755AA">
        <w:rPr>
          <w:rFonts w:eastAsia="Calibri"/>
        </w:rPr>
        <w:t>ng</w:t>
      </w:r>
      <w:proofErr w:type="spellEnd"/>
      <w:r w:rsidRPr="00E755AA">
        <w:rPr>
          <w:rFonts w:eastAsia="Calibri"/>
        </w:rPr>
        <w:t xml:space="preserve">/g),  </w:t>
      </w:r>
      <w:proofErr w:type="spellStart"/>
      <w:r w:rsidRPr="00E755AA">
        <w:rPr>
          <w:rFonts w:eastAsia="Calibri"/>
        </w:rPr>
        <w:t>pentaklorbenzen</w:t>
      </w:r>
      <w:proofErr w:type="spellEnd"/>
      <w:r w:rsidRPr="00E755AA">
        <w:rPr>
          <w:rFonts w:eastAsia="Calibri"/>
        </w:rPr>
        <w:t xml:space="preserve"> (&lt;0,02</w:t>
      </w:r>
      <w:r w:rsidR="008A5333">
        <w:rPr>
          <w:rFonts w:eastAsia="Calibri"/>
        </w:rPr>
        <w:t xml:space="preserve"> – </w:t>
      </w:r>
      <w:r w:rsidRPr="00E755AA">
        <w:rPr>
          <w:rFonts w:eastAsia="Calibri"/>
        </w:rPr>
        <w:t xml:space="preserve">1,48 </w:t>
      </w:r>
      <w:proofErr w:type="spellStart"/>
      <w:r w:rsidRPr="00E755AA">
        <w:rPr>
          <w:rFonts w:eastAsia="Calibri"/>
        </w:rPr>
        <w:t>ng</w:t>
      </w:r>
      <w:proofErr w:type="spellEnd"/>
      <w:r w:rsidRPr="00E755AA">
        <w:rPr>
          <w:rFonts w:eastAsia="Calibri"/>
        </w:rPr>
        <w:t xml:space="preserve">/g), </w:t>
      </w:r>
      <w:proofErr w:type="spellStart"/>
      <w:r w:rsidRPr="00E755AA">
        <w:rPr>
          <w:rFonts w:eastAsia="Calibri"/>
        </w:rPr>
        <w:t>heptaklor</w:t>
      </w:r>
      <w:proofErr w:type="spellEnd"/>
      <w:r w:rsidRPr="00E755AA">
        <w:rPr>
          <w:rFonts w:eastAsia="Calibri"/>
        </w:rPr>
        <w:t xml:space="preserve"> i </w:t>
      </w:r>
      <w:proofErr w:type="spellStart"/>
      <w:r w:rsidRPr="00E755AA">
        <w:rPr>
          <w:rFonts w:eastAsia="Calibri"/>
        </w:rPr>
        <w:t>heptaklor</w:t>
      </w:r>
      <w:proofErr w:type="spellEnd"/>
      <w:r w:rsidRPr="00E755AA">
        <w:rPr>
          <w:rFonts w:eastAsia="Calibri"/>
        </w:rPr>
        <w:t xml:space="preserve"> </w:t>
      </w:r>
      <w:proofErr w:type="spellStart"/>
      <w:r w:rsidRPr="00E755AA">
        <w:rPr>
          <w:rFonts w:eastAsia="Calibri"/>
        </w:rPr>
        <w:t>epoksid</w:t>
      </w:r>
      <w:proofErr w:type="spellEnd"/>
      <w:r w:rsidRPr="00E755AA">
        <w:rPr>
          <w:rFonts w:eastAsia="Calibri"/>
        </w:rPr>
        <w:t xml:space="preserve"> (&lt;0,03</w:t>
      </w:r>
      <w:r w:rsidR="008A5333">
        <w:rPr>
          <w:rFonts w:eastAsia="Calibri"/>
        </w:rPr>
        <w:t xml:space="preserve"> – </w:t>
      </w:r>
      <w:r w:rsidRPr="00E755AA">
        <w:rPr>
          <w:rFonts w:eastAsia="Calibri"/>
        </w:rPr>
        <w:t xml:space="preserve">0,04 </w:t>
      </w:r>
      <w:proofErr w:type="spellStart"/>
      <w:r w:rsidRPr="00E755AA">
        <w:rPr>
          <w:rFonts w:eastAsia="Calibri"/>
        </w:rPr>
        <w:t>ng</w:t>
      </w:r>
      <w:proofErr w:type="spellEnd"/>
      <w:r w:rsidRPr="00E755AA">
        <w:rPr>
          <w:rFonts w:eastAsia="Calibri"/>
        </w:rPr>
        <w:t>/g), PFOS (&lt;0,1</w:t>
      </w:r>
      <w:r w:rsidR="008A5333">
        <w:rPr>
          <w:rFonts w:eastAsia="Calibri"/>
        </w:rPr>
        <w:t xml:space="preserve"> – </w:t>
      </w:r>
      <w:r w:rsidRPr="00E755AA">
        <w:rPr>
          <w:rFonts w:eastAsia="Calibri"/>
        </w:rPr>
        <w:t xml:space="preserve">0,4 </w:t>
      </w:r>
      <w:proofErr w:type="spellStart"/>
      <w:r w:rsidRPr="00E755AA">
        <w:rPr>
          <w:rFonts w:eastAsia="Calibri"/>
        </w:rPr>
        <w:t>ng</w:t>
      </w:r>
      <w:proofErr w:type="spellEnd"/>
      <w:r w:rsidRPr="00E755AA">
        <w:rPr>
          <w:rFonts w:eastAsia="Calibri"/>
        </w:rPr>
        <w:t xml:space="preserve">/g) </w:t>
      </w:r>
      <w:r w:rsidR="009E255B">
        <w:rPr>
          <w:rFonts w:eastAsia="Calibri"/>
        </w:rPr>
        <w:t>te</w:t>
      </w:r>
      <w:r w:rsidRPr="00E755AA">
        <w:rPr>
          <w:rFonts w:eastAsia="Calibri"/>
        </w:rPr>
        <w:t xml:space="preserve"> </w:t>
      </w:r>
      <w:proofErr w:type="spellStart"/>
      <w:r w:rsidRPr="00E755AA">
        <w:rPr>
          <w:rFonts w:eastAsia="Calibri"/>
        </w:rPr>
        <w:t>dioksine</w:t>
      </w:r>
      <w:proofErr w:type="spellEnd"/>
      <w:r w:rsidRPr="00E755AA">
        <w:rPr>
          <w:rFonts w:eastAsia="Calibri"/>
        </w:rPr>
        <w:t xml:space="preserve"> i njima srodne spojeve (&lt;0,00005</w:t>
      </w:r>
      <w:r w:rsidR="008A5333">
        <w:rPr>
          <w:rFonts w:eastAsia="Calibri"/>
        </w:rPr>
        <w:t xml:space="preserve"> – </w:t>
      </w:r>
      <w:r w:rsidRPr="00E755AA">
        <w:rPr>
          <w:rFonts w:eastAsia="Calibri"/>
        </w:rPr>
        <w:t xml:space="preserve">0,0084 </w:t>
      </w:r>
      <w:proofErr w:type="spellStart"/>
      <w:r w:rsidRPr="00E755AA">
        <w:rPr>
          <w:rFonts w:eastAsia="Calibri"/>
        </w:rPr>
        <w:t>ng</w:t>
      </w:r>
      <w:proofErr w:type="spellEnd"/>
      <w:r w:rsidRPr="00E755AA">
        <w:rPr>
          <w:rFonts w:eastAsia="Calibri"/>
        </w:rPr>
        <w:t xml:space="preserve">/g, zbroj TEQ).  Ocjena stanja načinjena je prema kriterijima koje su u Norveškoj predložili </w:t>
      </w:r>
      <w:proofErr w:type="spellStart"/>
      <w:r w:rsidRPr="00E755AA">
        <w:rPr>
          <w:rFonts w:eastAsia="Calibri"/>
        </w:rPr>
        <w:t>Bakke</w:t>
      </w:r>
      <w:proofErr w:type="spellEnd"/>
      <w:r w:rsidRPr="00E755AA">
        <w:rPr>
          <w:rFonts w:eastAsia="Calibri"/>
        </w:rPr>
        <w:t xml:space="preserve"> i suradnici (2010). Prema </w:t>
      </w:r>
      <w:proofErr w:type="spellStart"/>
      <w:r w:rsidRPr="00E755AA">
        <w:rPr>
          <w:rFonts w:eastAsia="Calibri"/>
        </w:rPr>
        <w:t>Bakkeu</w:t>
      </w:r>
      <w:proofErr w:type="spellEnd"/>
      <w:r w:rsidRPr="00E755AA">
        <w:rPr>
          <w:rFonts w:eastAsia="Calibri"/>
        </w:rPr>
        <w:t xml:space="preserve"> i suradnicima kakvoća sedimenata je razvrstana u pet kategorija pri čemu su prve dvije smatrane dobrom i/ili zadovoljavajućom, dok su III, IV i V smatrane nezadovoljavajućom jer se u tom rasponu koncentracija  mogu očekivati toksični učinci. </w:t>
      </w:r>
    </w:p>
    <w:p w14:paraId="2ACF18B5" w14:textId="30A7F809" w:rsidR="0018601C" w:rsidRPr="00816F05" w:rsidRDefault="0018601C" w:rsidP="0018601C">
      <w:pPr>
        <w:jc w:val="both"/>
        <w:rPr>
          <w:noProof/>
        </w:rPr>
      </w:pPr>
      <w:r w:rsidRPr="00816F05">
        <w:rPr>
          <w:noProof/>
        </w:rPr>
        <w:t>Kriterij za značajno onečišćenje sedimenta s PBDE je 62 ng/g što je značajno više od razina koncentracija izmjerenih u sedimentima naših priobalnih voda (</w:t>
      </w:r>
      <w:r w:rsidR="00E755AA" w:rsidRPr="00E755AA">
        <w:rPr>
          <w:noProof/>
        </w:rPr>
        <w:t>Grafikon 2.3-</w:t>
      </w:r>
      <w:r w:rsidR="00E755AA">
        <w:rPr>
          <w:noProof/>
        </w:rPr>
        <w:t>9</w:t>
      </w:r>
      <w:r w:rsidR="00E755AA" w:rsidRPr="00E755AA">
        <w:rPr>
          <w:noProof/>
        </w:rPr>
        <w:t>.</w:t>
      </w:r>
      <w:r w:rsidRPr="00816F05">
        <w:rPr>
          <w:noProof/>
        </w:rPr>
        <w:t>). Raspon koncentracija PBDE u sedimentima priobalnih voda bio je nešto niži nego u prijelazim vod</w:t>
      </w:r>
      <w:r w:rsidR="009E255B">
        <w:rPr>
          <w:noProof/>
        </w:rPr>
        <w:t xml:space="preserve">ama (raspon od </w:t>
      </w:r>
      <w:r w:rsidRPr="00816F05">
        <w:rPr>
          <w:noProof/>
        </w:rPr>
        <w:t>&lt;0,05 ng/g do 0,23 ng/g; srednja vrijednost 0,09 ng/g) što je peko 100 puta niže od predl</w:t>
      </w:r>
      <w:r w:rsidR="00BF1EC8">
        <w:rPr>
          <w:noProof/>
        </w:rPr>
        <w:t xml:space="preserve">oženog kriterija. </w:t>
      </w:r>
      <w:r w:rsidRPr="00816F05">
        <w:rPr>
          <w:noProof/>
        </w:rPr>
        <w:t xml:space="preserve">Ipak, zbog mogućeg prijenosa PBDE u biotu putem sedimenta važno je uočiti lokacije koje pokazuju povišene vrijednosti. To su lokacije FP-O14 i FP-17A u splitskom području te lokacije FP-O27 i FP-28A u južnom dijelu Podvelebitskog kanala i uvali naselja Pag. </w:t>
      </w:r>
    </w:p>
    <w:p w14:paraId="65F39BA3" w14:textId="4CEE4A42" w:rsidR="0018601C" w:rsidRDefault="0018601C" w:rsidP="0018601C">
      <w:pPr>
        <w:jc w:val="both"/>
        <w:rPr>
          <w:noProof/>
        </w:rPr>
      </w:pPr>
      <w:r w:rsidRPr="00816F05">
        <w:rPr>
          <w:noProof/>
        </w:rPr>
        <w:t>Koncentracije dugolanča</w:t>
      </w:r>
      <w:r w:rsidR="009E255B">
        <w:rPr>
          <w:noProof/>
        </w:rPr>
        <w:t>n</w:t>
      </w:r>
      <w:r w:rsidRPr="00816F05">
        <w:rPr>
          <w:noProof/>
        </w:rPr>
        <w:t>ih kloralkana u sedimentima priobalnih voda bile su dosta niže nego u prijelaznim vodama (</w:t>
      </w:r>
      <w:r w:rsidR="00E755AA" w:rsidRPr="00E755AA">
        <w:rPr>
          <w:noProof/>
        </w:rPr>
        <w:t>Grafikon 2.3-</w:t>
      </w:r>
      <w:r w:rsidR="00E755AA">
        <w:rPr>
          <w:noProof/>
        </w:rPr>
        <w:t>10</w:t>
      </w:r>
      <w:r w:rsidR="00E755AA" w:rsidRPr="00E755AA">
        <w:rPr>
          <w:noProof/>
        </w:rPr>
        <w:t>.</w:t>
      </w:r>
      <w:r w:rsidRPr="00816F05">
        <w:rPr>
          <w:noProof/>
        </w:rPr>
        <w:t>) i kretale su se u rasponu od &lt;3 do 86 ng/g (</w:t>
      </w:r>
      <w:r w:rsidR="00BF1EC8">
        <w:rPr>
          <w:noProof/>
        </w:rPr>
        <w:t xml:space="preserve">srednja vrijednost 18,8 ng/g). </w:t>
      </w:r>
      <w:r w:rsidRPr="00816F05">
        <w:rPr>
          <w:noProof/>
        </w:rPr>
        <w:t>Prostorna raspodjela pokazuje značajnu varijabilnost, a lokacije s izrazitim povišenjem razine su očekivano one u splitskom području (FP-O14, FP-O15a i FP-O16), Bakarskom zaljevu (FP-O37) i pulskoj luci (FP-O45). Traba naglasiti da su i te koncentracije više od 1000 puta niže od kriterija koji se primijenjuje u Kanadi (Environment Canada, 2016). Stoga se može zaključiti da ovaj pokazatelj ne treba smatrati kritičnim sa stajališta postizanja dobrog stanja okoliša.</w:t>
      </w:r>
    </w:p>
    <w:p w14:paraId="6CA391F4" w14:textId="77777777" w:rsidR="002266E0" w:rsidRPr="00816F05" w:rsidRDefault="002266E0" w:rsidP="0018601C">
      <w:pPr>
        <w:jc w:val="both"/>
        <w:rPr>
          <w:noProof/>
        </w:rPr>
      </w:pPr>
    </w:p>
    <w:p w14:paraId="4DA6ABC8" w14:textId="77777777" w:rsidR="0018601C" w:rsidRDefault="0018601C" w:rsidP="0018601C">
      <w:pPr>
        <w:jc w:val="both"/>
        <w:rPr>
          <w:noProof/>
        </w:rPr>
      </w:pPr>
    </w:p>
    <w:p w14:paraId="0E190342" w14:textId="6B398FDB" w:rsidR="0018601C" w:rsidRPr="004C2176" w:rsidRDefault="00D33B7F" w:rsidP="00E755AA">
      <w:pPr>
        <w:jc w:val="center"/>
        <w:rPr>
          <w:noProof/>
        </w:rPr>
      </w:pPr>
      <w:r w:rsidRPr="00043A4D">
        <w:rPr>
          <w:noProof/>
        </w:rPr>
        <w:lastRenderedPageBreak/>
        <w:drawing>
          <wp:inline distT="0" distB="0" distL="0" distR="0" wp14:anchorId="1151DA8D" wp14:editId="0C3A0F8B">
            <wp:extent cx="5760720" cy="346725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760720" cy="3467257"/>
                    </a:xfrm>
                    <a:prstGeom prst="rect">
                      <a:avLst/>
                    </a:prstGeom>
                    <a:noFill/>
                    <a:ln w="9525">
                      <a:noFill/>
                      <a:miter lim="800000"/>
                      <a:headEnd/>
                      <a:tailEnd/>
                    </a:ln>
                  </pic:spPr>
                </pic:pic>
              </a:graphicData>
            </a:graphic>
          </wp:inline>
        </w:drawing>
      </w:r>
    </w:p>
    <w:p w14:paraId="709EA828" w14:textId="739D6708" w:rsidR="0018601C" w:rsidRPr="00E755AA" w:rsidRDefault="00E755AA" w:rsidP="007E5335">
      <w:pPr>
        <w:rPr>
          <w:i/>
          <w:noProof/>
        </w:rPr>
      </w:pPr>
      <w:r w:rsidRPr="00E755AA">
        <w:rPr>
          <w:i/>
          <w:noProof/>
        </w:rPr>
        <w:t xml:space="preserve">Grafikon 2.3-9. </w:t>
      </w:r>
      <w:r w:rsidR="0018601C" w:rsidRPr="00E755AA">
        <w:rPr>
          <w:i/>
          <w:noProof/>
        </w:rPr>
        <w:t>Raspodjela polibr</w:t>
      </w:r>
      <w:r w:rsidR="00BF1EC8">
        <w:rPr>
          <w:i/>
          <w:noProof/>
        </w:rPr>
        <w:t xml:space="preserve">omiranih difeniletera (PBDE) u </w:t>
      </w:r>
      <w:r w:rsidR="0018601C" w:rsidRPr="00E755AA">
        <w:rPr>
          <w:i/>
          <w:noProof/>
        </w:rPr>
        <w:t>sedimenti</w:t>
      </w:r>
      <w:r w:rsidRPr="00E755AA">
        <w:rPr>
          <w:i/>
          <w:noProof/>
        </w:rPr>
        <w:t>ma priobalnih voda 2017. godine</w:t>
      </w:r>
    </w:p>
    <w:p w14:paraId="11A5F4AE" w14:textId="77777777" w:rsidR="0018601C" w:rsidRPr="004C2176" w:rsidRDefault="0018601C" w:rsidP="00E755AA">
      <w:pPr>
        <w:jc w:val="center"/>
        <w:rPr>
          <w:noProof/>
        </w:rPr>
      </w:pPr>
      <w:r w:rsidRPr="004C2176">
        <w:rPr>
          <w:noProof/>
        </w:rPr>
        <w:drawing>
          <wp:inline distT="0" distB="0" distL="0" distR="0" wp14:anchorId="63EA5EE0" wp14:editId="31469BA1">
            <wp:extent cx="4465251" cy="2687541"/>
            <wp:effectExtent l="19050" t="0" r="0" b="0"/>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srcRect/>
                    <a:stretch>
                      <a:fillRect/>
                    </a:stretch>
                  </pic:blipFill>
                  <pic:spPr bwMode="auto">
                    <a:xfrm>
                      <a:off x="0" y="0"/>
                      <a:ext cx="4465881" cy="2687920"/>
                    </a:xfrm>
                    <a:prstGeom prst="rect">
                      <a:avLst/>
                    </a:prstGeom>
                    <a:noFill/>
                    <a:ln w="9525">
                      <a:noFill/>
                      <a:miter lim="800000"/>
                      <a:headEnd/>
                      <a:tailEnd/>
                    </a:ln>
                  </pic:spPr>
                </pic:pic>
              </a:graphicData>
            </a:graphic>
          </wp:inline>
        </w:drawing>
      </w:r>
    </w:p>
    <w:p w14:paraId="26A86B4A" w14:textId="0C202F81" w:rsidR="0018601C" w:rsidRDefault="00E755AA" w:rsidP="007E5335">
      <w:pPr>
        <w:rPr>
          <w:i/>
          <w:noProof/>
        </w:rPr>
      </w:pPr>
      <w:r w:rsidRPr="00E755AA">
        <w:rPr>
          <w:i/>
          <w:noProof/>
        </w:rPr>
        <w:t>Grafikon 2.3-</w:t>
      </w:r>
      <w:r w:rsidR="00407DD4">
        <w:rPr>
          <w:i/>
          <w:noProof/>
        </w:rPr>
        <w:t>10</w:t>
      </w:r>
      <w:r w:rsidRPr="00E755AA">
        <w:rPr>
          <w:i/>
          <w:noProof/>
        </w:rPr>
        <w:t>.</w:t>
      </w:r>
      <w:r>
        <w:rPr>
          <w:i/>
          <w:noProof/>
        </w:rPr>
        <w:t xml:space="preserve"> </w:t>
      </w:r>
      <w:r w:rsidR="0018601C" w:rsidRPr="00E755AA">
        <w:rPr>
          <w:i/>
          <w:noProof/>
        </w:rPr>
        <w:t>Raspodjela dugolanča</w:t>
      </w:r>
      <w:r w:rsidR="009E255B">
        <w:rPr>
          <w:i/>
          <w:noProof/>
        </w:rPr>
        <w:t>nih</w:t>
      </w:r>
      <w:r w:rsidR="0018601C" w:rsidRPr="00E755AA">
        <w:rPr>
          <w:i/>
          <w:noProof/>
        </w:rPr>
        <w:t xml:space="preserve"> kloralkana (C10-C13) u sedimentima priobalnih voda 2017. godine.</w:t>
      </w:r>
    </w:p>
    <w:p w14:paraId="33802E7C" w14:textId="66F08D34" w:rsidR="008E66C7" w:rsidRDefault="008E66C7" w:rsidP="007E5335">
      <w:pPr>
        <w:rPr>
          <w:i/>
          <w:noProof/>
        </w:rPr>
      </w:pPr>
    </w:p>
    <w:p w14:paraId="3565E8D2" w14:textId="18955205" w:rsidR="008E66C7" w:rsidRDefault="008E66C7" w:rsidP="007E5335">
      <w:pPr>
        <w:rPr>
          <w:noProof/>
        </w:rPr>
      </w:pPr>
      <w:r w:rsidRPr="008E66C7">
        <w:rPr>
          <w:noProof/>
        </w:rPr>
        <w:t xml:space="preserve">LITERATURA: </w:t>
      </w:r>
    </w:p>
    <w:p w14:paraId="7526F18B" w14:textId="77777777" w:rsidR="008E66C7" w:rsidRDefault="008E66C7" w:rsidP="008E66C7">
      <w:pPr>
        <w:jc w:val="both"/>
      </w:pPr>
    </w:p>
    <w:p w14:paraId="486E79B6" w14:textId="35861D83" w:rsidR="008E66C7" w:rsidRPr="004C2176" w:rsidRDefault="008E66C7" w:rsidP="008E66C7">
      <w:pPr>
        <w:jc w:val="both"/>
      </w:pPr>
      <w:proofErr w:type="spellStart"/>
      <w:r w:rsidRPr="004C2176">
        <w:t>Bakke</w:t>
      </w:r>
      <w:proofErr w:type="spellEnd"/>
      <w:r w:rsidRPr="004C2176">
        <w:t xml:space="preserve"> T, </w:t>
      </w:r>
      <w:proofErr w:type="spellStart"/>
      <w:r w:rsidRPr="004C2176">
        <w:t>Kallqvit</w:t>
      </w:r>
      <w:proofErr w:type="spellEnd"/>
      <w:r w:rsidRPr="004C2176">
        <w:t xml:space="preserve"> T, </w:t>
      </w:r>
      <w:proofErr w:type="spellStart"/>
      <w:r w:rsidRPr="004C2176">
        <w:t>Ruus</w:t>
      </w:r>
      <w:proofErr w:type="spellEnd"/>
      <w:r w:rsidRPr="004C2176">
        <w:t xml:space="preserve"> A, </w:t>
      </w:r>
      <w:proofErr w:type="spellStart"/>
      <w:r w:rsidRPr="004C2176">
        <w:t>Breedveld</w:t>
      </w:r>
      <w:proofErr w:type="spellEnd"/>
      <w:r w:rsidRPr="004C2176">
        <w:t xml:space="preserve"> GD, </w:t>
      </w:r>
      <w:proofErr w:type="spellStart"/>
      <w:r w:rsidRPr="004C2176">
        <w:t>Hylland</w:t>
      </w:r>
      <w:proofErr w:type="spellEnd"/>
      <w:r w:rsidRPr="004C2176">
        <w:t xml:space="preserve"> K, Development </w:t>
      </w:r>
      <w:proofErr w:type="spellStart"/>
      <w:r w:rsidRPr="004C2176">
        <w:t>of</w:t>
      </w:r>
      <w:proofErr w:type="spellEnd"/>
      <w:r w:rsidRPr="004C2176">
        <w:t xml:space="preserve"> sediment </w:t>
      </w:r>
      <w:proofErr w:type="spellStart"/>
      <w:r w:rsidRPr="004C2176">
        <w:t>quality</w:t>
      </w:r>
      <w:proofErr w:type="spellEnd"/>
      <w:r w:rsidRPr="004C2176">
        <w:t xml:space="preserve"> </w:t>
      </w:r>
      <w:proofErr w:type="spellStart"/>
      <w:r w:rsidRPr="004C2176">
        <w:t>criteria</w:t>
      </w:r>
      <w:proofErr w:type="spellEnd"/>
      <w:r w:rsidRPr="004C2176">
        <w:t xml:space="preserve"> </w:t>
      </w:r>
      <w:proofErr w:type="spellStart"/>
      <w:r w:rsidRPr="004C2176">
        <w:t>in</w:t>
      </w:r>
      <w:proofErr w:type="spellEnd"/>
      <w:r w:rsidRPr="004C2176">
        <w:t xml:space="preserve"> </w:t>
      </w:r>
      <w:proofErr w:type="spellStart"/>
      <w:r w:rsidRPr="004C2176">
        <w:t>Norway</w:t>
      </w:r>
      <w:proofErr w:type="spellEnd"/>
      <w:r w:rsidRPr="004C2176">
        <w:t xml:space="preserve">. J. </w:t>
      </w:r>
      <w:proofErr w:type="spellStart"/>
      <w:r w:rsidRPr="004C2176">
        <w:t>Soil</w:t>
      </w:r>
      <w:proofErr w:type="spellEnd"/>
      <w:r w:rsidRPr="004C2176">
        <w:t xml:space="preserve"> </w:t>
      </w:r>
      <w:proofErr w:type="spellStart"/>
      <w:r w:rsidRPr="004C2176">
        <w:t>Sediments</w:t>
      </w:r>
      <w:proofErr w:type="spellEnd"/>
      <w:r w:rsidRPr="004C2176">
        <w:t xml:space="preserve"> 10 (2010) 172-178.</w:t>
      </w:r>
    </w:p>
    <w:p w14:paraId="7EB233C0" w14:textId="77777777" w:rsidR="008E66C7" w:rsidRDefault="008E66C7" w:rsidP="008E66C7">
      <w:pPr>
        <w:jc w:val="both"/>
        <w:rPr>
          <w:noProof/>
        </w:rPr>
      </w:pPr>
    </w:p>
    <w:p w14:paraId="33785977" w14:textId="2E0A2D38" w:rsidR="008E66C7" w:rsidRPr="008E66C7" w:rsidRDefault="008E66C7" w:rsidP="008E66C7">
      <w:pPr>
        <w:jc w:val="both"/>
        <w:rPr>
          <w:noProof/>
        </w:rPr>
      </w:pPr>
      <w:r w:rsidRPr="004C2176">
        <w:rPr>
          <w:noProof/>
        </w:rPr>
        <w:t>Environment Canada, Canadian Environmental Protection Act, 1999, Federal Environmental Quality Guidelines. Chlorinated Alkanes,  Environment and Climate Change Canada, May 2016</w:t>
      </w:r>
      <w:r>
        <w:rPr>
          <w:noProof/>
        </w:rPr>
        <w:t>.</w:t>
      </w:r>
    </w:p>
    <w:p w14:paraId="04868409" w14:textId="2B9C1E51" w:rsidR="00317EE7" w:rsidRPr="00DF3652" w:rsidRDefault="00317EE7" w:rsidP="007E5335">
      <w:pPr>
        <w:pStyle w:val="Naslov3"/>
        <w:numPr>
          <w:ilvl w:val="2"/>
          <w:numId w:val="9"/>
        </w:numPr>
        <w:spacing w:before="100" w:beforeAutospacing="1" w:after="120"/>
        <w:jc w:val="center"/>
        <w:rPr>
          <w:b w:val="0"/>
          <w:i/>
        </w:rPr>
      </w:pPr>
      <w:bookmarkStart w:id="10" w:name="_Toc8637304"/>
      <w:r w:rsidRPr="00DF3652">
        <w:rPr>
          <w:b w:val="0"/>
          <w:i/>
        </w:rPr>
        <w:t xml:space="preserve">Monitoring POPs-ova u </w:t>
      </w:r>
      <w:r w:rsidR="00280784" w:rsidRPr="00DF3652">
        <w:rPr>
          <w:b w:val="0"/>
          <w:i/>
        </w:rPr>
        <w:t>tlu</w:t>
      </w:r>
      <w:r w:rsidR="0075251A" w:rsidRPr="00DF3652">
        <w:rPr>
          <w:b w:val="0"/>
          <w:i/>
        </w:rPr>
        <w:t xml:space="preserve"> (poljoprivredno zemljište)</w:t>
      </w:r>
      <w:bookmarkEnd w:id="10"/>
    </w:p>
    <w:p w14:paraId="5E4E4EDC" w14:textId="19E813F3" w:rsidR="00317EE7" w:rsidRDefault="00317EE7" w:rsidP="00317EE7">
      <w:pPr>
        <w:spacing w:after="120"/>
        <w:jc w:val="both"/>
        <w:rPr>
          <w:bCs/>
        </w:rPr>
      </w:pPr>
      <w:r w:rsidRPr="00BF7CB8">
        <w:rPr>
          <w:bCs/>
        </w:rPr>
        <w:t>U 2013. godini donesen je novi Zakon o poljoprivrednom</w:t>
      </w:r>
      <w:r w:rsidR="005C534B">
        <w:rPr>
          <w:bCs/>
        </w:rPr>
        <w:t xml:space="preserve"> zemljištu (Narodne novine, br.</w:t>
      </w:r>
      <w:r w:rsidRPr="00BF7CB8">
        <w:rPr>
          <w:bCs/>
        </w:rPr>
        <w:t xml:space="preserve"> 39/13</w:t>
      </w:r>
      <w:r w:rsidR="00696EA5">
        <w:rPr>
          <w:bCs/>
        </w:rPr>
        <w:t xml:space="preserve"> i 48/15</w:t>
      </w:r>
      <w:r w:rsidRPr="00BF7CB8">
        <w:rPr>
          <w:bCs/>
        </w:rPr>
        <w:t>) prema kojem Zavod za tlo</w:t>
      </w:r>
      <w:r w:rsidR="00696EA5" w:rsidRPr="00696EA5">
        <w:rPr>
          <w:bCs/>
        </w:rPr>
        <w:t xml:space="preserve"> i očuvanje zemljišta </w:t>
      </w:r>
      <w:r w:rsidRPr="00BF7CB8">
        <w:rPr>
          <w:bCs/>
        </w:rPr>
        <w:t>Hrvatskog centra za poljoprivredu, hranu i selo prelazi u Agenciju za poljoprivredno zemljište (</w:t>
      </w:r>
      <w:r w:rsidR="00C90C55">
        <w:rPr>
          <w:bCs/>
        </w:rPr>
        <w:t xml:space="preserve">u daljnjem tekstu: </w:t>
      </w:r>
      <w:r w:rsidRPr="00BF7CB8">
        <w:rPr>
          <w:bCs/>
        </w:rPr>
        <w:t xml:space="preserve">APZ) te postaje </w:t>
      </w:r>
      <w:r w:rsidR="006C4DE5">
        <w:rPr>
          <w:bCs/>
        </w:rPr>
        <w:t xml:space="preserve">njezin </w:t>
      </w:r>
      <w:r w:rsidR="00696EA5" w:rsidRPr="00696EA5">
        <w:rPr>
          <w:bCs/>
        </w:rPr>
        <w:t xml:space="preserve">Odjel za </w:t>
      </w:r>
      <w:r w:rsidR="00696EA5" w:rsidRPr="00696EA5">
        <w:rPr>
          <w:bCs/>
        </w:rPr>
        <w:lastRenderedPageBreak/>
        <w:t>praćenje stanja poljoprivrednog zemljišta</w:t>
      </w:r>
      <w:r w:rsidR="006C4DE5">
        <w:rPr>
          <w:bCs/>
        </w:rPr>
        <w:t xml:space="preserve">. </w:t>
      </w:r>
      <w:r w:rsidRPr="00BF7CB8">
        <w:rPr>
          <w:bCs/>
        </w:rPr>
        <w:t>APZ preuzima sve djelatnosti Zavoda. Dolazi i do izmjena pratećih propisa, međutim financijska sredstva za provedbu propisanih djelatnosti trajnog praćenja stanja poljoprivrednog ze</w:t>
      </w:r>
      <w:r w:rsidR="00B4204C">
        <w:rPr>
          <w:bCs/>
        </w:rPr>
        <w:t>mljišta do danas nisu osigurana proračunskim ili drugim izvorima financiranja.</w:t>
      </w:r>
    </w:p>
    <w:p w14:paraId="7D342DFA" w14:textId="3E6F184E" w:rsidR="00317EE7" w:rsidRPr="00CF0D7E" w:rsidRDefault="00317EE7" w:rsidP="00317EE7">
      <w:pPr>
        <w:spacing w:after="120"/>
        <w:jc w:val="both"/>
        <w:rPr>
          <w:bCs/>
        </w:rPr>
      </w:pPr>
      <w:r w:rsidRPr="00CF0D7E">
        <w:rPr>
          <w:bCs/>
        </w:rPr>
        <w:t>Temel</w:t>
      </w:r>
      <w:r w:rsidR="00D24702">
        <w:rPr>
          <w:bCs/>
        </w:rPr>
        <w:t>jem</w:t>
      </w:r>
      <w:r w:rsidRPr="00CF0D7E">
        <w:rPr>
          <w:bCs/>
        </w:rPr>
        <w:t xml:space="preserve"> članka 6. Zakona o poljoprivrednom zemljištu, radi zašt</w:t>
      </w:r>
      <w:r w:rsidR="00F525BB">
        <w:rPr>
          <w:bCs/>
        </w:rPr>
        <w:t xml:space="preserve">ite </w:t>
      </w:r>
      <w:r w:rsidRPr="00CF0D7E">
        <w:rPr>
          <w:bCs/>
        </w:rPr>
        <w:t xml:space="preserve">poljoprivrednog zemljišta od oštećenja </w:t>
      </w:r>
      <w:r w:rsidR="00B4204C" w:rsidRPr="00B4204C">
        <w:rPr>
          <w:bCs/>
        </w:rPr>
        <w:t>normi</w:t>
      </w:r>
      <w:r w:rsidR="00B4204C">
        <w:rPr>
          <w:bCs/>
        </w:rPr>
        <w:t xml:space="preserve">rano je provođenje utvrđivanja </w:t>
      </w:r>
      <w:r w:rsidRPr="00CF0D7E">
        <w:rPr>
          <w:bCs/>
        </w:rPr>
        <w:t>stanja oštećenja  poljoprivrednog zemljišta odnosno praćenja stanja poljoprivrednog zemljišta, kojim se trajno prati stanje svih promjen</w:t>
      </w:r>
      <w:r w:rsidR="008543D9">
        <w:rPr>
          <w:bCs/>
        </w:rPr>
        <w:t>a u poljoprivrednom zemljištu (</w:t>
      </w:r>
      <w:r w:rsidRPr="00CF0D7E">
        <w:rPr>
          <w:bCs/>
        </w:rPr>
        <w:t>fizikalnih, kemijskih i bioloških), za koje poslove je nadležna</w:t>
      </w:r>
      <w:r w:rsidR="006C4DE5">
        <w:rPr>
          <w:bCs/>
        </w:rPr>
        <w:t xml:space="preserve"> APZ</w:t>
      </w:r>
      <w:r w:rsidRPr="00CF0D7E">
        <w:rPr>
          <w:bCs/>
        </w:rPr>
        <w:t>, a analize temeljem članka</w:t>
      </w:r>
      <w:r w:rsidR="009E255B">
        <w:rPr>
          <w:bCs/>
        </w:rPr>
        <w:t xml:space="preserve"> 8. mogu obavljati laboratoriji</w:t>
      </w:r>
      <w:r w:rsidRPr="00CF0D7E">
        <w:rPr>
          <w:bCs/>
        </w:rPr>
        <w:t xml:space="preserve"> koje ovlasti ministarstvo nadležno za poljoprivredu.</w:t>
      </w:r>
      <w:r>
        <w:rPr>
          <w:bCs/>
        </w:rPr>
        <w:t xml:space="preserve"> </w:t>
      </w:r>
      <w:r w:rsidR="008543D9">
        <w:rPr>
          <w:bCs/>
        </w:rPr>
        <w:t xml:space="preserve">Temeljem članka 8. </w:t>
      </w:r>
      <w:r w:rsidRPr="00CF0D7E">
        <w:rPr>
          <w:bCs/>
        </w:rPr>
        <w:t>Zakona donesen je novi Pravilnik o metodologiji za praćenja stanja poljoprivrednog zemljišta (Narodne novine, broj 43/14)</w:t>
      </w:r>
      <w:r w:rsidR="006C4DE5">
        <w:rPr>
          <w:bCs/>
        </w:rPr>
        <w:t>.</w:t>
      </w:r>
      <w:r w:rsidRPr="00CF0D7E">
        <w:rPr>
          <w:bCs/>
        </w:rPr>
        <w:t xml:space="preserve"> </w:t>
      </w:r>
    </w:p>
    <w:p w14:paraId="55D4CAC7" w14:textId="416F5381" w:rsidR="00317EE7" w:rsidRPr="00BF7CB8" w:rsidRDefault="00317EE7" w:rsidP="00317EE7">
      <w:pPr>
        <w:spacing w:after="120"/>
        <w:jc w:val="both"/>
        <w:rPr>
          <w:bCs/>
        </w:rPr>
      </w:pPr>
      <w:r w:rsidRPr="00CF0D7E">
        <w:rPr>
          <w:bCs/>
        </w:rPr>
        <w:t xml:space="preserve">Temeljem članka 57. </w:t>
      </w:r>
      <w:r w:rsidR="006C4DE5">
        <w:rPr>
          <w:bCs/>
        </w:rPr>
        <w:t>APZ</w:t>
      </w:r>
      <w:r w:rsidRPr="00CF0D7E">
        <w:rPr>
          <w:bCs/>
        </w:rPr>
        <w:t xml:space="preserve"> je nadležna za praćenje stanja poljoprivrednog zemljišta, to jest temeljem članka 58. za uspostavljanje, razvijanje, vođenje i održavanje Informacijskog sustava o poljoprivrednom zemljištu u Republici Hrvatskoj, u svrhu učinkovitije zaštite, korištenja i raspolaganja poljoprivrednim zemljištem. Informacijski sustav će sadržavati podatke</w:t>
      </w:r>
      <w:r w:rsidR="00C010FD">
        <w:rPr>
          <w:bCs/>
        </w:rPr>
        <w:t xml:space="preserve"> o</w:t>
      </w:r>
      <w:r w:rsidRPr="00CF0D7E">
        <w:rPr>
          <w:bCs/>
        </w:rPr>
        <w:t xml:space="preserve"> održavanju, zaštiti, promjeni namjene i raspolaganju zemljištem.</w:t>
      </w:r>
    </w:p>
    <w:p w14:paraId="5F7410FA" w14:textId="4478304B" w:rsidR="00317EE7" w:rsidRPr="00BF7CB8" w:rsidRDefault="00317EE7" w:rsidP="00317EE7">
      <w:pPr>
        <w:spacing w:after="120"/>
        <w:jc w:val="both"/>
        <w:rPr>
          <w:bCs/>
        </w:rPr>
      </w:pPr>
      <w:r w:rsidRPr="00BF7CB8">
        <w:rPr>
          <w:bCs/>
        </w:rPr>
        <w:t xml:space="preserve">U sklopu projekta koji je trajao od 2012. do 2013. godine izvršeno je uzorkovanje i analiza tala na području grada Varaždina </w:t>
      </w:r>
      <w:r w:rsidR="0029013E">
        <w:rPr>
          <w:bCs/>
        </w:rPr>
        <w:t xml:space="preserve">i </w:t>
      </w:r>
      <w:r w:rsidRPr="00BF7CB8">
        <w:rPr>
          <w:bCs/>
        </w:rPr>
        <w:t xml:space="preserve">na području Nacionalnog parka Plitvička jezera s obzirom na prisutnost </w:t>
      </w:r>
      <w:proofErr w:type="spellStart"/>
      <w:r w:rsidRPr="00BF7CB8">
        <w:rPr>
          <w:bCs/>
        </w:rPr>
        <w:t>organoklornih</w:t>
      </w:r>
      <w:proofErr w:type="spellEnd"/>
      <w:r w:rsidRPr="00BF7CB8">
        <w:rPr>
          <w:bCs/>
        </w:rPr>
        <w:t xml:space="preserve"> pesticida i PCB-a. Za razliku od Plitvica gdje nije utvrđena znatnija razina PCB-a, u uzorcima tala s područja grada Varaždina pronađena je prisutnost od 1 do 9 PCB </w:t>
      </w:r>
      <w:proofErr w:type="spellStart"/>
      <w:r w:rsidRPr="00BF7CB8">
        <w:rPr>
          <w:bCs/>
        </w:rPr>
        <w:t>kongenera</w:t>
      </w:r>
      <w:proofErr w:type="spellEnd"/>
      <w:r w:rsidRPr="00BF7CB8">
        <w:t>. Najčešće prisutni spojevi pesticida na obje lokacije bili su 4,4’</w:t>
      </w:r>
      <w:r w:rsidR="009E255B">
        <w:t>-</w:t>
      </w:r>
      <w:r w:rsidRPr="00BF7CB8">
        <w:t>DDE, HCB, γ-HCH i 4,4’</w:t>
      </w:r>
      <w:r w:rsidR="009E255B">
        <w:t>-</w:t>
      </w:r>
      <w:r w:rsidRPr="00BF7CB8">
        <w:t>DDT. Znatno veća razina DDT-a utvrđena je u Varaždinu.</w:t>
      </w:r>
    </w:p>
    <w:p w14:paraId="02BC3B1D" w14:textId="75C5C437" w:rsidR="00317EE7" w:rsidRPr="00BF7CB8" w:rsidRDefault="00317EE7" w:rsidP="00317EE7">
      <w:pPr>
        <w:spacing w:after="120"/>
        <w:jc w:val="both"/>
        <w:rPr>
          <w:bCs/>
        </w:rPr>
      </w:pPr>
      <w:r w:rsidRPr="00BF7CB8">
        <w:rPr>
          <w:bCs/>
        </w:rPr>
        <w:t xml:space="preserve">Tijekom 2014. godine, </w:t>
      </w:r>
      <w:r w:rsidR="006C4DE5">
        <w:rPr>
          <w:bCs/>
        </w:rPr>
        <w:t xml:space="preserve">APZ </w:t>
      </w:r>
      <w:r w:rsidR="00C90C55">
        <w:rPr>
          <w:bCs/>
        </w:rPr>
        <w:t xml:space="preserve">je </w:t>
      </w:r>
      <w:r w:rsidRPr="00BF7CB8">
        <w:rPr>
          <w:bCs/>
        </w:rPr>
        <w:t xml:space="preserve">sudjelovala u preliminarnom istraživanju onečišćenja tala na poplavljenom području županjske Posavine te su na šest lokacija (dvije u </w:t>
      </w:r>
      <w:proofErr w:type="spellStart"/>
      <w:r w:rsidRPr="00BF7CB8">
        <w:rPr>
          <w:bCs/>
        </w:rPr>
        <w:t>Gunji</w:t>
      </w:r>
      <w:proofErr w:type="spellEnd"/>
      <w:r w:rsidRPr="00BF7CB8">
        <w:rPr>
          <w:bCs/>
        </w:rPr>
        <w:t xml:space="preserve">, </w:t>
      </w:r>
      <w:r w:rsidR="009E255B">
        <w:rPr>
          <w:bCs/>
        </w:rPr>
        <w:t xml:space="preserve"> te po jedna u </w:t>
      </w:r>
      <w:proofErr w:type="spellStart"/>
      <w:r w:rsidR="009E255B">
        <w:rPr>
          <w:bCs/>
        </w:rPr>
        <w:t>Rajevom</w:t>
      </w:r>
      <w:proofErr w:type="spellEnd"/>
      <w:r w:rsidR="009E255B">
        <w:rPr>
          <w:bCs/>
        </w:rPr>
        <w:t xml:space="preserve"> Selu, </w:t>
      </w:r>
      <w:proofErr w:type="spellStart"/>
      <w:r w:rsidR="009E255B">
        <w:rPr>
          <w:bCs/>
        </w:rPr>
        <w:t>Račinovcima</w:t>
      </w:r>
      <w:proofErr w:type="spellEnd"/>
      <w:r w:rsidR="009E255B">
        <w:rPr>
          <w:bCs/>
        </w:rPr>
        <w:t xml:space="preserve">, </w:t>
      </w:r>
      <w:r w:rsidRPr="00BF7CB8">
        <w:rPr>
          <w:bCs/>
        </w:rPr>
        <w:t xml:space="preserve">Vrbanji i </w:t>
      </w:r>
      <w:proofErr w:type="spellStart"/>
      <w:r w:rsidRPr="00BF7CB8">
        <w:rPr>
          <w:bCs/>
        </w:rPr>
        <w:t>Stošincima</w:t>
      </w:r>
      <w:proofErr w:type="spellEnd"/>
      <w:r w:rsidRPr="00BF7CB8">
        <w:rPr>
          <w:bCs/>
        </w:rPr>
        <w:t xml:space="preserve">) provedene analize organskih onečišćenja tala. Prisutnost organskog onečišćenja nije utvrđena ni u jednom uzorku. </w:t>
      </w:r>
    </w:p>
    <w:p w14:paraId="0A34776B" w14:textId="3440D872" w:rsidR="00317EE7" w:rsidRPr="00BF7CB8" w:rsidRDefault="00AC1675" w:rsidP="00317EE7">
      <w:pPr>
        <w:spacing w:after="120"/>
        <w:jc w:val="both"/>
        <w:rPr>
          <w:bCs/>
        </w:rPr>
      </w:pPr>
      <w:r w:rsidRPr="00AC1675">
        <w:rPr>
          <w:bCs/>
        </w:rPr>
        <w:t>U razdoblju 2014. – 2017. godin</w:t>
      </w:r>
      <w:r>
        <w:rPr>
          <w:bCs/>
        </w:rPr>
        <w:t>e</w:t>
      </w:r>
      <w:r w:rsidRPr="00AC1675">
        <w:rPr>
          <w:bCs/>
        </w:rPr>
        <w:t xml:space="preserve">, </w:t>
      </w:r>
      <w:r w:rsidR="00362FDE">
        <w:rPr>
          <w:bCs/>
        </w:rPr>
        <w:t>HAOP</w:t>
      </w:r>
      <w:r w:rsidRPr="00AC1675">
        <w:rPr>
          <w:bCs/>
        </w:rPr>
        <w:t xml:space="preserve"> </w:t>
      </w:r>
      <w:r>
        <w:rPr>
          <w:bCs/>
        </w:rPr>
        <w:t>je</w:t>
      </w:r>
      <w:r w:rsidR="00362FDE">
        <w:rPr>
          <w:bCs/>
        </w:rPr>
        <w:t xml:space="preserve"> proveo</w:t>
      </w:r>
      <w:r w:rsidRPr="00AC1675">
        <w:rPr>
          <w:bCs/>
        </w:rPr>
        <w:t xml:space="preserve"> projekt „Promjena zaliha ugljika u tlu i izračun trendova ukupnog dušika i organskog ugljika u tlu te odnosa ugljika: dušika.</w:t>
      </w:r>
      <w:r w:rsidRPr="00AC1675">
        <w:t xml:space="preserve"> </w:t>
      </w:r>
      <w:r>
        <w:rPr>
          <w:bCs/>
        </w:rPr>
        <w:t>I</w:t>
      </w:r>
      <w:r w:rsidRPr="00AC1675">
        <w:rPr>
          <w:bCs/>
        </w:rPr>
        <w:t>zv</w:t>
      </w:r>
      <w:r>
        <w:rPr>
          <w:bCs/>
        </w:rPr>
        <w:t>o</w:t>
      </w:r>
      <w:r w:rsidR="00FC0973">
        <w:rPr>
          <w:bCs/>
        </w:rPr>
        <w:t>r</w:t>
      </w:r>
      <w:r w:rsidRPr="00AC1675">
        <w:rPr>
          <w:bCs/>
        </w:rPr>
        <w:t xml:space="preserve"> </w:t>
      </w:r>
      <w:r>
        <w:rPr>
          <w:bCs/>
        </w:rPr>
        <w:t xml:space="preserve">su bili </w:t>
      </w:r>
      <w:r w:rsidRPr="00AC1675">
        <w:rPr>
          <w:bCs/>
        </w:rPr>
        <w:t>Hrvatski geološki institut, Hrvatski šumarski institut i Agencija za poljoprivredno zemljište.</w:t>
      </w:r>
      <w:r>
        <w:rPr>
          <w:bCs/>
        </w:rPr>
        <w:t xml:space="preserve"> N</w:t>
      </w:r>
      <w:r w:rsidRPr="00AC1675">
        <w:rPr>
          <w:bCs/>
        </w:rPr>
        <w:t>a 725 reprezentativnih lokacija provedeno je terensko i laboratorijsko istraživanje stanja tla. Prikupljeni su opći podaci o lokaciji uzorkovanja koji sadrže administrativne, lokacijske, geografske i ostale podatke (reljef, klimatske i meteorološke podatke, detaljne podatke o korištenju zemljišta i biljnom pokrovu, opis površinskih svojstava tla).</w:t>
      </w:r>
      <w:r w:rsidR="00317EE7" w:rsidRPr="00BF7CB8">
        <w:rPr>
          <w:bCs/>
        </w:rPr>
        <w:t xml:space="preserve"> Uzorci </w:t>
      </w:r>
      <w:r>
        <w:rPr>
          <w:bCs/>
        </w:rPr>
        <w:t>tla su</w:t>
      </w:r>
      <w:r w:rsidR="00317EE7" w:rsidRPr="00BF7CB8">
        <w:rPr>
          <w:bCs/>
        </w:rPr>
        <w:t xml:space="preserve"> arhivirani </w:t>
      </w:r>
      <w:r>
        <w:rPr>
          <w:bCs/>
        </w:rPr>
        <w:t>kod izvođača</w:t>
      </w:r>
      <w:r w:rsidR="006C4DE5">
        <w:rPr>
          <w:bCs/>
        </w:rPr>
        <w:t xml:space="preserve"> </w:t>
      </w:r>
      <w:r w:rsidR="00317EE7" w:rsidRPr="00BF7CB8">
        <w:rPr>
          <w:bCs/>
        </w:rPr>
        <w:t>te će do uspostave nacionalnog monitoringa poljoprivrednog zemljišta biti moguće naknadno analizirati i neke od organskih onečišćenja za potrebe provedbe Konvencije.</w:t>
      </w:r>
    </w:p>
    <w:p w14:paraId="75EA0D3F" w14:textId="77777777" w:rsidR="00317EE7" w:rsidRPr="0045315A" w:rsidRDefault="00317EE7" w:rsidP="007E5335">
      <w:pPr>
        <w:pStyle w:val="Naslov3"/>
        <w:numPr>
          <w:ilvl w:val="2"/>
          <w:numId w:val="9"/>
        </w:numPr>
        <w:spacing w:before="100" w:beforeAutospacing="1" w:after="120"/>
        <w:jc w:val="center"/>
        <w:rPr>
          <w:b w:val="0"/>
          <w:i/>
        </w:rPr>
      </w:pPr>
      <w:bookmarkStart w:id="11" w:name="_Toc8637305"/>
      <w:r w:rsidRPr="0045315A">
        <w:rPr>
          <w:b w:val="0"/>
          <w:i/>
        </w:rPr>
        <w:t>Monitoring POPs-ova u hrani za životinje</w:t>
      </w:r>
      <w:bookmarkEnd w:id="11"/>
    </w:p>
    <w:p w14:paraId="5F573642" w14:textId="77777777" w:rsidR="0045315A" w:rsidRDefault="0045315A" w:rsidP="0045315A">
      <w:pPr>
        <w:spacing w:after="120"/>
        <w:jc w:val="both"/>
      </w:pPr>
      <w:r w:rsidRPr="0045315A">
        <w:t xml:space="preserve">Ministarstvo poljoprivrede u sklopu službenih kontrola provodi Plan monitoringa hrane za životinje u sklopu kojega se analiziraju uzorci hrane za životinje na </w:t>
      </w:r>
      <w:proofErr w:type="spellStart"/>
      <w:r w:rsidRPr="0045315A">
        <w:t>organoklorne</w:t>
      </w:r>
      <w:proofErr w:type="spellEnd"/>
      <w:r w:rsidRPr="0045315A">
        <w:t xml:space="preserve"> pesticide (DDT, HCH, HCB i </w:t>
      </w:r>
      <w:proofErr w:type="spellStart"/>
      <w:r w:rsidRPr="0045315A">
        <w:t>klordan</w:t>
      </w:r>
      <w:proofErr w:type="spellEnd"/>
      <w:r w:rsidRPr="0045315A">
        <w:t xml:space="preserve">), te na </w:t>
      </w:r>
      <w:proofErr w:type="spellStart"/>
      <w:r w:rsidRPr="0045315A">
        <w:t>dioksine</w:t>
      </w:r>
      <w:proofErr w:type="spellEnd"/>
      <w:r w:rsidRPr="0045315A">
        <w:t xml:space="preserve"> i </w:t>
      </w:r>
      <w:proofErr w:type="spellStart"/>
      <w:r w:rsidRPr="0045315A">
        <w:t>dioksinima</w:t>
      </w:r>
      <w:proofErr w:type="spellEnd"/>
      <w:r w:rsidRPr="0045315A">
        <w:t xml:space="preserve"> slične PCB-e.</w:t>
      </w:r>
    </w:p>
    <w:p w14:paraId="14872C14" w14:textId="57557BCD" w:rsidR="00317EE7" w:rsidRPr="007E5335" w:rsidRDefault="00317EE7" w:rsidP="007E5335">
      <w:pPr>
        <w:pStyle w:val="Naslov3"/>
        <w:numPr>
          <w:ilvl w:val="2"/>
          <w:numId w:val="9"/>
        </w:numPr>
        <w:spacing w:before="100" w:beforeAutospacing="1" w:after="120"/>
        <w:jc w:val="center"/>
        <w:rPr>
          <w:b w:val="0"/>
          <w:i/>
        </w:rPr>
      </w:pPr>
      <w:bookmarkStart w:id="12" w:name="_Toc8637306"/>
      <w:r w:rsidRPr="007E5335">
        <w:rPr>
          <w:b w:val="0"/>
          <w:i/>
        </w:rPr>
        <w:t>Mo</w:t>
      </w:r>
      <w:r w:rsidR="0075251A" w:rsidRPr="007E5335">
        <w:rPr>
          <w:b w:val="0"/>
          <w:i/>
        </w:rPr>
        <w:t>trenje šumsk</w:t>
      </w:r>
      <w:r w:rsidR="000E3035" w:rsidRPr="007E5335">
        <w:rPr>
          <w:b w:val="0"/>
          <w:i/>
        </w:rPr>
        <w:t>ih</w:t>
      </w:r>
      <w:r w:rsidR="0075251A" w:rsidRPr="007E5335">
        <w:rPr>
          <w:b w:val="0"/>
          <w:i/>
        </w:rPr>
        <w:t xml:space="preserve"> ekosustava</w:t>
      </w:r>
      <w:bookmarkEnd w:id="12"/>
    </w:p>
    <w:p w14:paraId="058CB6AB" w14:textId="6D424C7E" w:rsidR="00317EE7" w:rsidRPr="00CB4024" w:rsidRDefault="00317EE7" w:rsidP="00317EE7">
      <w:pPr>
        <w:spacing w:after="120"/>
        <w:jc w:val="both"/>
      </w:pPr>
      <w:r w:rsidRPr="00CB4024">
        <w:t>Zakon o šumama (Narodne novine, br. 140/05, 82/06, 129/</w:t>
      </w:r>
      <w:r>
        <w:t>08, 80/</w:t>
      </w:r>
      <w:r w:rsidRPr="00CB4024">
        <w:t>10, 124/10, 25/</w:t>
      </w:r>
      <w:r>
        <w:t>1</w:t>
      </w:r>
      <w:r w:rsidRPr="00CB4024">
        <w:t xml:space="preserve">2, 68/12, 148/13 i 94/14) osobito u Poglavlju VII. – Zaštita šuma, regulira obveze koje posljedično imaju stvoriti preduvjete za učinkovito poduzimanje mjera koje proizlaze iz zahtjeva </w:t>
      </w:r>
      <w:r w:rsidR="006C4DE5">
        <w:t>K</w:t>
      </w:r>
      <w:r w:rsidRPr="00CB4024">
        <w:t>onvencije.</w:t>
      </w:r>
    </w:p>
    <w:p w14:paraId="02487486" w14:textId="541BD508" w:rsidR="00317EE7" w:rsidRPr="00CB4024" w:rsidRDefault="00317EE7" w:rsidP="00317EE7">
      <w:pPr>
        <w:spacing w:after="120"/>
        <w:jc w:val="both"/>
      </w:pPr>
      <w:r w:rsidRPr="00CB4024">
        <w:t>Shodno tim zakonskim obvezama te usklađujući iste s pravnom stečevinom Europske unije, Pravilnikom o načinu motrenja oštećenosti šumskih ek</w:t>
      </w:r>
      <w:r w:rsidR="00667FB6">
        <w:t>osustava (Narodne novine, br.</w:t>
      </w:r>
      <w:r w:rsidRPr="00CB4024">
        <w:t xml:space="preserve"> 76/</w:t>
      </w:r>
      <w:r>
        <w:t>13 i 122/</w:t>
      </w:r>
      <w:r w:rsidRPr="00CB4024">
        <w:t xml:space="preserve">14) se propisuju načini za sustavno i dugoročno motrenje oštećenosti šumskih ekosustava, mreža točaka, </w:t>
      </w:r>
      <w:r w:rsidRPr="00CB4024">
        <w:lastRenderedPageBreak/>
        <w:t xml:space="preserve">načini prikupljanja podataka, vođenje registra te uvjeti korištenja i dostave prikupljenih podataka o oštećenosti šumskih ekosustava domaćim i međunarodnim tijelima i institucijama. </w:t>
      </w:r>
    </w:p>
    <w:p w14:paraId="30AAE736" w14:textId="1B1C1907" w:rsidR="00317EE7" w:rsidRPr="00CB4024" w:rsidRDefault="00317EE7" w:rsidP="00317EE7">
      <w:pPr>
        <w:spacing w:after="120"/>
        <w:jc w:val="both"/>
      </w:pPr>
      <w:r w:rsidRPr="00CB4024">
        <w:t>Motrenje oštećenosti šumskih ekosustava u Republici Hrvatskoj provodi se u okviru Međunarodnog programa za procjenu i motrenje utjecaja onečišćenja</w:t>
      </w:r>
      <w:r w:rsidR="006C4DE5">
        <w:t xml:space="preserve"> zraka</w:t>
      </w:r>
      <w:r w:rsidRPr="00CB4024">
        <w:t xml:space="preserve"> na šume na mreži točaka Razine 1 i plohama Razine 2, sukladno LRTAP Konvenciji. </w:t>
      </w:r>
    </w:p>
    <w:p w14:paraId="2774D4BE" w14:textId="77777777" w:rsidR="00317EE7" w:rsidRPr="007E5335" w:rsidRDefault="00317EE7" w:rsidP="00317EE7">
      <w:pPr>
        <w:spacing w:after="120"/>
        <w:jc w:val="both"/>
      </w:pPr>
      <w:r w:rsidRPr="007E5335">
        <w:t>Ciljevi programa su:</w:t>
      </w:r>
    </w:p>
    <w:p w14:paraId="48124A80" w14:textId="4E66D94A" w:rsidR="00317EE7" w:rsidRPr="00CB4024" w:rsidRDefault="00317EE7" w:rsidP="00F525BB">
      <w:pPr>
        <w:pStyle w:val="Odlomakpopisa"/>
        <w:numPr>
          <w:ilvl w:val="0"/>
          <w:numId w:val="14"/>
        </w:numPr>
        <w:spacing w:after="120"/>
        <w:jc w:val="both"/>
      </w:pPr>
      <w:r w:rsidRPr="00CB4024">
        <w:t>razvijati praćenje onečišćenja zraka i njegove učinke te motrenje drugih uzročnika i čimbenika koji imaju utjecaja na šume (biotički, abi</w:t>
      </w:r>
      <w:r w:rsidR="00256AF6">
        <w:t>otički i antropogeni čimbenici)</w:t>
      </w:r>
    </w:p>
    <w:p w14:paraId="00C0E34D" w14:textId="57503110" w:rsidR="00317EE7" w:rsidRPr="00CB4024" w:rsidRDefault="00317EE7" w:rsidP="00F525BB">
      <w:pPr>
        <w:pStyle w:val="Odlomakpopisa"/>
        <w:numPr>
          <w:ilvl w:val="0"/>
          <w:numId w:val="14"/>
        </w:numPr>
        <w:spacing w:after="120"/>
        <w:jc w:val="both"/>
      </w:pPr>
      <w:r w:rsidRPr="00CB4024">
        <w:t>ocijeniti zahtjeve za motrenjem šumskih ekosustava i razvijati motrenje tala, ponora ugljika, učinaka klimatskih promjena i biološke raznoli</w:t>
      </w:r>
      <w:r w:rsidR="00256AF6">
        <w:t>kosti te zaštitne funkcije šuma</w:t>
      </w:r>
    </w:p>
    <w:p w14:paraId="02DCA970" w14:textId="77777777" w:rsidR="00317EE7" w:rsidRPr="00CB4024" w:rsidRDefault="00317EE7" w:rsidP="00F525BB">
      <w:pPr>
        <w:pStyle w:val="Odlomakpopisa"/>
        <w:numPr>
          <w:ilvl w:val="0"/>
          <w:numId w:val="14"/>
        </w:numPr>
        <w:spacing w:after="120"/>
        <w:jc w:val="both"/>
      </w:pPr>
      <w:r w:rsidRPr="00CB4024">
        <w:t>trajno vrednovati učinkovitost aktivnosti motrenja u procjeni stanja oštećenosti šumskih ekosustava i daljnji razvoj aktivnosti motrenja.</w:t>
      </w:r>
    </w:p>
    <w:p w14:paraId="665CE476" w14:textId="7E8B650C" w:rsidR="00317EE7" w:rsidRPr="00CB4024" w:rsidRDefault="009F577B" w:rsidP="00317EE7">
      <w:pPr>
        <w:spacing w:after="120"/>
        <w:jc w:val="both"/>
      </w:pPr>
      <w:r>
        <w:t>M</w:t>
      </w:r>
      <w:r w:rsidR="00317EE7" w:rsidRPr="00CB4024">
        <w:t>otrenja koje se provode pri Hrvatskom šumarskom institutu u Jastrebarskom (nacionalni koordinacijski centar za procjenu i motrenje utjecaja atmosferskog onečišćenja i drugih čimbenika na šumske ekosustave) primarno</w:t>
      </w:r>
      <w:r>
        <w:t xml:space="preserve"> su</w:t>
      </w:r>
      <w:r w:rsidR="00317EE7" w:rsidRPr="00CB4024">
        <w:t xml:space="preserve"> usmjeren</w:t>
      </w:r>
      <w:r>
        <w:t>a na analizu biogenih elemenata, a</w:t>
      </w:r>
      <w:r w:rsidR="00317EE7" w:rsidRPr="00CB4024">
        <w:t xml:space="preserve"> Pravilnik o načinu motrenja oštećenosti šumskih ekosustava svojim programom propisuje povezivanje i usklađivanje s odgovarajućim međunarodnim sporazumima. </w:t>
      </w:r>
    </w:p>
    <w:p w14:paraId="14B55FBE" w14:textId="726F24C4" w:rsidR="00317EE7" w:rsidRPr="00CB4024" w:rsidRDefault="00317EE7" w:rsidP="00317EE7">
      <w:pPr>
        <w:spacing w:after="120"/>
        <w:jc w:val="both"/>
      </w:pPr>
      <w:r w:rsidRPr="00CB4024">
        <w:t xml:space="preserve">Obzirom </w:t>
      </w:r>
      <w:r>
        <w:t xml:space="preserve">da su Konvencijom izdvojeni </w:t>
      </w:r>
      <w:proofErr w:type="spellStart"/>
      <w:r>
        <w:t>POP</w:t>
      </w:r>
      <w:r w:rsidRPr="00CB4024">
        <w:t>s</w:t>
      </w:r>
      <w:proofErr w:type="spellEnd"/>
      <w:r>
        <w:t>-</w:t>
      </w:r>
      <w:r w:rsidRPr="00CB4024">
        <w:t>ovi koji oštećuju šume ponajviše putem atmosferskog onečišćenja (PCDD i PCDF, kao uzgredni proizvodi nastali izgaranjem drvne tvari) prevencija i suzbijanje šumskih požara</w:t>
      </w:r>
      <w:r w:rsidR="009F577B">
        <w:t xml:space="preserve"> je</w:t>
      </w:r>
      <w:r w:rsidRPr="00CB4024">
        <w:t xml:space="preserve"> izravan prilog šumarskog sektora smanjivanju štetnih emisija PCDD i PCDF u zrak. </w:t>
      </w:r>
    </w:p>
    <w:p w14:paraId="6FFF9555" w14:textId="77777777" w:rsidR="00CA4423" w:rsidRDefault="00317EE7" w:rsidP="00317EE7">
      <w:pPr>
        <w:spacing w:after="120"/>
        <w:jc w:val="both"/>
      </w:pPr>
      <w:r w:rsidRPr="00CB4024">
        <w:t xml:space="preserve">Republika Hrvatska kontinuirano ulaže znatna financijska sredstva kako bi se štete od požara izazvane prirodnim i antropogenim utjecajem svele na najmanju moguću mjeru. </w:t>
      </w:r>
    </w:p>
    <w:p w14:paraId="756C23A9" w14:textId="204E9A3A" w:rsidR="00CA4423" w:rsidRDefault="00CA4423" w:rsidP="00317EE7">
      <w:pPr>
        <w:spacing w:after="120"/>
        <w:jc w:val="both"/>
      </w:pPr>
      <w:r w:rsidRPr="00CA4423">
        <w:t>Sukladno Pravilniku o postupku za ostvarivanje prava na sredstva iz naknade za korištenje općekorisnih funkcija šuma za izvršene radove u šumama (Narodne novine, br. 22/15</w:t>
      </w:r>
      <w:r w:rsidR="00894577">
        <w:t xml:space="preserve"> i</w:t>
      </w:r>
      <w:r w:rsidRPr="00CA4423">
        <w:t xml:space="preserve"> 93/15) za opremanje i osposobljavanje vatrogasnih zajednica osigurava se 20% sredstava naknade za općekorisne funkcije šuma, od čega je 5% za vatrogasne zajednice sukladno posebnom propisu iz područja vatrogastva, a preostalih 15% za vatrogasne zajednice s područja Republike Hrvatske što predstavlja značajno povećanje sredstava koja se izdvajaju za tu namjenu (s 5% na 20%).</w:t>
      </w:r>
    </w:p>
    <w:p w14:paraId="0D26B13A" w14:textId="7C5090F9" w:rsidR="00317EE7" w:rsidRPr="00CB4024" w:rsidRDefault="00317EE7" w:rsidP="00317EE7">
      <w:pPr>
        <w:spacing w:after="120"/>
        <w:jc w:val="both"/>
      </w:pPr>
      <w:r w:rsidRPr="00CB4024">
        <w:t>Saniranje i pošumljavanje opožarenih površina uz učinkovitu protupožarnu zaštitu i operativu provode se uz koordinirane kampanje podizanja svijesti ljudi o značenju i važnosti šuma s posebnim naglaskom na prevenciju šumskih požara. Program ruralnog razvoja Republike Hrvatske za razdoblje 2014.-2020. godine</w:t>
      </w:r>
      <w:r w:rsidR="00B73AF2">
        <w:t xml:space="preserve"> će</w:t>
      </w:r>
      <w:r w:rsidRPr="00CB4024">
        <w:t xml:space="preserve"> kroz operacije 4.3.3. „Izgradnja šumske infrastrukture“ i 8.5.1. „Konverzija degradiranih šumskih sastojina i šumskih kultura“ omogućit</w:t>
      </w:r>
      <w:r w:rsidR="00B73AF2">
        <w:t>i</w:t>
      </w:r>
      <w:r w:rsidRPr="00CB4024">
        <w:t xml:space="preserve"> veća ulaganja u protupožarnu preventivu i zaštitu šuma povećanjem otvorenosti šumskih područja šumskim prometnicama te šumskim radovima koji održivim i stručnim gospodarenjem u degradiranim šumama i šumskim monokulturama smanjuju stupanj opasnosti od šumskih požara.</w:t>
      </w:r>
    </w:p>
    <w:p w14:paraId="0EA7C347" w14:textId="4F0EAFB8" w:rsidR="00894577" w:rsidRDefault="00317EE7" w:rsidP="00317EE7">
      <w:pPr>
        <w:spacing w:after="120"/>
        <w:jc w:val="both"/>
      </w:pPr>
      <w:r w:rsidRPr="00CB4024">
        <w:t>Protupožarna zaštita i preventiva u šumarstvu uređena je legislativno Pravilnikom o zaštiti šuma od požara (Narodne novine, br</w:t>
      </w:r>
      <w:r w:rsidR="00BF1EC8">
        <w:t xml:space="preserve">. </w:t>
      </w:r>
      <w:r w:rsidRPr="00CB4024">
        <w:t xml:space="preserve">26/03 i 33/14) koji propisuje tehničke, preventivno-uzgojne i druge mjere zaštite šuma od požara koje su dužni provoditi vlasnici, odnosno korisnici šuma i šumskog zemljišta. </w:t>
      </w:r>
    </w:p>
    <w:p w14:paraId="221923AC" w14:textId="6EA65086" w:rsidR="00894577" w:rsidRDefault="00894577" w:rsidP="00894577">
      <w:pPr>
        <w:spacing w:after="120"/>
        <w:jc w:val="both"/>
      </w:pPr>
      <w:r w:rsidRPr="00CB4024">
        <w:t xml:space="preserve">U skladu sa Zakonom o šumama od 1. siječnja 2009. godine, započeo je s radom Registar požara (sustav dokumentacije, podataka i informacija o šumskim požarima) usklađen s bazom podataka </w:t>
      </w:r>
      <w:r w:rsidR="00BF1EC8" w:rsidRPr="00BF1EC8">
        <w:t xml:space="preserve">Europskog informacijskog sustava za šumske požare (EFFIS, </w:t>
      </w:r>
      <w:proofErr w:type="spellStart"/>
      <w:r w:rsidR="00BF1EC8" w:rsidRPr="00BF1EC8">
        <w:t>eng</w:t>
      </w:r>
      <w:proofErr w:type="spellEnd"/>
      <w:r w:rsidR="00BF1EC8" w:rsidRPr="00BF1EC8">
        <w:t xml:space="preserve">. </w:t>
      </w:r>
      <w:proofErr w:type="spellStart"/>
      <w:r w:rsidR="00BF1EC8" w:rsidRPr="00BF1EC8">
        <w:rPr>
          <w:i/>
        </w:rPr>
        <w:t>The</w:t>
      </w:r>
      <w:proofErr w:type="spellEnd"/>
      <w:r w:rsidR="00BF1EC8" w:rsidRPr="00BF1EC8">
        <w:rPr>
          <w:i/>
        </w:rPr>
        <w:t xml:space="preserve"> European </w:t>
      </w:r>
      <w:proofErr w:type="spellStart"/>
      <w:r w:rsidR="00BF1EC8" w:rsidRPr="00BF1EC8">
        <w:rPr>
          <w:i/>
        </w:rPr>
        <w:t>Forest</w:t>
      </w:r>
      <w:proofErr w:type="spellEnd"/>
      <w:r w:rsidR="00BF1EC8" w:rsidRPr="00BF1EC8">
        <w:rPr>
          <w:i/>
        </w:rPr>
        <w:t xml:space="preserve"> </w:t>
      </w:r>
      <w:proofErr w:type="spellStart"/>
      <w:r w:rsidR="00BF1EC8" w:rsidRPr="00BF1EC8">
        <w:rPr>
          <w:i/>
        </w:rPr>
        <w:t>Fire</w:t>
      </w:r>
      <w:proofErr w:type="spellEnd"/>
      <w:r w:rsidR="00BF1EC8" w:rsidRPr="00BF1EC8">
        <w:rPr>
          <w:i/>
        </w:rPr>
        <w:t xml:space="preserve"> </w:t>
      </w:r>
      <w:proofErr w:type="spellStart"/>
      <w:r w:rsidR="00BF1EC8" w:rsidRPr="00BF1EC8">
        <w:rPr>
          <w:i/>
        </w:rPr>
        <w:t>Information</w:t>
      </w:r>
      <w:proofErr w:type="spellEnd"/>
      <w:r w:rsidR="00BF1EC8" w:rsidRPr="00BF1EC8">
        <w:rPr>
          <w:i/>
        </w:rPr>
        <w:t xml:space="preserve"> System</w:t>
      </w:r>
      <w:r w:rsidR="00BF1EC8" w:rsidRPr="00BF1EC8">
        <w:t>)</w:t>
      </w:r>
      <w:r w:rsidRPr="00CB4024">
        <w:t>. Rad Registra propisan je Pravilnikom o načinu prikupljanja podataka, vođenju registra te uvjetima korištenja podataka o šumskim požarima (Narodne novine, br. 75/13</w:t>
      </w:r>
      <w:r>
        <w:t>,</w:t>
      </w:r>
      <w:r w:rsidRPr="00CB4024">
        <w:t xml:space="preserve"> 150/14</w:t>
      </w:r>
      <w:r>
        <w:t xml:space="preserve"> i 21/17</w:t>
      </w:r>
      <w:r w:rsidRPr="00CB4024">
        <w:t xml:space="preserve">). </w:t>
      </w:r>
      <w:r>
        <w:t>Isti Pravilnik</w:t>
      </w:r>
      <w:r w:rsidRPr="00894577">
        <w:t xml:space="preserve"> propisuje i obvezu Republike Hrvatske da do 1. srpnja svake godine za potrebe </w:t>
      </w:r>
      <w:r w:rsidR="00BF1EC8" w:rsidRPr="00BF1EC8">
        <w:t>EFFIS</w:t>
      </w:r>
      <w:r w:rsidR="00BF1EC8">
        <w:t>-a</w:t>
      </w:r>
      <w:r w:rsidR="00BF1EC8" w:rsidRPr="00BF1EC8">
        <w:t xml:space="preserve"> </w:t>
      </w:r>
      <w:r w:rsidRPr="00894577">
        <w:t xml:space="preserve">dostavi Zajedničkom istraživačkom centru Europske komisije sedam tipova podataka o svakom šumskom požaru koji se dogodio na području Republike Hrvatske tijekom prethodne godine. </w:t>
      </w:r>
      <w:r w:rsidRPr="00894577">
        <w:lastRenderedPageBreak/>
        <w:t>Cilj opisanih mjera je rano otkrivanje i dojava o nastanku i širenju šumskog požara te osiguravanje pravovremenog djelovanja u njegovu gašenju.</w:t>
      </w:r>
      <w:r w:rsidR="00C06757">
        <w:t xml:space="preserve"> </w:t>
      </w:r>
      <w:r w:rsidRPr="00CB4024">
        <w:t xml:space="preserve">“Hrvatske šume” d.o.o., trgovačko društvo koje gospodari državnim šumama, posjeduje međunarodni FSC certifikat koji obvezuje da se šumom gospodari prema strogim ekološkim, socijalnim i ekonomskim standardima. Upravo strogi ekološki standardi FSC certifikata jamče da se hrvatske šume ne tretiraju ili na bilo koji drugi način kontaminiraju nekim od </w:t>
      </w:r>
      <w:proofErr w:type="spellStart"/>
      <w:r>
        <w:t>POPs</w:t>
      </w:r>
      <w:proofErr w:type="spellEnd"/>
      <w:r>
        <w:t>-ova koji su uključeni u dodacima K</w:t>
      </w:r>
      <w:r w:rsidRPr="00CB4024">
        <w:t>onvencije.</w:t>
      </w:r>
    </w:p>
    <w:p w14:paraId="7D6C0F00" w14:textId="77777777" w:rsidR="004614A7" w:rsidRDefault="004614A7" w:rsidP="00894577">
      <w:pPr>
        <w:spacing w:after="120"/>
        <w:jc w:val="both"/>
      </w:pPr>
    </w:p>
    <w:p w14:paraId="6DAC2847" w14:textId="77777777" w:rsidR="004614A7" w:rsidRDefault="004614A7" w:rsidP="004614A7">
      <w:pPr>
        <w:pStyle w:val="Naslov3"/>
        <w:numPr>
          <w:ilvl w:val="2"/>
          <w:numId w:val="9"/>
        </w:numPr>
        <w:spacing w:before="100" w:beforeAutospacing="1" w:after="120"/>
        <w:jc w:val="center"/>
        <w:rPr>
          <w:b w:val="0"/>
          <w:i/>
        </w:rPr>
      </w:pPr>
      <w:bookmarkStart w:id="13" w:name="_Toc8637307"/>
      <w:r w:rsidRPr="007E5335">
        <w:rPr>
          <w:b w:val="0"/>
          <w:i/>
        </w:rPr>
        <w:t>Praćenje emisija i imisija POPs-ova u zraku</w:t>
      </w:r>
    </w:p>
    <w:p w14:paraId="09BBEB1A" w14:textId="77777777" w:rsidR="004614A7" w:rsidRPr="008E7DF5" w:rsidRDefault="004614A7" w:rsidP="008E7DF5">
      <w:pPr>
        <w:pStyle w:val="Odlomakpopisa"/>
        <w:numPr>
          <w:ilvl w:val="3"/>
          <w:numId w:val="9"/>
        </w:numPr>
        <w:spacing w:before="100" w:beforeAutospacing="1" w:after="120" w:afterAutospacing="1"/>
        <w:jc w:val="center"/>
        <w:outlineLvl w:val="3"/>
        <w:rPr>
          <w:rFonts w:eastAsia="Calibri"/>
          <w:bCs/>
        </w:rPr>
      </w:pPr>
      <w:bookmarkStart w:id="14" w:name="_Toc8637308"/>
      <w:r w:rsidRPr="008E7DF5">
        <w:rPr>
          <w:rFonts w:eastAsia="Calibri"/>
          <w:bCs/>
        </w:rPr>
        <w:t>Praćenje imisija POPs-ova u zraku</w:t>
      </w:r>
      <w:bookmarkEnd w:id="14"/>
    </w:p>
    <w:bookmarkEnd w:id="13"/>
    <w:p w14:paraId="5CAD9C23" w14:textId="7004520B" w:rsidR="00317EE7" w:rsidRPr="007E5335" w:rsidRDefault="00317EE7" w:rsidP="007E5335">
      <w:pPr>
        <w:pStyle w:val="Odlomakpopisa"/>
        <w:spacing w:after="120"/>
        <w:ind w:left="0"/>
        <w:contextualSpacing w:val="0"/>
        <w:rPr>
          <w:i/>
          <w:color w:val="000000" w:themeColor="text1"/>
        </w:rPr>
      </w:pPr>
      <w:r w:rsidRPr="007E5335">
        <w:rPr>
          <w:i/>
          <w:color w:val="000000" w:themeColor="text1"/>
        </w:rPr>
        <w:t>Rezultati određivanja benzo(a)pirena (BaP) u česticama PM</w:t>
      </w:r>
      <w:r w:rsidRPr="007E5335">
        <w:rPr>
          <w:i/>
          <w:color w:val="000000" w:themeColor="text1"/>
          <w:vertAlign w:val="subscript"/>
        </w:rPr>
        <w:t>10</w:t>
      </w:r>
      <w:r w:rsidRPr="007E5335">
        <w:rPr>
          <w:i/>
          <w:color w:val="000000" w:themeColor="text1"/>
        </w:rPr>
        <w:t xml:space="preserve"> – 201</w:t>
      </w:r>
      <w:r w:rsidR="00091E4F" w:rsidRPr="007E5335">
        <w:rPr>
          <w:i/>
          <w:color w:val="000000" w:themeColor="text1"/>
        </w:rPr>
        <w:t>5</w:t>
      </w:r>
      <w:r w:rsidRPr="007E5335">
        <w:rPr>
          <w:i/>
          <w:color w:val="000000" w:themeColor="text1"/>
        </w:rPr>
        <w:t>. godina</w:t>
      </w:r>
    </w:p>
    <w:p w14:paraId="0B4BC947" w14:textId="7EA7E227" w:rsidR="00317EE7" w:rsidRDefault="00AD1FC5" w:rsidP="007E5335">
      <w:pPr>
        <w:pStyle w:val="Odlomakpopisa"/>
        <w:spacing w:after="120"/>
        <w:ind w:left="0"/>
        <w:contextualSpacing w:val="0"/>
        <w:jc w:val="both"/>
      </w:pPr>
      <w:r w:rsidRPr="00E16E60">
        <w:t>Jedna od obve</w:t>
      </w:r>
      <w:r w:rsidR="00232310">
        <w:t>za HAOP-a je i izrada redovnih g</w:t>
      </w:r>
      <w:r w:rsidRPr="00E16E60">
        <w:t>odišnj</w:t>
      </w:r>
      <w:r>
        <w:t>ih</w:t>
      </w:r>
      <w:r w:rsidRPr="00E16E60">
        <w:t xml:space="preserve"> izvješća o praćenju kvalitete zraka na području Republike Hrvatske. Izvješća se izrađuju u tekućoj godini za proteklu kalendarsku godinu te obuhvaćaju podatke o koncentracijama onečišćujućih tvari s državne mreže i lokalnih mreža za praćenje kvalitete zraka koja su </w:t>
      </w:r>
      <w:r w:rsidR="00D77279">
        <w:t xml:space="preserve">ujedno </w:t>
      </w:r>
      <w:r w:rsidR="00091E4F">
        <w:t xml:space="preserve">javno </w:t>
      </w:r>
      <w:r w:rsidRPr="00E16E60">
        <w:t xml:space="preserve">objavljena na </w:t>
      </w:r>
      <w:r>
        <w:t>mrežnim</w:t>
      </w:r>
      <w:r w:rsidR="007E5335">
        <w:t xml:space="preserve"> stranicama </w:t>
      </w:r>
      <w:r w:rsidR="007C16B9" w:rsidRPr="005C534B">
        <w:t>http://www.azo.hr/GodisnjiIzvjestajOPracenju</w:t>
      </w:r>
      <w:r>
        <w:t>.</w:t>
      </w:r>
    </w:p>
    <w:p w14:paraId="7575651B" w14:textId="2D0027FE" w:rsidR="00317EE7" w:rsidRDefault="00317EE7" w:rsidP="007E5335">
      <w:pPr>
        <w:spacing w:after="120"/>
        <w:jc w:val="both"/>
      </w:pPr>
      <w:r w:rsidRPr="00CB4024">
        <w:t xml:space="preserve">Na postajama državne i lokalne mreže u Republici Hrvatskoj od </w:t>
      </w:r>
      <w:proofErr w:type="spellStart"/>
      <w:r>
        <w:t>POPs</w:t>
      </w:r>
      <w:proofErr w:type="spellEnd"/>
      <w:r>
        <w:t>-ova</w:t>
      </w:r>
      <w:r w:rsidRPr="00CB4024">
        <w:t xml:space="preserve"> mjere se </w:t>
      </w:r>
      <w:proofErr w:type="spellStart"/>
      <w:r w:rsidRPr="00CB4024">
        <w:t>policiklički</w:t>
      </w:r>
      <w:proofErr w:type="spellEnd"/>
      <w:r w:rsidRPr="00CB4024">
        <w:t xml:space="preserve"> aromatski ugljikovodici (PAU): benzo(a)piren (BaP), benzo</w:t>
      </w:r>
      <w:r w:rsidR="009E255B">
        <w:t>(a)</w:t>
      </w:r>
      <w:r w:rsidRPr="00CB4024">
        <w:t>antracen, benzo(b)</w:t>
      </w:r>
      <w:proofErr w:type="spellStart"/>
      <w:r w:rsidRPr="00CB4024">
        <w:t>fluoranten</w:t>
      </w:r>
      <w:proofErr w:type="spellEnd"/>
      <w:r w:rsidRPr="00CB4024">
        <w:t>, benzo(j)</w:t>
      </w:r>
      <w:proofErr w:type="spellStart"/>
      <w:r w:rsidRPr="00CB4024">
        <w:t>fluoranten</w:t>
      </w:r>
      <w:proofErr w:type="spellEnd"/>
      <w:r w:rsidRPr="00CB4024">
        <w:t>, benzo(k)</w:t>
      </w:r>
      <w:proofErr w:type="spellStart"/>
      <w:r w:rsidRPr="00CB4024">
        <w:t>fluoranten</w:t>
      </w:r>
      <w:proofErr w:type="spellEnd"/>
      <w:r w:rsidRPr="00CB4024">
        <w:t xml:space="preserve">, </w:t>
      </w:r>
      <w:proofErr w:type="spellStart"/>
      <w:r w:rsidRPr="00CB4024">
        <w:t>indenopiren</w:t>
      </w:r>
      <w:proofErr w:type="spellEnd"/>
      <w:r w:rsidRPr="00CB4024">
        <w:t xml:space="preserve"> i </w:t>
      </w:r>
      <w:proofErr w:type="spellStart"/>
      <w:r w:rsidRPr="00CB4024">
        <w:t>dibenzo</w:t>
      </w:r>
      <w:proofErr w:type="spellEnd"/>
      <w:r w:rsidR="009E255B">
        <w:t>(a)</w:t>
      </w:r>
      <w:r w:rsidRPr="00CB4024">
        <w:t>antracen u frakcijama lebdećih čestica PM</w:t>
      </w:r>
      <w:r w:rsidRPr="00CB4024">
        <w:rPr>
          <w:vertAlign w:val="subscript"/>
        </w:rPr>
        <w:t>10</w:t>
      </w:r>
      <w:r w:rsidRPr="00CB4024">
        <w:t xml:space="preserve"> na lokacijama: mjern</w:t>
      </w:r>
      <w:r w:rsidR="00D77279">
        <w:t>e</w:t>
      </w:r>
      <w:r w:rsidRPr="00CB4024">
        <w:t xml:space="preserve"> postaj</w:t>
      </w:r>
      <w:r w:rsidR="00D77279">
        <w:t>e</w:t>
      </w:r>
      <w:r w:rsidRPr="00CB4024">
        <w:t xml:space="preserve"> državne mreže </w:t>
      </w:r>
      <w:r w:rsidR="00D77279">
        <w:t xml:space="preserve">u aglomeraciji Zagreb: </w:t>
      </w:r>
      <w:r w:rsidRPr="00CB4024">
        <w:t xml:space="preserve">Zagreb-1 (na lokaciji </w:t>
      </w:r>
      <w:proofErr w:type="spellStart"/>
      <w:r w:rsidRPr="00CB4024">
        <w:t>Miramarska</w:t>
      </w:r>
      <w:proofErr w:type="spellEnd"/>
      <w:r w:rsidRPr="00CB4024">
        <w:t xml:space="preserve"> cesta)</w:t>
      </w:r>
      <w:r w:rsidR="00D77279">
        <w:t xml:space="preserve"> i Zagreb-3 (r</w:t>
      </w:r>
      <w:r w:rsidR="00D77279" w:rsidRPr="00D77279">
        <w:t xml:space="preserve">askrižje Sarajevske ulice i </w:t>
      </w:r>
      <w:proofErr w:type="spellStart"/>
      <w:r w:rsidR="00D77279" w:rsidRPr="00D77279">
        <w:t>Kauzlarićevog</w:t>
      </w:r>
      <w:proofErr w:type="spellEnd"/>
      <w:r w:rsidR="00D77279" w:rsidRPr="00D77279">
        <w:t xml:space="preserve"> prilaza</w:t>
      </w:r>
      <w:r w:rsidR="00D77279">
        <w:t xml:space="preserve">) </w:t>
      </w:r>
      <w:r w:rsidRPr="00CB4024">
        <w:t>Ksaverska cesta (</w:t>
      </w:r>
      <w:r w:rsidR="005C22D5">
        <w:t xml:space="preserve">Institut za medicinska istraživanja i medicinu rada, </w:t>
      </w:r>
      <w:r w:rsidRPr="00CB4024">
        <w:t xml:space="preserve">IMI) u Zagrebu, </w:t>
      </w:r>
      <w:r w:rsidR="00D77279">
        <w:t xml:space="preserve">i </w:t>
      </w:r>
      <w:r w:rsidRPr="00CB4024">
        <w:t xml:space="preserve">mjerna postaja državne mreže Sisak-1 (na lokaciji </w:t>
      </w:r>
      <w:proofErr w:type="spellStart"/>
      <w:r w:rsidRPr="00CB4024">
        <w:t>Caprag</w:t>
      </w:r>
      <w:proofErr w:type="spellEnd"/>
      <w:r w:rsidRPr="00CB4024">
        <w:t>)</w:t>
      </w:r>
      <w:r w:rsidR="00D77279">
        <w:t xml:space="preserve"> koja se nalazi u Industrijskoj zoni (HR2). </w:t>
      </w:r>
    </w:p>
    <w:p w14:paraId="3176B97E" w14:textId="1330FAD0" w:rsidR="00BB6A94" w:rsidRDefault="00BB6A94" w:rsidP="007E5335">
      <w:pPr>
        <w:spacing w:after="120"/>
        <w:jc w:val="both"/>
      </w:pPr>
      <w:r>
        <w:t xml:space="preserve">Uredba o razinama onečišćujućih tvari u zraku </w:t>
      </w:r>
      <w:r w:rsidR="00FC47D2">
        <w:t>(</w:t>
      </w:r>
      <w:r>
        <w:t>Narodne novine</w:t>
      </w:r>
      <w:r w:rsidR="00FC47D2">
        <w:t>,</w:t>
      </w:r>
      <w:r>
        <w:t xml:space="preserve"> broj</w:t>
      </w:r>
      <w:r w:rsidR="00FC47D2">
        <w:t xml:space="preserve"> 117/12) propisuje ciljnu vrijednost</w:t>
      </w:r>
      <w:r w:rsidR="00FF33DD">
        <w:t xml:space="preserve"> (CV)</w:t>
      </w:r>
      <w:r w:rsidR="00FC47D2">
        <w:t xml:space="preserve"> PAU BaP u PM</w:t>
      </w:r>
      <w:r w:rsidR="00FC47D2" w:rsidRPr="004B44BB">
        <w:rPr>
          <w:vertAlign w:val="subscript"/>
        </w:rPr>
        <w:t>10</w:t>
      </w:r>
      <w:r w:rsidR="00FC47D2">
        <w:t xml:space="preserve"> od 1,0 </w:t>
      </w:r>
      <w:proofErr w:type="spellStart"/>
      <w:r w:rsidR="00FC47D2">
        <w:t>ng</w:t>
      </w:r>
      <w:proofErr w:type="spellEnd"/>
      <w:r w:rsidR="004F75C6">
        <w:t xml:space="preserve"> </w:t>
      </w:r>
      <w:r w:rsidR="00FC47D2" w:rsidRPr="004F75C6">
        <w:t>m</w:t>
      </w:r>
      <w:r w:rsidR="004F75C6">
        <w:rPr>
          <w:vertAlign w:val="superscript"/>
        </w:rPr>
        <w:t>-</w:t>
      </w:r>
      <w:r w:rsidR="00FC47D2" w:rsidRPr="004B44BB">
        <w:rPr>
          <w:vertAlign w:val="superscript"/>
        </w:rPr>
        <w:t>3</w:t>
      </w:r>
      <w:r w:rsidR="00FC47D2">
        <w:t xml:space="preserve">. </w:t>
      </w:r>
    </w:p>
    <w:p w14:paraId="22222B61" w14:textId="71AFC57D" w:rsidR="00667FB6" w:rsidRPr="001C7F86" w:rsidRDefault="00317EE7" w:rsidP="007E5335">
      <w:pPr>
        <w:spacing w:after="120"/>
        <w:jc w:val="both"/>
        <w:rPr>
          <w:bCs/>
        </w:rPr>
      </w:pPr>
      <w:r w:rsidRPr="001C7F86">
        <w:rPr>
          <w:bCs/>
        </w:rPr>
        <w:t>Za 201</w:t>
      </w:r>
      <w:r w:rsidR="00091E4F">
        <w:rPr>
          <w:bCs/>
        </w:rPr>
        <w:t>5</w:t>
      </w:r>
      <w:r w:rsidRPr="001C7F86">
        <w:rPr>
          <w:bCs/>
        </w:rPr>
        <w:t>. godinu obrađena su mjerenja BaP u PM</w:t>
      </w:r>
      <w:r w:rsidRPr="001C7F86">
        <w:rPr>
          <w:bCs/>
          <w:vertAlign w:val="subscript"/>
        </w:rPr>
        <w:t>10</w:t>
      </w:r>
      <w:r w:rsidRPr="001C7F86">
        <w:rPr>
          <w:bCs/>
        </w:rPr>
        <w:t xml:space="preserve"> s </w:t>
      </w:r>
      <w:r w:rsidR="00BF1EC8">
        <w:rPr>
          <w:bCs/>
        </w:rPr>
        <w:t xml:space="preserve">tri </w:t>
      </w:r>
      <w:r w:rsidRPr="001C7F86">
        <w:rPr>
          <w:bCs/>
        </w:rPr>
        <w:t>mjerne postaje (</w:t>
      </w:r>
      <w:r w:rsidR="00FF33DD">
        <w:rPr>
          <w:bCs/>
        </w:rPr>
        <w:t>I</w:t>
      </w:r>
      <w:r w:rsidR="00256AF6">
        <w:rPr>
          <w:bCs/>
        </w:rPr>
        <w:t>zvor</w:t>
      </w:r>
      <w:r w:rsidR="00FF33DD">
        <w:rPr>
          <w:bCs/>
        </w:rPr>
        <w:t xml:space="preserve">: </w:t>
      </w:r>
      <w:r w:rsidRPr="001C7F86">
        <w:rPr>
          <w:bCs/>
        </w:rPr>
        <w:t>Godišnje izvješće o praćenju kvalitete zraka na području Republike Hrvatske za 201</w:t>
      </w:r>
      <w:r w:rsidR="00091E4F">
        <w:rPr>
          <w:bCs/>
        </w:rPr>
        <w:t>5</w:t>
      </w:r>
      <w:r w:rsidRPr="001C7F86">
        <w:rPr>
          <w:bCs/>
        </w:rPr>
        <w:t xml:space="preserve">. godinu, </w:t>
      </w:r>
      <w:r w:rsidR="00AD1FC5">
        <w:rPr>
          <w:bCs/>
        </w:rPr>
        <w:t>HAOP</w:t>
      </w:r>
      <w:r w:rsidRPr="001C7F86">
        <w:rPr>
          <w:bCs/>
        </w:rPr>
        <w:t>, 201</w:t>
      </w:r>
      <w:r w:rsidR="00091E4F">
        <w:rPr>
          <w:bCs/>
        </w:rPr>
        <w:t>6</w:t>
      </w:r>
      <w:r w:rsidRPr="001C7F86">
        <w:rPr>
          <w:bCs/>
        </w:rPr>
        <w:t xml:space="preserve">.): Zagreb-1 </w:t>
      </w:r>
      <w:r w:rsidR="00D63F26">
        <w:rPr>
          <w:bCs/>
        </w:rPr>
        <w:t xml:space="preserve">i Zagreb-3 </w:t>
      </w:r>
      <w:r w:rsidRPr="001C7F86">
        <w:rPr>
          <w:bCs/>
        </w:rPr>
        <w:t xml:space="preserve">u </w:t>
      </w:r>
      <w:r w:rsidR="00C06757">
        <w:rPr>
          <w:bCs/>
        </w:rPr>
        <w:t>aglomeraciji Zagreb, te S</w:t>
      </w:r>
      <w:r w:rsidR="009E255B">
        <w:rPr>
          <w:bCs/>
        </w:rPr>
        <w:t xml:space="preserve">isak-1 </w:t>
      </w:r>
      <w:r w:rsidRPr="001C7F86">
        <w:rPr>
          <w:bCs/>
        </w:rPr>
        <w:t>u Industrijskoj zoni. Sumarni statistički podaci koncentracija BaP u lebdećim česticama PM</w:t>
      </w:r>
      <w:r w:rsidRPr="001C7F86">
        <w:rPr>
          <w:bCs/>
          <w:vertAlign w:val="subscript"/>
        </w:rPr>
        <w:t>10</w:t>
      </w:r>
      <w:r w:rsidRPr="001C7F86">
        <w:rPr>
          <w:bCs/>
        </w:rPr>
        <w:t xml:space="preserve"> u zraku </w:t>
      </w:r>
      <w:r w:rsidR="00D77279">
        <w:rPr>
          <w:bCs/>
        </w:rPr>
        <w:t xml:space="preserve">u 2015. godini </w:t>
      </w:r>
      <w:r w:rsidRPr="001C7F86">
        <w:rPr>
          <w:bCs/>
        </w:rPr>
        <w:t xml:space="preserve">prikazani su u </w:t>
      </w:r>
      <w:r w:rsidRPr="00EA1EC7">
        <w:rPr>
          <w:bCs/>
          <w:color w:val="000000" w:themeColor="text1"/>
        </w:rPr>
        <w:t xml:space="preserve">tablici </w:t>
      </w:r>
      <w:r w:rsidR="00C06757">
        <w:rPr>
          <w:bCs/>
          <w:color w:val="000000" w:themeColor="text1"/>
        </w:rPr>
        <w:t>2.3-2.</w:t>
      </w:r>
      <w:r w:rsidRPr="00EA1EC7">
        <w:rPr>
          <w:bCs/>
          <w:color w:val="000000" w:themeColor="text1"/>
        </w:rPr>
        <w:t xml:space="preserve"> </w:t>
      </w:r>
    </w:p>
    <w:p w14:paraId="6C5D0A0C" w14:textId="5A1E1B05" w:rsidR="00E42F82" w:rsidRDefault="00E42F82" w:rsidP="007E5335">
      <w:pPr>
        <w:spacing w:after="120"/>
        <w:rPr>
          <w:bCs/>
          <w:i/>
        </w:rPr>
      </w:pPr>
      <w:bookmarkStart w:id="15" w:name="_Toc426066121"/>
    </w:p>
    <w:p w14:paraId="4FFF752B" w14:textId="2CDA65C8" w:rsidR="007B70A8" w:rsidRDefault="007B70A8" w:rsidP="007E5335">
      <w:pPr>
        <w:spacing w:after="120"/>
        <w:rPr>
          <w:bCs/>
          <w:i/>
        </w:rPr>
      </w:pPr>
    </w:p>
    <w:p w14:paraId="517F8392" w14:textId="47D624F3" w:rsidR="007B70A8" w:rsidRDefault="007B70A8" w:rsidP="007E5335">
      <w:pPr>
        <w:spacing w:after="120"/>
        <w:rPr>
          <w:bCs/>
          <w:i/>
        </w:rPr>
      </w:pPr>
    </w:p>
    <w:p w14:paraId="7D545C75" w14:textId="75E0414B" w:rsidR="007B70A8" w:rsidRDefault="007B70A8" w:rsidP="007E5335">
      <w:pPr>
        <w:spacing w:after="120"/>
        <w:rPr>
          <w:bCs/>
          <w:i/>
        </w:rPr>
      </w:pPr>
    </w:p>
    <w:p w14:paraId="3735DFC6" w14:textId="0A979AD4" w:rsidR="007B70A8" w:rsidRDefault="007B70A8" w:rsidP="007E5335">
      <w:pPr>
        <w:spacing w:after="120"/>
        <w:rPr>
          <w:bCs/>
          <w:i/>
        </w:rPr>
      </w:pPr>
    </w:p>
    <w:p w14:paraId="751B6099" w14:textId="4E505380" w:rsidR="007B70A8" w:rsidRDefault="007B70A8" w:rsidP="007E5335">
      <w:pPr>
        <w:spacing w:after="120"/>
        <w:rPr>
          <w:bCs/>
          <w:i/>
        </w:rPr>
      </w:pPr>
    </w:p>
    <w:p w14:paraId="7AA045D0" w14:textId="7FFBEAA7" w:rsidR="007B70A8" w:rsidRDefault="007B70A8" w:rsidP="007E5335">
      <w:pPr>
        <w:spacing w:after="120"/>
        <w:rPr>
          <w:bCs/>
          <w:i/>
        </w:rPr>
      </w:pPr>
    </w:p>
    <w:p w14:paraId="7E6600B3" w14:textId="2B0D3B72" w:rsidR="007B70A8" w:rsidRDefault="007B70A8" w:rsidP="007E5335">
      <w:pPr>
        <w:spacing w:after="120"/>
        <w:rPr>
          <w:bCs/>
          <w:i/>
        </w:rPr>
      </w:pPr>
    </w:p>
    <w:p w14:paraId="35AE453A" w14:textId="355342BC" w:rsidR="007B70A8" w:rsidRDefault="007B70A8" w:rsidP="007E5335">
      <w:pPr>
        <w:spacing w:after="120"/>
        <w:rPr>
          <w:bCs/>
          <w:i/>
        </w:rPr>
      </w:pPr>
    </w:p>
    <w:p w14:paraId="563400E2" w14:textId="32943CBA" w:rsidR="007B70A8" w:rsidRDefault="007B70A8" w:rsidP="007E5335">
      <w:pPr>
        <w:spacing w:after="120"/>
        <w:rPr>
          <w:bCs/>
          <w:i/>
        </w:rPr>
      </w:pPr>
    </w:p>
    <w:p w14:paraId="7BEA7389" w14:textId="26058297" w:rsidR="007B70A8" w:rsidRDefault="007B70A8" w:rsidP="007E5335">
      <w:pPr>
        <w:spacing w:after="120"/>
        <w:rPr>
          <w:bCs/>
          <w:i/>
        </w:rPr>
      </w:pPr>
    </w:p>
    <w:p w14:paraId="3C6FAC87" w14:textId="47B16D6D" w:rsidR="007B70A8" w:rsidRDefault="007B70A8" w:rsidP="007E5335">
      <w:pPr>
        <w:spacing w:after="120"/>
        <w:rPr>
          <w:bCs/>
          <w:i/>
        </w:rPr>
      </w:pPr>
    </w:p>
    <w:p w14:paraId="2F4C9093" w14:textId="09A1DD91" w:rsidR="007B70A8" w:rsidRDefault="007B70A8" w:rsidP="007E5335">
      <w:pPr>
        <w:spacing w:after="120"/>
        <w:rPr>
          <w:bCs/>
          <w:i/>
        </w:rPr>
      </w:pPr>
    </w:p>
    <w:p w14:paraId="1F99E8E0" w14:textId="7AECE012" w:rsidR="00317EE7" w:rsidRPr="00465FB6" w:rsidRDefault="00465FB6" w:rsidP="007E5335">
      <w:pPr>
        <w:spacing w:after="120"/>
        <w:rPr>
          <w:bCs/>
          <w:i/>
        </w:rPr>
      </w:pPr>
      <w:r w:rsidRPr="00465FB6">
        <w:rPr>
          <w:bCs/>
          <w:i/>
        </w:rPr>
        <w:t xml:space="preserve">Tablica 2.3-2: </w:t>
      </w:r>
      <w:r w:rsidR="00317EE7" w:rsidRPr="00465FB6">
        <w:rPr>
          <w:bCs/>
          <w:i/>
        </w:rPr>
        <w:t xml:space="preserve"> Sumarni podaci koncentracija benzo(a)pirena u lebdećim česticama PM</w:t>
      </w:r>
      <w:r w:rsidR="00317EE7" w:rsidRPr="00465FB6">
        <w:rPr>
          <w:bCs/>
          <w:i/>
          <w:vertAlign w:val="subscript"/>
        </w:rPr>
        <w:t>10</w:t>
      </w:r>
      <w:r w:rsidR="00317EE7" w:rsidRPr="00465FB6">
        <w:rPr>
          <w:bCs/>
          <w:i/>
        </w:rPr>
        <w:t xml:space="preserve"> u zraku</w:t>
      </w:r>
      <w:bookmarkEnd w:id="15"/>
      <w:r w:rsidR="00E54D29" w:rsidRPr="00465FB6">
        <w:rPr>
          <w:bCs/>
          <w:i/>
        </w:rPr>
        <w:t xml:space="preserve"> u 2015. godini</w:t>
      </w:r>
    </w:p>
    <w:p w14:paraId="6F7E5ACB" w14:textId="761255F2" w:rsidR="00E54D29" w:rsidRDefault="00E54D29" w:rsidP="000E7C8B">
      <w:pPr>
        <w:spacing w:after="120"/>
        <w:rPr>
          <w:bCs/>
          <w:i/>
          <w:sz w:val="20"/>
          <w:szCs w:val="20"/>
        </w:rPr>
      </w:pPr>
      <w:r w:rsidRPr="00E54D29">
        <w:rPr>
          <w:rFonts w:ascii="Calibri" w:eastAsia="Calibri" w:hAnsi="Calibri"/>
          <w:noProof/>
          <w:sz w:val="22"/>
          <w:szCs w:val="22"/>
        </w:rPr>
        <w:lastRenderedPageBreak/>
        <w:drawing>
          <wp:inline distT="0" distB="0" distL="0" distR="0" wp14:anchorId="6F22D478" wp14:editId="12A981EC">
            <wp:extent cx="6120130" cy="45583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4558336"/>
                    </a:xfrm>
                    <a:prstGeom prst="rect">
                      <a:avLst/>
                    </a:prstGeom>
                    <a:noFill/>
                    <a:ln>
                      <a:noFill/>
                    </a:ln>
                  </pic:spPr>
                </pic:pic>
              </a:graphicData>
            </a:graphic>
          </wp:inline>
        </w:drawing>
      </w:r>
    </w:p>
    <w:tbl>
      <w:tblPr>
        <w:tblpPr w:leftFromText="180" w:rightFromText="180" w:vertAnchor="text" w:tblpY="1"/>
        <w:tblOverlap w:val="never"/>
        <w:tblW w:w="7404" w:type="dxa"/>
        <w:tblLook w:val="04A0" w:firstRow="1" w:lastRow="0" w:firstColumn="1" w:lastColumn="0" w:noHBand="0" w:noVBand="1"/>
      </w:tblPr>
      <w:tblGrid>
        <w:gridCol w:w="1030"/>
        <w:gridCol w:w="6374"/>
      </w:tblGrid>
      <w:tr w:rsidR="00E54D29" w:rsidRPr="00E54D29" w14:paraId="3BF2558D" w14:textId="77777777" w:rsidTr="00A502E4">
        <w:trPr>
          <w:trHeight w:val="263"/>
        </w:trPr>
        <w:tc>
          <w:tcPr>
            <w:tcW w:w="1030" w:type="dxa"/>
            <w:tcBorders>
              <w:top w:val="nil"/>
              <w:left w:val="nil"/>
              <w:bottom w:val="nil"/>
              <w:right w:val="nil"/>
            </w:tcBorders>
            <w:shd w:val="clear" w:color="auto" w:fill="auto"/>
            <w:noWrap/>
            <w:vAlign w:val="bottom"/>
            <w:hideMark/>
          </w:tcPr>
          <w:p w14:paraId="7F424902" w14:textId="77777777" w:rsidR="00E54D29" w:rsidRPr="00E54D29" w:rsidRDefault="00E54D29" w:rsidP="00E54D29">
            <w:pPr>
              <w:spacing w:after="200" w:line="276" w:lineRule="auto"/>
              <w:rPr>
                <w:rFonts w:ascii="Palatino Linotype" w:hAnsi="Palatino Linotype" w:cs="Arial"/>
                <w:sz w:val="20"/>
                <w:szCs w:val="20"/>
                <w:u w:val="single"/>
              </w:rPr>
            </w:pPr>
            <w:r w:rsidRPr="00E54D29">
              <w:rPr>
                <w:rFonts w:ascii="Palatino Linotype" w:hAnsi="Palatino Linotype" w:cs="Arial"/>
                <w:sz w:val="20"/>
                <w:szCs w:val="20"/>
                <w:u w:val="single"/>
              </w:rPr>
              <w:t>Legenda:</w:t>
            </w:r>
          </w:p>
        </w:tc>
        <w:tc>
          <w:tcPr>
            <w:tcW w:w="6374" w:type="dxa"/>
            <w:tcBorders>
              <w:top w:val="nil"/>
              <w:left w:val="nil"/>
              <w:bottom w:val="nil"/>
              <w:right w:val="nil"/>
            </w:tcBorders>
            <w:shd w:val="clear" w:color="auto" w:fill="auto"/>
            <w:noWrap/>
            <w:vAlign w:val="bottom"/>
            <w:hideMark/>
          </w:tcPr>
          <w:p w14:paraId="2CF7DD52" w14:textId="77777777" w:rsidR="00E54D29" w:rsidRPr="00E54D29" w:rsidRDefault="00E54D29" w:rsidP="00E54D29">
            <w:pPr>
              <w:rPr>
                <w:rFonts w:ascii="Palatino Linotype" w:hAnsi="Palatino Linotype" w:cs="Arial"/>
                <w:sz w:val="20"/>
                <w:szCs w:val="20"/>
              </w:rPr>
            </w:pPr>
          </w:p>
        </w:tc>
      </w:tr>
      <w:tr w:rsidR="00E54D29" w:rsidRPr="00E54D29" w14:paraId="03A9A44C" w14:textId="77777777" w:rsidTr="00A502E4">
        <w:trPr>
          <w:trHeight w:val="263"/>
        </w:trPr>
        <w:tc>
          <w:tcPr>
            <w:tcW w:w="1030" w:type="dxa"/>
            <w:tcBorders>
              <w:top w:val="nil"/>
              <w:left w:val="nil"/>
              <w:bottom w:val="nil"/>
              <w:right w:val="nil"/>
            </w:tcBorders>
            <w:shd w:val="clear" w:color="auto" w:fill="auto"/>
            <w:noWrap/>
            <w:vAlign w:val="center"/>
            <w:hideMark/>
          </w:tcPr>
          <w:p w14:paraId="5AC8D5FE" w14:textId="77777777" w:rsidR="00E54D29" w:rsidRPr="00E54D29" w:rsidRDefault="00E54D29" w:rsidP="00E54D29">
            <w:pPr>
              <w:rPr>
                <w:rFonts w:ascii="Palatino Linotype" w:hAnsi="Palatino Linotype" w:cs="Arial"/>
                <w:color w:val="0070C0"/>
                <w:sz w:val="20"/>
                <w:szCs w:val="20"/>
              </w:rPr>
            </w:pPr>
            <w:r w:rsidRPr="00E54D29">
              <w:rPr>
                <w:rFonts w:ascii="Palatino Linotype" w:hAnsi="Palatino Linotype" w:cs="Arial"/>
                <w:color w:val="0070C0"/>
                <w:sz w:val="20"/>
                <w:szCs w:val="20"/>
              </w:rPr>
              <w:t>Plavo</w:t>
            </w:r>
          </w:p>
        </w:tc>
        <w:tc>
          <w:tcPr>
            <w:tcW w:w="6374" w:type="dxa"/>
            <w:tcBorders>
              <w:top w:val="nil"/>
              <w:left w:val="nil"/>
              <w:bottom w:val="nil"/>
              <w:right w:val="nil"/>
            </w:tcBorders>
            <w:shd w:val="clear" w:color="auto" w:fill="auto"/>
            <w:noWrap/>
            <w:vAlign w:val="center"/>
            <w:hideMark/>
          </w:tcPr>
          <w:p w14:paraId="65C64DF5" w14:textId="77777777" w:rsidR="00E54D29" w:rsidRPr="00E54D29" w:rsidRDefault="00E54D29" w:rsidP="00E54D29">
            <w:pPr>
              <w:rPr>
                <w:rFonts w:ascii="Palatino Linotype" w:hAnsi="Palatino Linotype" w:cs="Arial"/>
                <w:color w:val="000000"/>
                <w:sz w:val="20"/>
                <w:szCs w:val="20"/>
              </w:rPr>
            </w:pPr>
            <w:r w:rsidRPr="00E54D29">
              <w:rPr>
                <w:rFonts w:ascii="Palatino Linotype" w:hAnsi="Palatino Linotype" w:cs="Arial"/>
                <w:color w:val="000000"/>
                <w:sz w:val="20"/>
                <w:szCs w:val="20"/>
              </w:rPr>
              <w:t>Obuhvat podataka manji od 85%</w:t>
            </w:r>
          </w:p>
        </w:tc>
      </w:tr>
      <w:tr w:rsidR="00E54D29" w:rsidRPr="00E54D29" w14:paraId="25704466" w14:textId="77777777" w:rsidTr="00A502E4">
        <w:trPr>
          <w:trHeight w:val="263"/>
        </w:trPr>
        <w:tc>
          <w:tcPr>
            <w:tcW w:w="1030" w:type="dxa"/>
            <w:tcBorders>
              <w:top w:val="nil"/>
              <w:left w:val="nil"/>
              <w:bottom w:val="nil"/>
              <w:right w:val="nil"/>
            </w:tcBorders>
            <w:shd w:val="clear" w:color="auto" w:fill="auto"/>
            <w:noWrap/>
            <w:vAlign w:val="center"/>
            <w:hideMark/>
          </w:tcPr>
          <w:p w14:paraId="1E10A77E" w14:textId="77777777" w:rsidR="00E54D29" w:rsidRPr="00E54D29" w:rsidRDefault="00E54D29" w:rsidP="00E54D29">
            <w:pPr>
              <w:rPr>
                <w:rFonts w:ascii="Palatino Linotype" w:hAnsi="Palatino Linotype" w:cs="Arial"/>
                <w:color w:val="FF0000"/>
                <w:sz w:val="20"/>
                <w:szCs w:val="20"/>
              </w:rPr>
            </w:pPr>
            <w:r w:rsidRPr="00E54D29">
              <w:rPr>
                <w:rFonts w:ascii="Palatino Linotype" w:hAnsi="Palatino Linotype" w:cs="Arial"/>
                <w:color w:val="FF0000"/>
                <w:sz w:val="20"/>
                <w:szCs w:val="20"/>
              </w:rPr>
              <w:t>Crveno</w:t>
            </w:r>
          </w:p>
        </w:tc>
        <w:tc>
          <w:tcPr>
            <w:tcW w:w="6374" w:type="dxa"/>
            <w:tcBorders>
              <w:top w:val="nil"/>
              <w:left w:val="nil"/>
              <w:bottom w:val="nil"/>
              <w:right w:val="nil"/>
            </w:tcBorders>
            <w:shd w:val="clear" w:color="auto" w:fill="auto"/>
            <w:noWrap/>
            <w:vAlign w:val="center"/>
            <w:hideMark/>
          </w:tcPr>
          <w:p w14:paraId="7FF642DE" w14:textId="77777777" w:rsidR="00E54D29" w:rsidRPr="00E54D29" w:rsidRDefault="00E54D29" w:rsidP="00E54D29">
            <w:pPr>
              <w:rPr>
                <w:rFonts w:ascii="Palatino Linotype" w:hAnsi="Palatino Linotype" w:cs="Arial"/>
                <w:color w:val="000000"/>
                <w:sz w:val="20"/>
                <w:szCs w:val="20"/>
              </w:rPr>
            </w:pPr>
            <w:r w:rsidRPr="00E54D29">
              <w:rPr>
                <w:rFonts w:ascii="Palatino Linotype" w:hAnsi="Palatino Linotype" w:cs="Arial"/>
                <w:color w:val="000000"/>
                <w:sz w:val="20"/>
                <w:szCs w:val="20"/>
              </w:rPr>
              <w:t>Prekoračena srednja godišnja CV</w:t>
            </w:r>
          </w:p>
        </w:tc>
      </w:tr>
      <w:tr w:rsidR="00E54D29" w:rsidRPr="00E54D29" w14:paraId="2A7C5EC1" w14:textId="77777777" w:rsidTr="00A502E4">
        <w:trPr>
          <w:trHeight w:val="263"/>
        </w:trPr>
        <w:tc>
          <w:tcPr>
            <w:tcW w:w="1030" w:type="dxa"/>
            <w:tcBorders>
              <w:top w:val="nil"/>
              <w:left w:val="nil"/>
              <w:bottom w:val="nil"/>
              <w:right w:val="nil"/>
            </w:tcBorders>
            <w:shd w:val="clear" w:color="000000" w:fill="FFA77F"/>
            <w:noWrap/>
            <w:vAlign w:val="center"/>
            <w:hideMark/>
          </w:tcPr>
          <w:p w14:paraId="5EFCB95F" w14:textId="77777777" w:rsidR="00E54D29" w:rsidRPr="00E54D29" w:rsidRDefault="00E54D29" w:rsidP="00E54D29">
            <w:pPr>
              <w:jc w:val="center"/>
              <w:rPr>
                <w:rFonts w:ascii="Palatino Linotype" w:hAnsi="Palatino Linotype" w:cs="Arial"/>
                <w:sz w:val="20"/>
                <w:szCs w:val="20"/>
              </w:rPr>
            </w:pPr>
            <w:r w:rsidRPr="00E54D29">
              <w:rPr>
                <w:rFonts w:ascii="Palatino Linotype" w:hAnsi="Palatino Linotype" w:cs="Arial"/>
                <w:sz w:val="20"/>
                <w:szCs w:val="20"/>
              </w:rPr>
              <w:t> </w:t>
            </w:r>
          </w:p>
        </w:tc>
        <w:tc>
          <w:tcPr>
            <w:tcW w:w="6374" w:type="dxa"/>
            <w:tcBorders>
              <w:top w:val="nil"/>
              <w:left w:val="nil"/>
              <w:bottom w:val="nil"/>
              <w:right w:val="nil"/>
            </w:tcBorders>
            <w:shd w:val="clear" w:color="auto" w:fill="auto"/>
            <w:noWrap/>
            <w:vAlign w:val="bottom"/>
            <w:hideMark/>
          </w:tcPr>
          <w:p w14:paraId="206053D2" w14:textId="3B91A574" w:rsidR="00E54D29" w:rsidRPr="00E54D29" w:rsidRDefault="009E255B" w:rsidP="00E54D29">
            <w:pPr>
              <w:rPr>
                <w:rFonts w:ascii="Palatino Linotype" w:hAnsi="Palatino Linotype" w:cs="Arial"/>
                <w:sz w:val="20"/>
                <w:szCs w:val="20"/>
              </w:rPr>
            </w:pPr>
            <w:r>
              <w:rPr>
                <w:rFonts w:ascii="Palatino Linotype" w:hAnsi="Palatino Linotype" w:cs="Arial"/>
                <w:sz w:val="20"/>
                <w:szCs w:val="20"/>
              </w:rPr>
              <w:t>Nesukladno s</w:t>
            </w:r>
            <w:r w:rsidR="00E54D29" w:rsidRPr="00E54D29">
              <w:rPr>
                <w:rFonts w:ascii="Palatino Linotype" w:hAnsi="Palatino Linotype" w:cs="Arial"/>
                <w:sz w:val="20"/>
                <w:szCs w:val="20"/>
              </w:rPr>
              <w:t xml:space="preserve"> ciljevima zaštite okoliša (Prekoračena CV)</w:t>
            </w:r>
          </w:p>
        </w:tc>
      </w:tr>
      <w:tr w:rsidR="00E54D29" w:rsidRPr="00E54D29" w14:paraId="428219DF" w14:textId="77777777" w:rsidTr="00A502E4">
        <w:trPr>
          <w:trHeight w:val="263"/>
        </w:trPr>
        <w:tc>
          <w:tcPr>
            <w:tcW w:w="1030" w:type="dxa"/>
            <w:tcBorders>
              <w:top w:val="nil"/>
              <w:left w:val="nil"/>
              <w:bottom w:val="nil"/>
              <w:right w:val="nil"/>
            </w:tcBorders>
            <w:shd w:val="clear" w:color="000000" w:fill="D2FFBE"/>
            <w:noWrap/>
            <w:vAlign w:val="center"/>
            <w:hideMark/>
          </w:tcPr>
          <w:p w14:paraId="004BE630" w14:textId="77777777" w:rsidR="00E54D29" w:rsidRPr="00E54D29" w:rsidRDefault="00E54D29" w:rsidP="00E54D29">
            <w:pPr>
              <w:jc w:val="center"/>
              <w:rPr>
                <w:rFonts w:ascii="Palatino Linotype" w:hAnsi="Palatino Linotype" w:cs="Arial"/>
                <w:sz w:val="20"/>
                <w:szCs w:val="20"/>
              </w:rPr>
            </w:pPr>
            <w:r w:rsidRPr="00E54D29">
              <w:rPr>
                <w:rFonts w:ascii="Palatino Linotype" w:hAnsi="Palatino Linotype" w:cs="Arial"/>
                <w:sz w:val="20"/>
                <w:szCs w:val="20"/>
              </w:rPr>
              <w:t> </w:t>
            </w:r>
          </w:p>
        </w:tc>
        <w:tc>
          <w:tcPr>
            <w:tcW w:w="6374" w:type="dxa"/>
            <w:tcBorders>
              <w:top w:val="nil"/>
              <w:left w:val="nil"/>
              <w:bottom w:val="nil"/>
              <w:right w:val="nil"/>
            </w:tcBorders>
            <w:shd w:val="clear" w:color="auto" w:fill="auto"/>
            <w:noWrap/>
            <w:vAlign w:val="bottom"/>
            <w:hideMark/>
          </w:tcPr>
          <w:p w14:paraId="7ACA6B44" w14:textId="40E9E934" w:rsidR="00E54D29" w:rsidRPr="00E54D29" w:rsidRDefault="009E255B" w:rsidP="00E54D29">
            <w:pPr>
              <w:rPr>
                <w:rFonts w:ascii="Palatino Linotype" w:hAnsi="Palatino Linotype" w:cs="Arial"/>
                <w:sz w:val="20"/>
                <w:szCs w:val="20"/>
              </w:rPr>
            </w:pPr>
            <w:r>
              <w:rPr>
                <w:rFonts w:ascii="Palatino Linotype" w:hAnsi="Palatino Linotype" w:cs="Arial"/>
                <w:sz w:val="20"/>
                <w:szCs w:val="20"/>
              </w:rPr>
              <w:t>Sukladno s</w:t>
            </w:r>
            <w:r w:rsidR="00E54D29" w:rsidRPr="00E54D29">
              <w:rPr>
                <w:rFonts w:ascii="Palatino Linotype" w:hAnsi="Palatino Linotype" w:cs="Arial"/>
                <w:sz w:val="20"/>
                <w:szCs w:val="20"/>
              </w:rPr>
              <w:t xml:space="preserve"> ciljevima zaštite okoliša (Nije prekoračena CV)</w:t>
            </w:r>
          </w:p>
        </w:tc>
      </w:tr>
      <w:tr w:rsidR="00E54D29" w:rsidRPr="00E54D29" w14:paraId="26D1E11C" w14:textId="77777777" w:rsidTr="00A502E4">
        <w:trPr>
          <w:trHeight w:val="263"/>
        </w:trPr>
        <w:tc>
          <w:tcPr>
            <w:tcW w:w="1030" w:type="dxa"/>
            <w:tcBorders>
              <w:top w:val="nil"/>
              <w:left w:val="nil"/>
              <w:bottom w:val="nil"/>
              <w:right w:val="nil"/>
            </w:tcBorders>
            <w:shd w:val="clear" w:color="000000" w:fill="E1E1E1"/>
            <w:noWrap/>
            <w:vAlign w:val="center"/>
            <w:hideMark/>
          </w:tcPr>
          <w:p w14:paraId="14276624" w14:textId="77777777" w:rsidR="00E54D29" w:rsidRPr="00E54D29" w:rsidRDefault="00E54D29" w:rsidP="00E54D29">
            <w:pPr>
              <w:jc w:val="center"/>
              <w:rPr>
                <w:rFonts w:ascii="Palatino Linotype" w:hAnsi="Palatino Linotype" w:cs="Arial"/>
                <w:sz w:val="20"/>
                <w:szCs w:val="20"/>
              </w:rPr>
            </w:pPr>
            <w:r w:rsidRPr="00E54D29">
              <w:rPr>
                <w:rFonts w:ascii="Palatino Linotype" w:hAnsi="Palatino Linotype" w:cs="Arial"/>
                <w:sz w:val="20"/>
                <w:szCs w:val="20"/>
              </w:rPr>
              <w:t> </w:t>
            </w:r>
          </w:p>
        </w:tc>
        <w:tc>
          <w:tcPr>
            <w:tcW w:w="6374" w:type="dxa"/>
            <w:tcBorders>
              <w:top w:val="nil"/>
              <w:left w:val="nil"/>
              <w:bottom w:val="nil"/>
              <w:right w:val="nil"/>
            </w:tcBorders>
            <w:shd w:val="clear" w:color="auto" w:fill="auto"/>
            <w:noWrap/>
            <w:vAlign w:val="bottom"/>
            <w:hideMark/>
          </w:tcPr>
          <w:p w14:paraId="46863CA8"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Neocijenjeno</w:t>
            </w:r>
          </w:p>
        </w:tc>
      </w:tr>
      <w:tr w:rsidR="00E54D29" w:rsidRPr="00E54D29" w14:paraId="3975187B" w14:textId="77777777" w:rsidTr="00A502E4">
        <w:trPr>
          <w:trHeight w:val="263"/>
        </w:trPr>
        <w:tc>
          <w:tcPr>
            <w:tcW w:w="1030" w:type="dxa"/>
            <w:tcBorders>
              <w:top w:val="nil"/>
              <w:left w:val="nil"/>
              <w:bottom w:val="nil"/>
              <w:right w:val="nil"/>
            </w:tcBorders>
            <w:shd w:val="clear" w:color="auto" w:fill="auto"/>
            <w:noWrap/>
            <w:vAlign w:val="bottom"/>
            <w:hideMark/>
          </w:tcPr>
          <w:p w14:paraId="5CB5AE1C"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w:t>
            </w:r>
          </w:p>
        </w:tc>
        <w:tc>
          <w:tcPr>
            <w:tcW w:w="6374" w:type="dxa"/>
            <w:tcBorders>
              <w:top w:val="nil"/>
              <w:left w:val="nil"/>
              <w:bottom w:val="nil"/>
              <w:right w:val="nil"/>
            </w:tcBorders>
            <w:shd w:val="clear" w:color="auto" w:fill="auto"/>
            <w:noWrap/>
            <w:vAlign w:val="bottom"/>
            <w:hideMark/>
          </w:tcPr>
          <w:p w14:paraId="40E55831"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ne koristi se za ocjenu sukladnosti</w:t>
            </w:r>
          </w:p>
        </w:tc>
      </w:tr>
      <w:tr w:rsidR="00E54D29" w:rsidRPr="00E54D29" w14:paraId="0CE76D60" w14:textId="77777777" w:rsidTr="00A502E4">
        <w:trPr>
          <w:trHeight w:val="263"/>
        </w:trPr>
        <w:tc>
          <w:tcPr>
            <w:tcW w:w="1030" w:type="dxa"/>
            <w:tcBorders>
              <w:top w:val="nil"/>
              <w:left w:val="nil"/>
              <w:bottom w:val="nil"/>
              <w:right w:val="nil"/>
            </w:tcBorders>
            <w:shd w:val="clear" w:color="auto" w:fill="auto"/>
            <w:noWrap/>
            <w:vAlign w:val="bottom"/>
            <w:hideMark/>
          </w:tcPr>
          <w:p w14:paraId="5C3907DD"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CV</w:t>
            </w:r>
          </w:p>
        </w:tc>
        <w:tc>
          <w:tcPr>
            <w:tcW w:w="6374" w:type="dxa"/>
            <w:tcBorders>
              <w:top w:val="nil"/>
              <w:left w:val="nil"/>
              <w:bottom w:val="nil"/>
              <w:right w:val="nil"/>
            </w:tcBorders>
            <w:shd w:val="clear" w:color="auto" w:fill="auto"/>
            <w:noWrap/>
            <w:vAlign w:val="bottom"/>
            <w:hideMark/>
          </w:tcPr>
          <w:p w14:paraId="12EF99AE"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Ciljna vrijednost</w:t>
            </w:r>
          </w:p>
        </w:tc>
      </w:tr>
      <w:tr w:rsidR="00E54D29" w:rsidRPr="00E54D29" w14:paraId="32BD75E4" w14:textId="77777777" w:rsidTr="00A502E4">
        <w:trPr>
          <w:trHeight w:val="263"/>
        </w:trPr>
        <w:tc>
          <w:tcPr>
            <w:tcW w:w="1030" w:type="dxa"/>
            <w:tcBorders>
              <w:top w:val="nil"/>
              <w:left w:val="nil"/>
              <w:bottom w:val="nil"/>
              <w:right w:val="nil"/>
            </w:tcBorders>
            <w:shd w:val="clear" w:color="auto" w:fill="auto"/>
            <w:noWrap/>
            <w:hideMark/>
          </w:tcPr>
          <w:p w14:paraId="255BA217"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w:t>
            </w:r>
          </w:p>
        </w:tc>
        <w:tc>
          <w:tcPr>
            <w:tcW w:w="6374" w:type="dxa"/>
            <w:tcBorders>
              <w:top w:val="nil"/>
              <w:left w:val="nil"/>
              <w:bottom w:val="nil"/>
              <w:right w:val="nil"/>
            </w:tcBorders>
            <w:shd w:val="clear" w:color="auto" w:fill="auto"/>
            <w:noWrap/>
            <w:hideMark/>
          </w:tcPr>
          <w:p w14:paraId="47661842"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Nema podatka</w:t>
            </w:r>
          </w:p>
        </w:tc>
      </w:tr>
      <w:tr w:rsidR="00E54D29" w:rsidRPr="00E54D29" w14:paraId="427B20E3" w14:textId="77777777" w:rsidTr="00A502E4">
        <w:trPr>
          <w:trHeight w:val="263"/>
        </w:trPr>
        <w:tc>
          <w:tcPr>
            <w:tcW w:w="1030" w:type="dxa"/>
            <w:tcBorders>
              <w:top w:val="nil"/>
              <w:left w:val="nil"/>
              <w:bottom w:val="nil"/>
              <w:right w:val="nil"/>
            </w:tcBorders>
            <w:shd w:val="clear" w:color="auto" w:fill="auto"/>
            <w:noWrap/>
            <w:vAlign w:val="bottom"/>
          </w:tcPr>
          <w:p w14:paraId="29608478"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NP</w:t>
            </w:r>
          </w:p>
        </w:tc>
        <w:tc>
          <w:tcPr>
            <w:tcW w:w="6374" w:type="dxa"/>
            <w:tcBorders>
              <w:top w:val="nil"/>
              <w:left w:val="nil"/>
              <w:bottom w:val="nil"/>
              <w:right w:val="nil"/>
            </w:tcBorders>
            <w:shd w:val="clear" w:color="auto" w:fill="auto"/>
            <w:noWrap/>
            <w:vAlign w:val="bottom"/>
          </w:tcPr>
          <w:p w14:paraId="76C6C4DC"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Nije primjenjivo</w:t>
            </w:r>
          </w:p>
        </w:tc>
      </w:tr>
      <w:tr w:rsidR="00E54D29" w:rsidRPr="00E54D29" w14:paraId="3AFD83B4" w14:textId="77777777" w:rsidTr="00A502E4">
        <w:trPr>
          <w:trHeight w:val="263"/>
        </w:trPr>
        <w:tc>
          <w:tcPr>
            <w:tcW w:w="1030" w:type="dxa"/>
            <w:tcBorders>
              <w:top w:val="nil"/>
              <w:left w:val="nil"/>
              <w:bottom w:val="nil"/>
              <w:right w:val="nil"/>
            </w:tcBorders>
            <w:shd w:val="clear" w:color="auto" w:fill="auto"/>
            <w:noWrap/>
            <w:vAlign w:val="bottom"/>
          </w:tcPr>
          <w:p w14:paraId="08A96CC6" w14:textId="77777777" w:rsidR="00E54D29" w:rsidRPr="00E54D29" w:rsidRDefault="00E54D29" w:rsidP="00E54D29">
            <w:pPr>
              <w:rPr>
                <w:rFonts w:ascii="Palatino Linotype" w:hAnsi="Palatino Linotype" w:cs="Arial"/>
                <w:sz w:val="20"/>
                <w:szCs w:val="20"/>
              </w:rPr>
            </w:pPr>
            <w:proofErr w:type="spellStart"/>
            <w:r w:rsidRPr="00E54D29">
              <w:rPr>
                <w:rFonts w:ascii="Palatino Linotype" w:hAnsi="Palatino Linotype" w:cs="Arial"/>
                <w:sz w:val="20"/>
                <w:szCs w:val="20"/>
              </w:rPr>
              <w:t>n.d</w:t>
            </w:r>
            <w:proofErr w:type="spellEnd"/>
            <w:r w:rsidRPr="00E54D29">
              <w:rPr>
                <w:rFonts w:ascii="Palatino Linotype" w:hAnsi="Palatino Linotype" w:cs="Arial"/>
                <w:sz w:val="20"/>
                <w:szCs w:val="20"/>
              </w:rPr>
              <w:t>.</w:t>
            </w:r>
          </w:p>
        </w:tc>
        <w:tc>
          <w:tcPr>
            <w:tcW w:w="6374" w:type="dxa"/>
            <w:tcBorders>
              <w:top w:val="nil"/>
              <w:left w:val="nil"/>
              <w:bottom w:val="nil"/>
              <w:right w:val="nil"/>
            </w:tcBorders>
            <w:shd w:val="clear" w:color="auto" w:fill="auto"/>
            <w:noWrap/>
            <w:vAlign w:val="bottom"/>
          </w:tcPr>
          <w:p w14:paraId="66BEA645" w14:textId="77777777" w:rsidR="00E54D29" w:rsidRPr="00E54D29" w:rsidRDefault="00E54D29" w:rsidP="00E54D29">
            <w:pPr>
              <w:rPr>
                <w:rFonts w:ascii="Palatino Linotype" w:hAnsi="Palatino Linotype" w:cs="Arial"/>
                <w:sz w:val="20"/>
                <w:szCs w:val="20"/>
              </w:rPr>
            </w:pPr>
            <w:r w:rsidRPr="00E54D29">
              <w:rPr>
                <w:rFonts w:ascii="Palatino Linotype" w:hAnsi="Palatino Linotype" w:cs="Arial"/>
                <w:sz w:val="20"/>
                <w:szCs w:val="20"/>
              </w:rPr>
              <w:t>Ispod granice osjetljivosti metode</w:t>
            </w:r>
          </w:p>
        </w:tc>
      </w:tr>
    </w:tbl>
    <w:p w14:paraId="71B98AE5" w14:textId="77777777" w:rsidR="00E54D29" w:rsidRDefault="00E54D29" w:rsidP="000E7C8B">
      <w:pPr>
        <w:spacing w:after="120"/>
        <w:rPr>
          <w:bCs/>
          <w:i/>
          <w:sz w:val="20"/>
          <w:szCs w:val="20"/>
        </w:rPr>
      </w:pPr>
    </w:p>
    <w:p w14:paraId="46363068" w14:textId="77777777" w:rsidR="00E54D29" w:rsidRDefault="00E54D29" w:rsidP="000E7C8B">
      <w:pPr>
        <w:spacing w:after="120"/>
        <w:rPr>
          <w:bCs/>
          <w:i/>
          <w:sz w:val="20"/>
          <w:szCs w:val="20"/>
        </w:rPr>
      </w:pPr>
    </w:p>
    <w:p w14:paraId="3F0D2DC2" w14:textId="77777777" w:rsidR="00E54D29" w:rsidRDefault="00E54D29" w:rsidP="000E7C8B">
      <w:pPr>
        <w:spacing w:after="120"/>
        <w:rPr>
          <w:bCs/>
          <w:i/>
          <w:sz w:val="20"/>
          <w:szCs w:val="20"/>
        </w:rPr>
      </w:pPr>
    </w:p>
    <w:p w14:paraId="021E32D6" w14:textId="77777777" w:rsidR="00E54D29" w:rsidRDefault="00E54D29" w:rsidP="000E7C8B">
      <w:pPr>
        <w:spacing w:after="120"/>
        <w:rPr>
          <w:bCs/>
          <w:i/>
          <w:sz w:val="20"/>
          <w:szCs w:val="20"/>
        </w:rPr>
      </w:pPr>
    </w:p>
    <w:p w14:paraId="67CF9EF6" w14:textId="77777777" w:rsidR="00E54D29" w:rsidRDefault="00E54D29" w:rsidP="000E7C8B">
      <w:pPr>
        <w:spacing w:after="120"/>
        <w:rPr>
          <w:bCs/>
          <w:i/>
          <w:sz w:val="20"/>
          <w:szCs w:val="20"/>
        </w:rPr>
      </w:pPr>
    </w:p>
    <w:p w14:paraId="12788E7C" w14:textId="77777777" w:rsidR="00E54D29" w:rsidRDefault="00E54D29" w:rsidP="000E7C8B">
      <w:pPr>
        <w:spacing w:after="120"/>
        <w:rPr>
          <w:bCs/>
          <w:i/>
          <w:sz w:val="20"/>
          <w:szCs w:val="20"/>
        </w:rPr>
      </w:pPr>
    </w:p>
    <w:p w14:paraId="25591534" w14:textId="77777777" w:rsidR="00E54D29" w:rsidRDefault="00E54D29" w:rsidP="000E7C8B">
      <w:pPr>
        <w:spacing w:after="120"/>
        <w:rPr>
          <w:bCs/>
          <w:i/>
          <w:sz w:val="20"/>
          <w:szCs w:val="20"/>
        </w:rPr>
      </w:pPr>
    </w:p>
    <w:p w14:paraId="4C874FBF" w14:textId="77777777" w:rsidR="00E54D29" w:rsidRPr="00B54884" w:rsidRDefault="00E54D29" w:rsidP="000E7C8B">
      <w:pPr>
        <w:spacing w:after="120"/>
        <w:rPr>
          <w:bCs/>
          <w:i/>
          <w:sz w:val="20"/>
          <w:szCs w:val="20"/>
        </w:rPr>
      </w:pPr>
    </w:p>
    <w:p w14:paraId="048B76A4" w14:textId="43304C16" w:rsidR="00667FB6" w:rsidRDefault="00667FB6" w:rsidP="00667FB6">
      <w:pPr>
        <w:jc w:val="both"/>
      </w:pPr>
    </w:p>
    <w:p w14:paraId="2BA3BA56" w14:textId="77777777" w:rsidR="00E54D29" w:rsidRDefault="00E54D29" w:rsidP="00667FB6">
      <w:pPr>
        <w:jc w:val="both"/>
      </w:pPr>
    </w:p>
    <w:p w14:paraId="415C5085" w14:textId="765E8BF7" w:rsidR="00317EE7" w:rsidRPr="001C7F86" w:rsidRDefault="00317EE7" w:rsidP="007E5335">
      <w:pPr>
        <w:spacing w:before="100" w:beforeAutospacing="1" w:after="120"/>
        <w:jc w:val="both"/>
        <w:rPr>
          <w:bCs/>
        </w:rPr>
      </w:pPr>
      <w:r w:rsidRPr="001C7F86">
        <w:rPr>
          <w:bCs/>
        </w:rPr>
        <w:t>Srednja godišnja koncentracija BaP u PM</w:t>
      </w:r>
      <w:r w:rsidRPr="001C7F86">
        <w:rPr>
          <w:bCs/>
          <w:vertAlign w:val="subscript"/>
        </w:rPr>
        <w:t>10</w:t>
      </w:r>
      <w:r w:rsidRPr="001C7F86">
        <w:rPr>
          <w:bCs/>
        </w:rPr>
        <w:t xml:space="preserve"> ne smije prekora</w:t>
      </w:r>
      <w:r w:rsidR="00C1290D">
        <w:rPr>
          <w:bCs/>
        </w:rPr>
        <w:t xml:space="preserve">čiti </w:t>
      </w:r>
      <w:r w:rsidR="00FF33DD">
        <w:rPr>
          <w:bCs/>
        </w:rPr>
        <w:t xml:space="preserve">CV </w:t>
      </w:r>
      <w:r w:rsidR="00C1290D">
        <w:rPr>
          <w:bCs/>
        </w:rPr>
        <w:t xml:space="preserve">od 1 </w:t>
      </w:r>
      <w:proofErr w:type="spellStart"/>
      <w:r w:rsidR="00C1290D">
        <w:rPr>
          <w:bCs/>
        </w:rPr>
        <w:t>ng</w:t>
      </w:r>
      <w:proofErr w:type="spellEnd"/>
      <w:r w:rsidR="00C1290D">
        <w:rPr>
          <w:bCs/>
        </w:rPr>
        <w:t xml:space="preserve"> </w:t>
      </w:r>
      <w:r w:rsidRPr="001C7F86">
        <w:rPr>
          <w:bCs/>
        </w:rPr>
        <w:t>m</w:t>
      </w:r>
      <w:r w:rsidR="00C1290D" w:rsidRPr="00C1290D">
        <w:rPr>
          <w:bCs/>
          <w:vertAlign w:val="superscript"/>
        </w:rPr>
        <w:t>-</w:t>
      </w:r>
      <w:r w:rsidRPr="001C7F86">
        <w:rPr>
          <w:bCs/>
          <w:vertAlign w:val="superscript"/>
        </w:rPr>
        <w:t>3</w:t>
      </w:r>
      <w:r w:rsidRPr="001C7F86">
        <w:rPr>
          <w:bCs/>
        </w:rPr>
        <w:t xml:space="preserve"> u kalendarskoj godini. Za ostale PAU ciljane vrijednosti nisu propisane. Mjerenja ostalih PAU u PM</w:t>
      </w:r>
      <w:r w:rsidRPr="001C7F86">
        <w:rPr>
          <w:bCs/>
          <w:vertAlign w:val="subscript"/>
        </w:rPr>
        <w:t>10</w:t>
      </w:r>
      <w:r w:rsidRPr="001C7F86">
        <w:rPr>
          <w:bCs/>
        </w:rPr>
        <w:t>, benzo(a)antracena, benzo(b)</w:t>
      </w:r>
      <w:proofErr w:type="spellStart"/>
      <w:r w:rsidRPr="001C7F86">
        <w:rPr>
          <w:bCs/>
        </w:rPr>
        <w:t>fluorantena</w:t>
      </w:r>
      <w:proofErr w:type="spellEnd"/>
      <w:r w:rsidR="00232310">
        <w:rPr>
          <w:bCs/>
        </w:rPr>
        <w:t>,</w:t>
      </w:r>
      <w:r w:rsidRPr="001C7F86">
        <w:rPr>
          <w:bCs/>
        </w:rPr>
        <w:t xml:space="preserve"> benzo(j)</w:t>
      </w:r>
      <w:proofErr w:type="spellStart"/>
      <w:r w:rsidRPr="001C7F86">
        <w:rPr>
          <w:bCs/>
        </w:rPr>
        <w:t>fluorantena</w:t>
      </w:r>
      <w:proofErr w:type="spellEnd"/>
      <w:r w:rsidRPr="001C7F86">
        <w:rPr>
          <w:bCs/>
        </w:rPr>
        <w:t>, benzo(k)</w:t>
      </w:r>
      <w:proofErr w:type="spellStart"/>
      <w:r w:rsidRPr="001C7F86">
        <w:rPr>
          <w:bCs/>
        </w:rPr>
        <w:t>fluorantena</w:t>
      </w:r>
      <w:proofErr w:type="spellEnd"/>
      <w:r w:rsidRPr="001C7F86">
        <w:rPr>
          <w:bCs/>
        </w:rPr>
        <w:t xml:space="preserve">, </w:t>
      </w:r>
      <w:proofErr w:type="spellStart"/>
      <w:r w:rsidRPr="001C7F86">
        <w:rPr>
          <w:bCs/>
        </w:rPr>
        <w:t>indeno</w:t>
      </w:r>
      <w:proofErr w:type="spellEnd"/>
      <w:r w:rsidRPr="001C7F86">
        <w:rPr>
          <w:bCs/>
        </w:rPr>
        <w:t xml:space="preserve">(1,2,3,-cd)pirena i </w:t>
      </w:r>
      <w:proofErr w:type="spellStart"/>
      <w:r w:rsidRPr="001C7F86">
        <w:rPr>
          <w:bCs/>
        </w:rPr>
        <w:t>dibenzo</w:t>
      </w:r>
      <w:proofErr w:type="spellEnd"/>
      <w:r w:rsidRPr="001C7F86">
        <w:rPr>
          <w:bCs/>
        </w:rPr>
        <w:t>(</w:t>
      </w:r>
      <w:proofErr w:type="spellStart"/>
      <w:r w:rsidRPr="001C7F86">
        <w:rPr>
          <w:bCs/>
        </w:rPr>
        <w:t>a,h</w:t>
      </w:r>
      <w:proofErr w:type="spellEnd"/>
      <w:r w:rsidRPr="001C7F86">
        <w:rPr>
          <w:bCs/>
        </w:rPr>
        <w:t xml:space="preserve">)antracena nisu provođena. </w:t>
      </w:r>
    </w:p>
    <w:p w14:paraId="351F3F57" w14:textId="39EA3334" w:rsidR="00E54D29" w:rsidRDefault="00E54D29" w:rsidP="00317EE7">
      <w:pPr>
        <w:spacing w:after="120"/>
        <w:jc w:val="both"/>
        <w:rPr>
          <w:bCs/>
        </w:rPr>
      </w:pPr>
      <w:r w:rsidRPr="00E54D29">
        <w:rPr>
          <w:bCs/>
        </w:rPr>
        <w:t xml:space="preserve">Na osnovi analize rezultata mjerenja </w:t>
      </w:r>
      <w:r>
        <w:rPr>
          <w:bCs/>
        </w:rPr>
        <w:t xml:space="preserve">za 2015. godinu </w:t>
      </w:r>
      <w:r w:rsidRPr="00E54D29">
        <w:rPr>
          <w:bCs/>
        </w:rPr>
        <w:t>ocjenjeno je da su koncentracije BaP u PM</w:t>
      </w:r>
      <w:r w:rsidRPr="00E54D29">
        <w:rPr>
          <w:bCs/>
          <w:vertAlign w:val="subscript"/>
        </w:rPr>
        <w:t>10</w:t>
      </w:r>
      <w:r w:rsidRPr="00E54D29">
        <w:rPr>
          <w:bCs/>
        </w:rPr>
        <w:t xml:space="preserve"> bile više od propisanih ciljnih vrijednosti u aglomeraciji Zagreb na mjernim postajama Zagreb-1 i Zagreb-3 kao i u Industrijskoj zoni (HR 2) na mjernoj posta</w:t>
      </w:r>
      <w:r w:rsidR="00465FB6">
        <w:rPr>
          <w:bCs/>
        </w:rPr>
        <w:t>ji Sisak-1.</w:t>
      </w:r>
    </w:p>
    <w:p w14:paraId="0920D6F4" w14:textId="77777777" w:rsidR="00E42F82" w:rsidRDefault="00E42F82" w:rsidP="007E5335">
      <w:pPr>
        <w:spacing w:after="120"/>
        <w:jc w:val="both"/>
        <w:rPr>
          <w:bCs/>
          <w:i/>
        </w:rPr>
      </w:pPr>
    </w:p>
    <w:p w14:paraId="2A15A268" w14:textId="0AC02A3B" w:rsidR="00317EE7" w:rsidRPr="007E5335" w:rsidRDefault="00317EE7" w:rsidP="007E5335">
      <w:pPr>
        <w:spacing w:after="120"/>
        <w:jc w:val="both"/>
        <w:rPr>
          <w:bCs/>
          <w:i/>
        </w:rPr>
      </w:pPr>
      <w:r w:rsidRPr="007E5335">
        <w:rPr>
          <w:bCs/>
          <w:i/>
        </w:rPr>
        <w:t>Rezultati određivanja benzo(a)pirena (BaP) u česticama PM</w:t>
      </w:r>
      <w:r w:rsidRPr="007E5335">
        <w:rPr>
          <w:bCs/>
          <w:i/>
          <w:vertAlign w:val="subscript"/>
        </w:rPr>
        <w:t>10</w:t>
      </w:r>
      <w:r w:rsidRPr="007E5335">
        <w:rPr>
          <w:bCs/>
          <w:i/>
        </w:rPr>
        <w:t xml:space="preserve"> – 201</w:t>
      </w:r>
      <w:r w:rsidR="00E54D29" w:rsidRPr="007E5335">
        <w:rPr>
          <w:bCs/>
          <w:i/>
        </w:rPr>
        <w:t>6</w:t>
      </w:r>
      <w:r w:rsidRPr="007E5335">
        <w:rPr>
          <w:bCs/>
          <w:i/>
        </w:rPr>
        <w:t>. godina</w:t>
      </w:r>
    </w:p>
    <w:p w14:paraId="3D49C092" w14:textId="1DDC8CA0" w:rsidR="009658B4" w:rsidRPr="009658B4" w:rsidRDefault="00317EE7" w:rsidP="009658B4">
      <w:pPr>
        <w:spacing w:after="120"/>
        <w:jc w:val="both"/>
        <w:rPr>
          <w:bCs/>
        </w:rPr>
      </w:pPr>
      <w:r w:rsidRPr="00CB4024">
        <w:rPr>
          <w:bCs/>
        </w:rPr>
        <w:t>Za ocjenu onečišćenosti zona i aglomeracija u 201</w:t>
      </w:r>
      <w:r w:rsidR="00E54D29">
        <w:rPr>
          <w:bCs/>
        </w:rPr>
        <w:t>6</w:t>
      </w:r>
      <w:r w:rsidRPr="00CB4024">
        <w:rPr>
          <w:bCs/>
        </w:rPr>
        <w:t>. godini (ocjenu sukladnosti) s ciljevima zaštite okoliša propisanih Direktivom 2008/50/E</w:t>
      </w:r>
      <w:r w:rsidR="008979E2">
        <w:rPr>
          <w:bCs/>
        </w:rPr>
        <w:t>Z</w:t>
      </w:r>
      <w:r w:rsidR="00232310">
        <w:rPr>
          <w:bCs/>
        </w:rPr>
        <w:t xml:space="preserve"> Europskog parlamenta i V</w:t>
      </w:r>
      <w:r w:rsidR="00CC476B">
        <w:rPr>
          <w:bCs/>
        </w:rPr>
        <w:t xml:space="preserve">ijeća </w:t>
      </w:r>
      <w:r w:rsidR="00213934">
        <w:rPr>
          <w:bCs/>
        </w:rPr>
        <w:t xml:space="preserve">od 21. svibnja 2008. </w:t>
      </w:r>
      <w:r w:rsidR="00CC476B">
        <w:rPr>
          <w:bCs/>
        </w:rPr>
        <w:t xml:space="preserve">o </w:t>
      </w:r>
      <w:r w:rsidR="00CC476B">
        <w:rPr>
          <w:bCs/>
        </w:rPr>
        <w:lastRenderedPageBreak/>
        <w:t>kvaliteti zraka i čišćem zraku za Europu (</w:t>
      </w:r>
      <w:r w:rsidR="00213934">
        <w:rPr>
          <w:bCs/>
        </w:rPr>
        <w:t>SL L 152/1, 11.6.2008.)</w:t>
      </w:r>
      <w:r w:rsidRPr="00CB4024">
        <w:rPr>
          <w:bCs/>
        </w:rPr>
        <w:t xml:space="preserve"> sukladno popisu mjernih mjesta za ocjenu onečišćenosti obrađena su mjerenja benzo(a)pi</w:t>
      </w:r>
      <w:r w:rsidR="00B73AF2">
        <w:rPr>
          <w:bCs/>
        </w:rPr>
        <w:t>rena (BaP) s tri mjerne postaje (</w:t>
      </w:r>
      <w:r w:rsidRPr="00CB4024">
        <w:rPr>
          <w:bCs/>
        </w:rPr>
        <w:t>dvije mjerne postaje u aglomeraciji Zagreb</w:t>
      </w:r>
      <w:r w:rsidR="00465FB6">
        <w:rPr>
          <w:bCs/>
        </w:rPr>
        <w:t xml:space="preserve"> (Zagreb-1 i Zagreb-3)</w:t>
      </w:r>
      <w:r w:rsidRPr="00CB4024">
        <w:rPr>
          <w:bCs/>
        </w:rPr>
        <w:t xml:space="preserve"> te s jedne mjerne postaje u Industrijskoj zoni (Sisak-1)</w:t>
      </w:r>
      <w:r w:rsidR="00B73AF2">
        <w:rPr>
          <w:bCs/>
        </w:rPr>
        <w:t>)</w:t>
      </w:r>
      <w:r w:rsidRPr="00CB4024">
        <w:rPr>
          <w:bCs/>
        </w:rPr>
        <w:t xml:space="preserve">. </w:t>
      </w:r>
      <w:r w:rsidR="009658B4">
        <w:rPr>
          <w:bCs/>
        </w:rPr>
        <w:t>Za 2016</w:t>
      </w:r>
      <w:r w:rsidR="009658B4" w:rsidRPr="009658B4">
        <w:rPr>
          <w:bCs/>
        </w:rPr>
        <w:t>. godinu obrađen</w:t>
      </w:r>
      <w:r w:rsidR="009658B4">
        <w:rPr>
          <w:bCs/>
        </w:rPr>
        <w:t>a su mjerenja BaP u PM</w:t>
      </w:r>
      <w:r w:rsidR="009658B4" w:rsidRPr="00B73AF2">
        <w:rPr>
          <w:bCs/>
          <w:vertAlign w:val="subscript"/>
        </w:rPr>
        <w:t>10</w:t>
      </w:r>
      <w:r w:rsidR="009658B4">
        <w:rPr>
          <w:bCs/>
        </w:rPr>
        <w:t xml:space="preserve"> s </w:t>
      </w:r>
      <w:r w:rsidR="00C5461F">
        <w:rPr>
          <w:bCs/>
        </w:rPr>
        <w:t>prethodno</w:t>
      </w:r>
      <w:r w:rsidR="009658B4">
        <w:rPr>
          <w:bCs/>
        </w:rPr>
        <w:t xml:space="preserve"> navedene tri</w:t>
      </w:r>
      <w:r w:rsidR="009658B4" w:rsidRPr="009658B4">
        <w:rPr>
          <w:bCs/>
        </w:rPr>
        <w:t xml:space="preserve"> mjerne postaje (Izvor: Godišnje izvješće o praćenju kvalitete zraka na području Republike Hrvatske za 201</w:t>
      </w:r>
      <w:r w:rsidR="009658B4">
        <w:rPr>
          <w:bCs/>
        </w:rPr>
        <w:t>6</w:t>
      </w:r>
      <w:r w:rsidR="009658B4" w:rsidRPr="009658B4">
        <w:rPr>
          <w:bCs/>
        </w:rPr>
        <w:t>. godinu, HAOP, 201</w:t>
      </w:r>
      <w:r w:rsidR="009658B4">
        <w:rPr>
          <w:bCs/>
        </w:rPr>
        <w:t>7</w:t>
      </w:r>
      <w:r w:rsidR="009658B4" w:rsidRPr="009658B4">
        <w:rPr>
          <w:bCs/>
        </w:rPr>
        <w:t>.)</w:t>
      </w:r>
      <w:r w:rsidR="009658B4">
        <w:rPr>
          <w:bCs/>
        </w:rPr>
        <w:t xml:space="preserve">. </w:t>
      </w:r>
    </w:p>
    <w:p w14:paraId="09A9A291" w14:textId="1D8B459B" w:rsidR="00317EE7" w:rsidRPr="00CB4024" w:rsidRDefault="00317EE7" w:rsidP="00317EE7">
      <w:pPr>
        <w:spacing w:after="120"/>
        <w:jc w:val="both"/>
        <w:rPr>
          <w:bCs/>
        </w:rPr>
      </w:pPr>
      <w:r w:rsidRPr="00CB4024">
        <w:rPr>
          <w:bCs/>
        </w:rPr>
        <w:t>Sumarni statistički podaci koncentracija mjerenja BaP u PM</w:t>
      </w:r>
      <w:r w:rsidRPr="00C1290D">
        <w:rPr>
          <w:bCs/>
          <w:vertAlign w:val="subscript"/>
        </w:rPr>
        <w:t>10</w:t>
      </w:r>
      <w:r w:rsidRPr="00CB4024">
        <w:rPr>
          <w:bCs/>
        </w:rPr>
        <w:t xml:space="preserve"> te drugih </w:t>
      </w:r>
      <w:r w:rsidR="008C60B9">
        <w:rPr>
          <w:bCs/>
        </w:rPr>
        <w:t>PAU u PM</w:t>
      </w:r>
      <w:r w:rsidR="008C60B9" w:rsidRPr="004B44BB">
        <w:rPr>
          <w:bCs/>
          <w:vertAlign w:val="subscript"/>
        </w:rPr>
        <w:t>10</w:t>
      </w:r>
      <w:r w:rsidR="008C60B9">
        <w:rPr>
          <w:bCs/>
        </w:rPr>
        <w:t xml:space="preserve"> (benzo(a)antracen</w:t>
      </w:r>
      <w:r w:rsidR="00232310">
        <w:rPr>
          <w:bCs/>
        </w:rPr>
        <w:t>,</w:t>
      </w:r>
      <w:r w:rsidR="008C60B9">
        <w:rPr>
          <w:bCs/>
        </w:rPr>
        <w:t xml:space="preserve"> benzo(b)</w:t>
      </w:r>
      <w:proofErr w:type="spellStart"/>
      <w:r w:rsidR="008C60B9">
        <w:rPr>
          <w:bCs/>
        </w:rPr>
        <w:t>fluoranten</w:t>
      </w:r>
      <w:proofErr w:type="spellEnd"/>
      <w:r w:rsidR="008C60B9">
        <w:rPr>
          <w:bCs/>
        </w:rPr>
        <w:t>, benzo(j)</w:t>
      </w:r>
      <w:proofErr w:type="spellStart"/>
      <w:r w:rsidR="008C60B9">
        <w:rPr>
          <w:bCs/>
        </w:rPr>
        <w:t>fluoranten</w:t>
      </w:r>
      <w:proofErr w:type="spellEnd"/>
      <w:r w:rsidR="008C60B9">
        <w:rPr>
          <w:bCs/>
        </w:rPr>
        <w:t>, benzo(k)</w:t>
      </w:r>
      <w:proofErr w:type="spellStart"/>
      <w:r w:rsidR="008C60B9">
        <w:rPr>
          <w:bCs/>
        </w:rPr>
        <w:t>fluoranten</w:t>
      </w:r>
      <w:proofErr w:type="spellEnd"/>
      <w:r w:rsidR="008C60B9">
        <w:rPr>
          <w:bCs/>
        </w:rPr>
        <w:t xml:space="preserve">, </w:t>
      </w:r>
      <w:proofErr w:type="spellStart"/>
      <w:r w:rsidR="008C60B9">
        <w:rPr>
          <w:bCs/>
        </w:rPr>
        <w:t>indeno</w:t>
      </w:r>
      <w:proofErr w:type="spellEnd"/>
      <w:r w:rsidR="008C60B9">
        <w:rPr>
          <w:bCs/>
        </w:rPr>
        <w:t xml:space="preserve">(1,2,3,-cd)piren, </w:t>
      </w:r>
      <w:proofErr w:type="spellStart"/>
      <w:r w:rsidR="008C60B9">
        <w:rPr>
          <w:bCs/>
        </w:rPr>
        <w:t>d</w:t>
      </w:r>
      <w:r w:rsidRPr="00CB4024">
        <w:rPr>
          <w:bCs/>
        </w:rPr>
        <w:t>ibenzo</w:t>
      </w:r>
      <w:proofErr w:type="spellEnd"/>
      <w:r w:rsidRPr="00CB4024">
        <w:rPr>
          <w:bCs/>
        </w:rPr>
        <w:t>(</w:t>
      </w:r>
      <w:proofErr w:type="spellStart"/>
      <w:r w:rsidRPr="00CB4024">
        <w:rPr>
          <w:bCs/>
        </w:rPr>
        <w:t>a,h</w:t>
      </w:r>
      <w:proofErr w:type="spellEnd"/>
      <w:r w:rsidRPr="00CB4024">
        <w:rPr>
          <w:bCs/>
        </w:rPr>
        <w:t>)antracen) dobivenih mjerenjem kao i ocjena onečišćenosti</w:t>
      </w:r>
      <w:r w:rsidR="009658B4">
        <w:rPr>
          <w:bCs/>
        </w:rPr>
        <w:t xml:space="preserve"> u 2016. godini </w:t>
      </w:r>
      <w:r w:rsidRPr="00CB4024">
        <w:rPr>
          <w:bCs/>
        </w:rPr>
        <w:t xml:space="preserve"> prikazani su u tablici u nastavku.</w:t>
      </w:r>
    </w:p>
    <w:p w14:paraId="4BCE392A" w14:textId="0A5348CE" w:rsidR="00317EE7" w:rsidRPr="00CB4024" w:rsidRDefault="00317EE7" w:rsidP="00317EE7">
      <w:pPr>
        <w:spacing w:after="120"/>
        <w:jc w:val="both"/>
        <w:rPr>
          <w:bCs/>
        </w:rPr>
      </w:pPr>
      <w:r w:rsidRPr="00CB4024">
        <w:rPr>
          <w:bCs/>
        </w:rPr>
        <w:t>Srednja godišnja koncentracija BaP u PM</w:t>
      </w:r>
      <w:r w:rsidRPr="00C1290D">
        <w:rPr>
          <w:bCs/>
          <w:vertAlign w:val="subscript"/>
        </w:rPr>
        <w:t>10</w:t>
      </w:r>
      <w:r w:rsidRPr="00CB4024">
        <w:rPr>
          <w:bCs/>
        </w:rPr>
        <w:t xml:space="preserve"> </w:t>
      </w:r>
      <w:r w:rsidR="00C1290D">
        <w:rPr>
          <w:bCs/>
        </w:rPr>
        <w:t xml:space="preserve">ne smije prekoračiti CV od 1 </w:t>
      </w:r>
      <w:proofErr w:type="spellStart"/>
      <w:r w:rsidR="00C1290D">
        <w:rPr>
          <w:bCs/>
        </w:rPr>
        <w:t>ng</w:t>
      </w:r>
      <w:proofErr w:type="spellEnd"/>
      <w:r w:rsidR="00C1290D">
        <w:rPr>
          <w:bCs/>
        </w:rPr>
        <w:t xml:space="preserve"> </w:t>
      </w:r>
      <w:r w:rsidRPr="00CB4024">
        <w:rPr>
          <w:bCs/>
        </w:rPr>
        <w:t>m</w:t>
      </w:r>
      <w:r w:rsidR="00C1290D" w:rsidRPr="00C1290D">
        <w:rPr>
          <w:bCs/>
          <w:vertAlign w:val="superscript"/>
        </w:rPr>
        <w:t>-</w:t>
      </w:r>
      <w:r w:rsidRPr="00C1290D">
        <w:rPr>
          <w:bCs/>
          <w:vertAlign w:val="superscript"/>
        </w:rPr>
        <w:t>3</w:t>
      </w:r>
      <w:r w:rsidRPr="00CB4024">
        <w:rPr>
          <w:bCs/>
        </w:rPr>
        <w:t xml:space="preserve"> u kalendarskoj godini. Za ostale PAU </w:t>
      </w:r>
      <w:r w:rsidR="00FF33DD">
        <w:rPr>
          <w:bCs/>
        </w:rPr>
        <w:t>granična vrijednost (</w:t>
      </w:r>
      <w:r w:rsidRPr="00CB4024">
        <w:rPr>
          <w:bCs/>
        </w:rPr>
        <w:t>GV</w:t>
      </w:r>
      <w:r w:rsidR="00FF33DD">
        <w:rPr>
          <w:bCs/>
        </w:rPr>
        <w:t>)</w:t>
      </w:r>
      <w:r w:rsidRPr="00CB4024">
        <w:rPr>
          <w:bCs/>
        </w:rPr>
        <w:t xml:space="preserve"> i/ili CV nisu propisane.</w:t>
      </w:r>
    </w:p>
    <w:p w14:paraId="4173EBB5" w14:textId="77777777" w:rsidR="00317EE7" w:rsidRDefault="00317EE7" w:rsidP="00317EE7">
      <w:pPr>
        <w:spacing w:after="120"/>
        <w:jc w:val="both"/>
        <w:rPr>
          <w:bCs/>
        </w:rPr>
      </w:pPr>
      <w:r w:rsidRPr="00CB4024">
        <w:rPr>
          <w:bCs/>
        </w:rPr>
        <w:t>Srednje godišnje vrijednosti zaokružuju se na jednaki broj decimalnih mjesta kao što ga ima i ciljna vrijednost.</w:t>
      </w:r>
    </w:p>
    <w:p w14:paraId="321973CF" w14:textId="0EA27032" w:rsidR="00317EE7" w:rsidRPr="00465FB6" w:rsidRDefault="00465FB6" w:rsidP="007E5335">
      <w:pPr>
        <w:pStyle w:val="06Text"/>
        <w:spacing w:before="0" w:after="120" w:line="240" w:lineRule="auto"/>
        <w:jc w:val="left"/>
        <w:rPr>
          <w:rFonts w:ascii="Times New Roman" w:hAnsi="Times New Roman"/>
          <w:i/>
          <w:sz w:val="24"/>
          <w:szCs w:val="24"/>
        </w:rPr>
      </w:pPr>
      <w:r w:rsidRPr="00465FB6">
        <w:rPr>
          <w:rFonts w:ascii="Times New Roman" w:eastAsia="Times New Roman" w:hAnsi="Times New Roman"/>
          <w:i/>
          <w:color w:val="000000"/>
          <w:sz w:val="24"/>
          <w:szCs w:val="24"/>
          <w:lang w:eastAsia="hr-HR"/>
        </w:rPr>
        <w:t xml:space="preserve">Tablica 2.3-3:  </w:t>
      </w:r>
      <w:r w:rsidR="00317EE7" w:rsidRPr="00465FB6">
        <w:rPr>
          <w:rFonts w:ascii="Times New Roman" w:hAnsi="Times New Roman"/>
          <w:i/>
          <w:sz w:val="24"/>
          <w:szCs w:val="24"/>
        </w:rPr>
        <w:t xml:space="preserve">Sumarni statistički podaci koncentracija </w:t>
      </w:r>
      <w:r w:rsidR="00C90C55" w:rsidRPr="00465FB6">
        <w:rPr>
          <w:rFonts w:ascii="Times New Roman" w:hAnsi="Times New Roman"/>
          <w:i/>
          <w:sz w:val="24"/>
          <w:szCs w:val="24"/>
        </w:rPr>
        <w:t xml:space="preserve">BaP </w:t>
      </w:r>
      <w:r w:rsidR="00317EE7" w:rsidRPr="00465FB6">
        <w:rPr>
          <w:rFonts w:ascii="Times New Roman" w:hAnsi="Times New Roman"/>
          <w:i/>
          <w:sz w:val="24"/>
          <w:szCs w:val="24"/>
        </w:rPr>
        <w:t>i ostalih PAU u lebdećim česticama PM</w:t>
      </w:r>
      <w:r w:rsidR="00317EE7" w:rsidRPr="00465FB6">
        <w:rPr>
          <w:rFonts w:ascii="Times New Roman" w:hAnsi="Times New Roman"/>
          <w:i/>
          <w:sz w:val="24"/>
          <w:szCs w:val="24"/>
          <w:vertAlign w:val="subscript"/>
        </w:rPr>
        <w:t>10</w:t>
      </w:r>
      <w:r w:rsidR="00317EE7" w:rsidRPr="00465FB6">
        <w:rPr>
          <w:rFonts w:ascii="Times New Roman" w:hAnsi="Times New Roman"/>
          <w:i/>
          <w:sz w:val="24"/>
          <w:szCs w:val="24"/>
        </w:rPr>
        <w:t xml:space="preserve"> u z</w:t>
      </w:r>
      <w:r w:rsidR="00C5461F" w:rsidRPr="00C5461F">
        <w:rPr>
          <w:rFonts w:ascii="Times New Roman" w:hAnsi="Times New Roman"/>
          <w:i/>
          <w:sz w:val="24"/>
          <w:szCs w:val="24"/>
        </w:rPr>
        <w:t xml:space="preserve">raku i ocjena onečišćenosti (sukladnosti) u 2016. godini </w:t>
      </w:r>
      <w:r w:rsidR="009D1C71" w:rsidRPr="00F247BD">
        <w:rPr>
          <w:noProof/>
          <w:lang w:eastAsia="hr-HR"/>
        </w:rPr>
        <w:drawing>
          <wp:inline distT="0" distB="0" distL="0" distR="0" wp14:anchorId="6D34F48D" wp14:editId="202E7486">
            <wp:extent cx="6120130" cy="45580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4558030"/>
                    </a:xfrm>
                    <a:prstGeom prst="rect">
                      <a:avLst/>
                    </a:prstGeom>
                    <a:noFill/>
                    <a:ln>
                      <a:noFill/>
                    </a:ln>
                  </pic:spPr>
                </pic:pic>
              </a:graphicData>
            </a:graphic>
          </wp:inline>
        </w:drawing>
      </w:r>
    </w:p>
    <w:p w14:paraId="3E654023" w14:textId="666319D6" w:rsidR="00A502E4" w:rsidRDefault="00A502E4" w:rsidP="00772EC3">
      <w:pPr>
        <w:pStyle w:val="06Text"/>
        <w:spacing w:before="0" w:after="120" w:line="240" w:lineRule="auto"/>
        <w:jc w:val="center"/>
        <w:rPr>
          <w:rFonts w:ascii="Times New Roman" w:hAnsi="Times New Roman"/>
          <w:i/>
          <w:szCs w:val="20"/>
        </w:rPr>
      </w:pPr>
    </w:p>
    <w:tbl>
      <w:tblPr>
        <w:tblW w:w="8242" w:type="dxa"/>
        <w:tblInd w:w="93" w:type="dxa"/>
        <w:tblLook w:val="04A0" w:firstRow="1" w:lastRow="0" w:firstColumn="1" w:lastColumn="0" w:noHBand="0" w:noVBand="1"/>
      </w:tblPr>
      <w:tblGrid>
        <w:gridCol w:w="1149"/>
        <w:gridCol w:w="7093"/>
      </w:tblGrid>
      <w:tr w:rsidR="00A502E4" w:rsidRPr="00A502E4" w14:paraId="79839163" w14:textId="77777777" w:rsidTr="00A502E4">
        <w:trPr>
          <w:trHeight w:val="174"/>
        </w:trPr>
        <w:tc>
          <w:tcPr>
            <w:tcW w:w="1149" w:type="dxa"/>
            <w:tcBorders>
              <w:top w:val="nil"/>
              <w:left w:val="nil"/>
              <w:bottom w:val="nil"/>
              <w:right w:val="nil"/>
            </w:tcBorders>
            <w:shd w:val="clear" w:color="auto" w:fill="auto"/>
            <w:noWrap/>
            <w:vAlign w:val="bottom"/>
            <w:hideMark/>
          </w:tcPr>
          <w:p w14:paraId="22A030D9" w14:textId="77777777" w:rsidR="00A502E4" w:rsidRPr="001C6342" w:rsidRDefault="00A502E4" w:rsidP="00A502E4">
            <w:pPr>
              <w:rPr>
                <w:sz w:val="20"/>
                <w:szCs w:val="20"/>
                <w:u w:val="single"/>
              </w:rPr>
            </w:pPr>
            <w:r w:rsidRPr="001C6342">
              <w:rPr>
                <w:sz w:val="20"/>
                <w:szCs w:val="20"/>
                <w:u w:val="single"/>
              </w:rPr>
              <w:t>Legenda:</w:t>
            </w:r>
          </w:p>
        </w:tc>
        <w:tc>
          <w:tcPr>
            <w:tcW w:w="7093" w:type="dxa"/>
            <w:tcBorders>
              <w:top w:val="nil"/>
              <w:left w:val="nil"/>
              <w:bottom w:val="nil"/>
              <w:right w:val="nil"/>
            </w:tcBorders>
            <w:shd w:val="clear" w:color="auto" w:fill="auto"/>
            <w:noWrap/>
            <w:vAlign w:val="bottom"/>
            <w:hideMark/>
          </w:tcPr>
          <w:p w14:paraId="767ECCCB" w14:textId="77777777" w:rsidR="00A502E4" w:rsidRPr="001C6342" w:rsidRDefault="00A502E4" w:rsidP="00A502E4">
            <w:pPr>
              <w:rPr>
                <w:sz w:val="20"/>
                <w:szCs w:val="20"/>
              </w:rPr>
            </w:pPr>
          </w:p>
        </w:tc>
      </w:tr>
      <w:tr w:rsidR="00A502E4" w:rsidRPr="00A502E4" w14:paraId="77167EA7" w14:textId="77777777" w:rsidTr="00A502E4">
        <w:trPr>
          <w:trHeight w:val="174"/>
        </w:trPr>
        <w:tc>
          <w:tcPr>
            <w:tcW w:w="1149" w:type="dxa"/>
            <w:tcBorders>
              <w:top w:val="nil"/>
              <w:left w:val="nil"/>
              <w:bottom w:val="nil"/>
              <w:right w:val="nil"/>
            </w:tcBorders>
            <w:shd w:val="clear" w:color="auto" w:fill="auto"/>
            <w:noWrap/>
            <w:vAlign w:val="center"/>
            <w:hideMark/>
          </w:tcPr>
          <w:p w14:paraId="476D76BB" w14:textId="77777777" w:rsidR="00A502E4" w:rsidRPr="001C6342" w:rsidRDefault="00A502E4" w:rsidP="00A502E4">
            <w:pPr>
              <w:rPr>
                <w:color w:val="0070C0"/>
                <w:sz w:val="20"/>
                <w:szCs w:val="20"/>
              </w:rPr>
            </w:pPr>
            <w:r w:rsidRPr="001C6342">
              <w:rPr>
                <w:color w:val="0070C0"/>
                <w:sz w:val="20"/>
                <w:szCs w:val="20"/>
              </w:rPr>
              <w:t>Plavo</w:t>
            </w:r>
          </w:p>
        </w:tc>
        <w:tc>
          <w:tcPr>
            <w:tcW w:w="7093" w:type="dxa"/>
            <w:tcBorders>
              <w:top w:val="nil"/>
              <w:left w:val="nil"/>
              <w:bottom w:val="nil"/>
              <w:right w:val="nil"/>
            </w:tcBorders>
            <w:shd w:val="clear" w:color="auto" w:fill="auto"/>
            <w:noWrap/>
            <w:vAlign w:val="center"/>
            <w:hideMark/>
          </w:tcPr>
          <w:p w14:paraId="4D70AFD6" w14:textId="77777777" w:rsidR="00A502E4" w:rsidRPr="001C6342" w:rsidRDefault="00A502E4" w:rsidP="00A502E4">
            <w:pPr>
              <w:rPr>
                <w:color w:val="000000"/>
                <w:sz w:val="20"/>
                <w:szCs w:val="20"/>
              </w:rPr>
            </w:pPr>
            <w:r w:rsidRPr="001C6342">
              <w:rPr>
                <w:color w:val="000000"/>
                <w:sz w:val="20"/>
                <w:szCs w:val="20"/>
              </w:rPr>
              <w:t>Obuhvat podataka manji od 85%</w:t>
            </w:r>
          </w:p>
        </w:tc>
      </w:tr>
      <w:tr w:rsidR="00A502E4" w:rsidRPr="00A502E4" w14:paraId="10A04C96" w14:textId="77777777" w:rsidTr="00A502E4">
        <w:trPr>
          <w:trHeight w:val="174"/>
        </w:trPr>
        <w:tc>
          <w:tcPr>
            <w:tcW w:w="1149" w:type="dxa"/>
            <w:tcBorders>
              <w:top w:val="nil"/>
              <w:left w:val="nil"/>
              <w:bottom w:val="nil"/>
              <w:right w:val="nil"/>
            </w:tcBorders>
            <w:shd w:val="clear" w:color="auto" w:fill="auto"/>
            <w:noWrap/>
            <w:vAlign w:val="center"/>
            <w:hideMark/>
          </w:tcPr>
          <w:p w14:paraId="3505CBAC" w14:textId="77777777" w:rsidR="00A502E4" w:rsidRPr="001C6342" w:rsidRDefault="00A502E4" w:rsidP="00A502E4">
            <w:pPr>
              <w:rPr>
                <w:color w:val="FF0000"/>
                <w:sz w:val="20"/>
                <w:szCs w:val="20"/>
              </w:rPr>
            </w:pPr>
            <w:r w:rsidRPr="001C6342">
              <w:rPr>
                <w:color w:val="FF0000"/>
                <w:sz w:val="20"/>
                <w:szCs w:val="20"/>
              </w:rPr>
              <w:t>Crveno</w:t>
            </w:r>
          </w:p>
        </w:tc>
        <w:tc>
          <w:tcPr>
            <w:tcW w:w="7093" w:type="dxa"/>
            <w:tcBorders>
              <w:top w:val="nil"/>
              <w:left w:val="nil"/>
              <w:bottom w:val="nil"/>
              <w:right w:val="nil"/>
            </w:tcBorders>
            <w:shd w:val="clear" w:color="auto" w:fill="auto"/>
            <w:noWrap/>
            <w:vAlign w:val="center"/>
            <w:hideMark/>
          </w:tcPr>
          <w:p w14:paraId="3A635AD4" w14:textId="77777777" w:rsidR="00A502E4" w:rsidRPr="001C6342" w:rsidRDefault="00A502E4" w:rsidP="00A502E4">
            <w:pPr>
              <w:rPr>
                <w:color w:val="000000"/>
                <w:sz w:val="20"/>
                <w:szCs w:val="20"/>
              </w:rPr>
            </w:pPr>
            <w:r w:rsidRPr="001C6342">
              <w:rPr>
                <w:color w:val="000000"/>
                <w:sz w:val="20"/>
                <w:szCs w:val="20"/>
              </w:rPr>
              <w:t>Prekoračena srednja godišnja CV</w:t>
            </w:r>
          </w:p>
        </w:tc>
      </w:tr>
      <w:tr w:rsidR="00A502E4" w:rsidRPr="00A502E4" w14:paraId="14FD0C53" w14:textId="77777777" w:rsidTr="00A502E4">
        <w:trPr>
          <w:trHeight w:val="174"/>
        </w:trPr>
        <w:tc>
          <w:tcPr>
            <w:tcW w:w="1149" w:type="dxa"/>
            <w:tcBorders>
              <w:top w:val="nil"/>
              <w:left w:val="nil"/>
              <w:bottom w:val="nil"/>
              <w:right w:val="nil"/>
            </w:tcBorders>
            <w:shd w:val="clear" w:color="000000" w:fill="EE1010"/>
            <w:noWrap/>
            <w:vAlign w:val="center"/>
            <w:hideMark/>
          </w:tcPr>
          <w:p w14:paraId="70A6DA99" w14:textId="77777777" w:rsidR="00A502E4" w:rsidRPr="001C6342" w:rsidRDefault="00A502E4" w:rsidP="00A502E4">
            <w:pPr>
              <w:jc w:val="center"/>
              <w:rPr>
                <w:sz w:val="20"/>
                <w:szCs w:val="20"/>
              </w:rPr>
            </w:pPr>
            <w:r w:rsidRPr="001C6342">
              <w:rPr>
                <w:sz w:val="20"/>
                <w:szCs w:val="20"/>
              </w:rPr>
              <w:t> </w:t>
            </w:r>
          </w:p>
        </w:tc>
        <w:tc>
          <w:tcPr>
            <w:tcW w:w="7093" w:type="dxa"/>
            <w:tcBorders>
              <w:top w:val="nil"/>
              <w:left w:val="nil"/>
              <w:bottom w:val="nil"/>
              <w:right w:val="nil"/>
            </w:tcBorders>
            <w:shd w:val="clear" w:color="auto" w:fill="auto"/>
            <w:noWrap/>
            <w:vAlign w:val="bottom"/>
            <w:hideMark/>
          </w:tcPr>
          <w:p w14:paraId="4C1D240E" w14:textId="77777777" w:rsidR="00A502E4" w:rsidRPr="001C6342" w:rsidRDefault="00A502E4" w:rsidP="00A502E4">
            <w:pPr>
              <w:rPr>
                <w:sz w:val="20"/>
                <w:szCs w:val="20"/>
              </w:rPr>
            </w:pPr>
            <w:r w:rsidRPr="001C6342">
              <w:rPr>
                <w:sz w:val="20"/>
                <w:szCs w:val="20"/>
              </w:rPr>
              <w:t>Nesukladno s ciljevima zaštite okoliša (prekoračena CV)</w:t>
            </w:r>
          </w:p>
        </w:tc>
      </w:tr>
      <w:tr w:rsidR="00A502E4" w:rsidRPr="00A502E4" w14:paraId="2B5514D4" w14:textId="77777777" w:rsidTr="00A502E4">
        <w:trPr>
          <w:trHeight w:val="174"/>
        </w:trPr>
        <w:tc>
          <w:tcPr>
            <w:tcW w:w="1149" w:type="dxa"/>
            <w:tcBorders>
              <w:top w:val="nil"/>
              <w:left w:val="nil"/>
              <w:bottom w:val="nil"/>
              <w:right w:val="nil"/>
            </w:tcBorders>
            <w:shd w:val="clear" w:color="000000" w:fill="D2FFBE"/>
            <w:noWrap/>
            <w:vAlign w:val="center"/>
            <w:hideMark/>
          </w:tcPr>
          <w:p w14:paraId="4ACE7A75" w14:textId="77777777" w:rsidR="00A502E4" w:rsidRPr="001C6342" w:rsidRDefault="00A502E4" w:rsidP="00A502E4">
            <w:pPr>
              <w:jc w:val="center"/>
              <w:rPr>
                <w:sz w:val="20"/>
                <w:szCs w:val="20"/>
              </w:rPr>
            </w:pPr>
            <w:r w:rsidRPr="001C6342">
              <w:rPr>
                <w:sz w:val="20"/>
                <w:szCs w:val="20"/>
              </w:rPr>
              <w:t> </w:t>
            </w:r>
          </w:p>
        </w:tc>
        <w:tc>
          <w:tcPr>
            <w:tcW w:w="7093" w:type="dxa"/>
            <w:tcBorders>
              <w:top w:val="nil"/>
              <w:left w:val="nil"/>
              <w:bottom w:val="nil"/>
              <w:right w:val="nil"/>
            </w:tcBorders>
            <w:shd w:val="clear" w:color="auto" w:fill="auto"/>
            <w:noWrap/>
            <w:vAlign w:val="bottom"/>
            <w:hideMark/>
          </w:tcPr>
          <w:p w14:paraId="6E3CBE15" w14:textId="77777777" w:rsidR="00A502E4" w:rsidRPr="001C6342" w:rsidRDefault="00A502E4" w:rsidP="00A502E4">
            <w:pPr>
              <w:rPr>
                <w:sz w:val="20"/>
                <w:szCs w:val="20"/>
              </w:rPr>
            </w:pPr>
            <w:r w:rsidRPr="001C6342">
              <w:rPr>
                <w:sz w:val="20"/>
                <w:szCs w:val="20"/>
              </w:rPr>
              <w:t>Sukladno s ciljevima zaštite okoliša (nije prekoračena CV)</w:t>
            </w:r>
          </w:p>
        </w:tc>
      </w:tr>
      <w:tr w:rsidR="00A502E4" w:rsidRPr="00A502E4" w14:paraId="612050A9" w14:textId="77777777" w:rsidTr="00A502E4">
        <w:trPr>
          <w:trHeight w:val="174"/>
        </w:trPr>
        <w:tc>
          <w:tcPr>
            <w:tcW w:w="1149" w:type="dxa"/>
            <w:tcBorders>
              <w:top w:val="nil"/>
              <w:left w:val="nil"/>
              <w:bottom w:val="nil"/>
              <w:right w:val="nil"/>
            </w:tcBorders>
            <w:shd w:val="clear" w:color="000000" w:fill="E1E1E1"/>
            <w:noWrap/>
            <w:vAlign w:val="center"/>
            <w:hideMark/>
          </w:tcPr>
          <w:p w14:paraId="7A0CE3C0" w14:textId="77777777" w:rsidR="00A502E4" w:rsidRPr="001C6342" w:rsidRDefault="00A502E4" w:rsidP="00A502E4">
            <w:pPr>
              <w:jc w:val="center"/>
              <w:rPr>
                <w:sz w:val="20"/>
                <w:szCs w:val="20"/>
              </w:rPr>
            </w:pPr>
            <w:r w:rsidRPr="001C6342">
              <w:rPr>
                <w:sz w:val="20"/>
                <w:szCs w:val="20"/>
              </w:rPr>
              <w:t> </w:t>
            </w:r>
          </w:p>
        </w:tc>
        <w:tc>
          <w:tcPr>
            <w:tcW w:w="7093" w:type="dxa"/>
            <w:tcBorders>
              <w:top w:val="nil"/>
              <w:left w:val="nil"/>
              <w:bottom w:val="nil"/>
              <w:right w:val="nil"/>
            </w:tcBorders>
            <w:shd w:val="clear" w:color="auto" w:fill="auto"/>
            <w:noWrap/>
            <w:vAlign w:val="bottom"/>
            <w:hideMark/>
          </w:tcPr>
          <w:p w14:paraId="5B8A3BAD" w14:textId="77777777" w:rsidR="00A502E4" w:rsidRPr="001C6342" w:rsidRDefault="00A502E4" w:rsidP="00A502E4">
            <w:pPr>
              <w:rPr>
                <w:sz w:val="20"/>
                <w:szCs w:val="20"/>
              </w:rPr>
            </w:pPr>
            <w:r w:rsidRPr="001C6342">
              <w:rPr>
                <w:sz w:val="20"/>
                <w:szCs w:val="20"/>
              </w:rPr>
              <w:t>Neocijenjeno</w:t>
            </w:r>
          </w:p>
        </w:tc>
      </w:tr>
      <w:tr w:rsidR="00A502E4" w:rsidRPr="00A502E4" w14:paraId="0920910A" w14:textId="77777777" w:rsidTr="00A502E4">
        <w:trPr>
          <w:trHeight w:val="174"/>
        </w:trPr>
        <w:tc>
          <w:tcPr>
            <w:tcW w:w="1149" w:type="dxa"/>
            <w:tcBorders>
              <w:top w:val="nil"/>
              <w:left w:val="nil"/>
              <w:bottom w:val="nil"/>
              <w:right w:val="nil"/>
            </w:tcBorders>
            <w:shd w:val="clear" w:color="auto" w:fill="auto"/>
            <w:noWrap/>
            <w:vAlign w:val="bottom"/>
            <w:hideMark/>
          </w:tcPr>
          <w:p w14:paraId="2FC3440E" w14:textId="77777777" w:rsidR="00A502E4" w:rsidRPr="001C6342" w:rsidRDefault="00A502E4" w:rsidP="00A502E4">
            <w:pPr>
              <w:rPr>
                <w:sz w:val="20"/>
                <w:szCs w:val="20"/>
              </w:rPr>
            </w:pPr>
            <w:r w:rsidRPr="001C6342">
              <w:rPr>
                <w:sz w:val="20"/>
                <w:szCs w:val="20"/>
              </w:rPr>
              <w:t>*</w:t>
            </w:r>
          </w:p>
        </w:tc>
        <w:tc>
          <w:tcPr>
            <w:tcW w:w="7093" w:type="dxa"/>
            <w:tcBorders>
              <w:top w:val="nil"/>
              <w:left w:val="nil"/>
              <w:bottom w:val="nil"/>
              <w:right w:val="nil"/>
            </w:tcBorders>
            <w:shd w:val="clear" w:color="auto" w:fill="auto"/>
            <w:noWrap/>
            <w:vAlign w:val="bottom"/>
            <w:hideMark/>
          </w:tcPr>
          <w:p w14:paraId="71168CB3" w14:textId="77777777" w:rsidR="00A502E4" w:rsidRPr="001C6342" w:rsidRDefault="00A502E4" w:rsidP="00A502E4">
            <w:pPr>
              <w:rPr>
                <w:sz w:val="20"/>
                <w:szCs w:val="20"/>
              </w:rPr>
            </w:pPr>
            <w:r w:rsidRPr="001C6342">
              <w:rPr>
                <w:sz w:val="20"/>
                <w:szCs w:val="20"/>
              </w:rPr>
              <w:t>ne koristi se za ocjenu sukladnosti</w:t>
            </w:r>
          </w:p>
        </w:tc>
      </w:tr>
      <w:tr w:rsidR="00A502E4" w:rsidRPr="00A502E4" w14:paraId="0D357E0B" w14:textId="77777777" w:rsidTr="00A502E4">
        <w:trPr>
          <w:trHeight w:val="174"/>
        </w:trPr>
        <w:tc>
          <w:tcPr>
            <w:tcW w:w="1149" w:type="dxa"/>
            <w:tcBorders>
              <w:top w:val="nil"/>
              <w:left w:val="nil"/>
              <w:bottom w:val="nil"/>
              <w:right w:val="nil"/>
            </w:tcBorders>
            <w:shd w:val="clear" w:color="auto" w:fill="auto"/>
            <w:noWrap/>
            <w:vAlign w:val="bottom"/>
            <w:hideMark/>
          </w:tcPr>
          <w:p w14:paraId="4168D039" w14:textId="77777777" w:rsidR="00A502E4" w:rsidRPr="001C6342" w:rsidRDefault="00A502E4" w:rsidP="00A502E4">
            <w:pPr>
              <w:rPr>
                <w:sz w:val="20"/>
                <w:szCs w:val="20"/>
              </w:rPr>
            </w:pPr>
            <w:r w:rsidRPr="001C6342">
              <w:rPr>
                <w:sz w:val="20"/>
                <w:szCs w:val="20"/>
              </w:rPr>
              <w:t>CV</w:t>
            </w:r>
          </w:p>
        </w:tc>
        <w:tc>
          <w:tcPr>
            <w:tcW w:w="7093" w:type="dxa"/>
            <w:tcBorders>
              <w:top w:val="nil"/>
              <w:left w:val="nil"/>
              <w:bottom w:val="nil"/>
              <w:right w:val="nil"/>
            </w:tcBorders>
            <w:shd w:val="clear" w:color="auto" w:fill="auto"/>
            <w:noWrap/>
            <w:vAlign w:val="bottom"/>
            <w:hideMark/>
          </w:tcPr>
          <w:p w14:paraId="6D08FF42" w14:textId="77777777" w:rsidR="00A502E4" w:rsidRPr="001C6342" w:rsidRDefault="00A502E4" w:rsidP="00A502E4">
            <w:pPr>
              <w:rPr>
                <w:sz w:val="20"/>
                <w:szCs w:val="20"/>
              </w:rPr>
            </w:pPr>
            <w:r w:rsidRPr="001C6342">
              <w:rPr>
                <w:sz w:val="20"/>
                <w:szCs w:val="20"/>
              </w:rPr>
              <w:t>Ciljna vrijednost</w:t>
            </w:r>
          </w:p>
        </w:tc>
      </w:tr>
      <w:tr w:rsidR="00A502E4" w:rsidRPr="00A502E4" w14:paraId="58A700A7" w14:textId="77777777" w:rsidTr="00A502E4">
        <w:trPr>
          <w:trHeight w:val="174"/>
        </w:trPr>
        <w:tc>
          <w:tcPr>
            <w:tcW w:w="1149" w:type="dxa"/>
            <w:tcBorders>
              <w:top w:val="nil"/>
              <w:left w:val="nil"/>
              <w:bottom w:val="nil"/>
              <w:right w:val="nil"/>
            </w:tcBorders>
            <w:shd w:val="clear" w:color="auto" w:fill="auto"/>
            <w:noWrap/>
            <w:vAlign w:val="center"/>
            <w:hideMark/>
          </w:tcPr>
          <w:p w14:paraId="5831113C" w14:textId="77777777" w:rsidR="00A502E4" w:rsidRPr="001C6342" w:rsidRDefault="00A502E4" w:rsidP="00A502E4">
            <w:pPr>
              <w:rPr>
                <w:sz w:val="20"/>
                <w:szCs w:val="20"/>
              </w:rPr>
            </w:pPr>
            <w:r w:rsidRPr="001C6342">
              <w:rPr>
                <w:sz w:val="20"/>
                <w:szCs w:val="20"/>
              </w:rPr>
              <w:lastRenderedPageBreak/>
              <w:t>-</w:t>
            </w:r>
          </w:p>
        </w:tc>
        <w:tc>
          <w:tcPr>
            <w:tcW w:w="7093" w:type="dxa"/>
            <w:tcBorders>
              <w:top w:val="nil"/>
              <w:left w:val="nil"/>
              <w:bottom w:val="nil"/>
              <w:right w:val="nil"/>
            </w:tcBorders>
            <w:shd w:val="clear" w:color="auto" w:fill="auto"/>
            <w:noWrap/>
            <w:vAlign w:val="center"/>
            <w:hideMark/>
          </w:tcPr>
          <w:p w14:paraId="6D6F0F33" w14:textId="77777777" w:rsidR="00A502E4" w:rsidRPr="001C6342" w:rsidRDefault="00A502E4" w:rsidP="00A502E4">
            <w:pPr>
              <w:rPr>
                <w:sz w:val="20"/>
                <w:szCs w:val="20"/>
              </w:rPr>
            </w:pPr>
            <w:r w:rsidRPr="001C6342">
              <w:rPr>
                <w:sz w:val="20"/>
                <w:szCs w:val="20"/>
              </w:rPr>
              <w:t>Nema podatka</w:t>
            </w:r>
          </w:p>
        </w:tc>
      </w:tr>
      <w:tr w:rsidR="00A502E4" w:rsidRPr="00A502E4" w14:paraId="6591B5B0" w14:textId="77777777" w:rsidTr="00A502E4">
        <w:trPr>
          <w:trHeight w:val="174"/>
        </w:trPr>
        <w:tc>
          <w:tcPr>
            <w:tcW w:w="1149" w:type="dxa"/>
            <w:tcBorders>
              <w:top w:val="nil"/>
              <w:left w:val="nil"/>
              <w:bottom w:val="nil"/>
              <w:right w:val="nil"/>
            </w:tcBorders>
            <w:shd w:val="clear" w:color="auto" w:fill="auto"/>
            <w:noWrap/>
            <w:vAlign w:val="bottom"/>
            <w:hideMark/>
          </w:tcPr>
          <w:p w14:paraId="19D0DA84" w14:textId="77777777" w:rsidR="00A502E4" w:rsidRPr="001C6342" w:rsidRDefault="00A502E4" w:rsidP="00A502E4">
            <w:pPr>
              <w:rPr>
                <w:sz w:val="20"/>
                <w:szCs w:val="20"/>
              </w:rPr>
            </w:pPr>
            <w:r w:rsidRPr="001C6342">
              <w:rPr>
                <w:sz w:val="20"/>
                <w:szCs w:val="20"/>
              </w:rPr>
              <w:t>NP</w:t>
            </w:r>
          </w:p>
        </w:tc>
        <w:tc>
          <w:tcPr>
            <w:tcW w:w="7093" w:type="dxa"/>
            <w:tcBorders>
              <w:top w:val="nil"/>
              <w:left w:val="nil"/>
              <w:bottom w:val="nil"/>
              <w:right w:val="nil"/>
            </w:tcBorders>
            <w:shd w:val="clear" w:color="auto" w:fill="auto"/>
            <w:noWrap/>
            <w:vAlign w:val="bottom"/>
            <w:hideMark/>
          </w:tcPr>
          <w:p w14:paraId="7C5BB73E" w14:textId="77777777" w:rsidR="00A502E4" w:rsidRPr="001C6342" w:rsidRDefault="00A502E4" w:rsidP="00A502E4">
            <w:pPr>
              <w:rPr>
                <w:sz w:val="20"/>
                <w:szCs w:val="20"/>
              </w:rPr>
            </w:pPr>
            <w:r w:rsidRPr="001C6342">
              <w:rPr>
                <w:sz w:val="20"/>
                <w:szCs w:val="20"/>
              </w:rPr>
              <w:t>Nije primjenjivo</w:t>
            </w:r>
          </w:p>
        </w:tc>
      </w:tr>
      <w:tr w:rsidR="00A502E4" w:rsidRPr="00A502E4" w14:paraId="1148C6BC" w14:textId="77777777" w:rsidTr="00A502E4">
        <w:trPr>
          <w:trHeight w:val="174"/>
        </w:trPr>
        <w:tc>
          <w:tcPr>
            <w:tcW w:w="1149" w:type="dxa"/>
            <w:tcBorders>
              <w:top w:val="nil"/>
              <w:left w:val="nil"/>
              <w:bottom w:val="nil"/>
              <w:right w:val="nil"/>
            </w:tcBorders>
            <w:shd w:val="clear" w:color="auto" w:fill="auto"/>
            <w:noWrap/>
            <w:vAlign w:val="bottom"/>
            <w:hideMark/>
          </w:tcPr>
          <w:p w14:paraId="21F41DFF" w14:textId="77777777" w:rsidR="00A502E4" w:rsidRPr="001C6342" w:rsidRDefault="00A502E4" w:rsidP="00A502E4">
            <w:pPr>
              <w:rPr>
                <w:sz w:val="20"/>
                <w:szCs w:val="20"/>
              </w:rPr>
            </w:pPr>
            <w:proofErr w:type="spellStart"/>
            <w:r w:rsidRPr="001C6342">
              <w:rPr>
                <w:sz w:val="20"/>
                <w:szCs w:val="20"/>
              </w:rPr>
              <w:t>n.d</w:t>
            </w:r>
            <w:proofErr w:type="spellEnd"/>
            <w:r w:rsidRPr="001C6342">
              <w:rPr>
                <w:sz w:val="20"/>
                <w:szCs w:val="20"/>
              </w:rPr>
              <w:t>.</w:t>
            </w:r>
          </w:p>
        </w:tc>
        <w:tc>
          <w:tcPr>
            <w:tcW w:w="7093" w:type="dxa"/>
            <w:tcBorders>
              <w:top w:val="nil"/>
              <w:left w:val="nil"/>
              <w:bottom w:val="nil"/>
              <w:right w:val="nil"/>
            </w:tcBorders>
            <w:shd w:val="clear" w:color="auto" w:fill="auto"/>
            <w:noWrap/>
            <w:vAlign w:val="bottom"/>
            <w:hideMark/>
          </w:tcPr>
          <w:p w14:paraId="2D2F792F" w14:textId="77777777" w:rsidR="00A502E4" w:rsidRPr="001C6342" w:rsidRDefault="00A502E4" w:rsidP="00A502E4">
            <w:pPr>
              <w:rPr>
                <w:sz w:val="20"/>
                <w:szCs w:val="20"/>
              </w:rPr>
            </w:pPr>
            <w:r w:rsidRPr="001C6342">
              <w:rPr>
                <w:sz w:val="20"/>
                <w:szCs w:val="20"/>
              </w:rPr>
              <w:t>Ispod granice osjetljivosti metode</w:t>
            </w:r>
          </w:p>
        </w:tc>
      </w:tr>
    </w:tbl>
    <w:p w14:paraId="58613FE0" w14:textId="77777777" w:rsidR="001732C0" w:rsidRDefault="001732C0" w:rsidP="00317EE7">
      <w:pPr>
        <w:spacing w:after="120"/>
        <w:jc w:val="both"/>
        <w:rPr>
          <w:b/>
          <w:bCs/>
          <w:u w:val="single"/>
        </w:rPr>
      </w:pPr>
    </w:p>
    <w:p w14:paraId="39BC62BE" w14:textId="77777777" w:rsidR="00317EE7" w:rsidRPr="007E5335" w:rsidRDefault="00317EE7" w:rsidP="00317EE7">
      <w:pPr>
        <w:spacing w:after="120"/>
        <w:jc w:val="both"/>
        <w:rPr>
          <w:bCs/>
          <w:i/>
        </w:rPr>
      </w:pPr>
      <w:r w:rsidRPr="007E5335">
        <w:rPr>
          <w:bCs/>
          <w:i/>
        </w:rPr>
        <w:t>Podaci dobiveni mjerenjem</w:t>
      </w:r>
    </w:p>
    <w:p w14:paraId="0B24DEB4" w14:textId="25702E98" w:rsidR="00317EE7" w:rsidRPr="00CB4024" w:rsidRDefault="00317EE7" w:rsidP="00317EE7">
      <w:pPr>
        <w:spacing w:after="120"/>
        <w:jc w:val="both"/>
        <w:rPr>
          <w:bCs/>
        </w:rPr>
      </w:pPr>
      <w:r w:rsidRPr="00CB4024">
        <w:rPr>
          <w:bCs/>
        </w:rPr>
        <w:t>Na osnovi analize rezultata mjerenja ocjenjeno je da su koncentracije BaP u PM</w:t>
      </w:r>
      <w:r w:rsidRPr="00CB4024">
        <w:rPr>
          <w:bCs/>
          <w:vertAlign w:val="subscript"/>
        </w:rPr>
        <w:t>10</w:t>
      </w:r>
      <w:r w:rsidRPr="00CB4024">
        <w:rPr>
          <w:bCs/>
        </w:rPr>
        <w:t xml:space="preserve"> bile više od propisanih </w:t>
      </w:r>
      <w:r w:rsidR="00FF33DD">
        <w:rPr>
          <w:bCs/>
        </w:rPr>
        <w:t xml:space="preserve">CV </w:t>
      </w:r>
      <w:r w:rsidRPr="00CB4024">
        <w:rPr>
          <w:bCs/>
        </w:rPr>
        <w:t xml:space="preserve"> u aglomeraciji Zagreb na mjernoj postaji Zagreb-1 </w:t>
      </w:r>
      <w:r w:rsidR="00A502E4">
        <w:rPr>
          <w:bCs/>
        </w:rPr>
        <w:t xml:space="preserve">i Zagreb-3 </w:t>
      </w:r>
      <w:r w:rsidRPr="00CB4024">
        <w:rPr>
          <w:bCs/>
        </w:rPr>
        <w:t>i Industrijskoj zoni (HR 2) na mjernoj postaji Sisak-1.</w:t>
      </w:r>
    </w:p>
    <w:p w14:paraId="1BA47D3E" w14:textId="252EB06A" w:rsidR="00A502E4" w:rsidRPr="007E5335" w:rsidRDefault="00A502E4" w:rsidP="007E5335">
      <w:pPr>
        <w:spacing w:before="100" w:beforeAutospacing="1" w:after="120"/>
        <w:jc w:val="both"/>
        <w:rPr>
          <w:bCs/>
          <w:i/>
        </w:rPr>
      </w:pPr>
      <w:r w:rsidRPr="007E5335">
        <w:rPr>
          <w:bCs/>
          <w:i/>
        </w:rPr>
        <w:t>Rezultati određivanja benzo(a)pirena (BaP) u česticama PM</w:t>
      </w:r>
      <w:r w:rsidRPr="007E5335">
        <w:rPr>
          <w:bCs/>
          <w:i/>
          <w:vertAlign w:val="subscript"/>
        </w:rPr>
        <w:t>10</w:t>
      </w:r>
      <w:r w:rsidRPr="007E5335">
        <w:rPr>
          <w:bCs/>
          <w:i/>
        </w:rPr>
        <w:t xml:space="preserve"> – 2017. godina</w:t>
      </w:r>
    </w:p>
    <w:p w14:paraId="17F2EAC3" w14:textId="497918E2" w:rsidR="00A502E4" w:rsidRDefault="00A502E4" w:rsidP="00317EE7">
      <w:pPr>
        <w:spacing w:after="120"/>
        <w:jc w:val="both"/>
        <w:rPr>
          <w:bCs/>
        </w:rPr>
      </w:pPr>
      <w:r>
        <w:rPr>
          <w:bCs/>
        </w:rPr>
        <w:t>Za 2017</w:t>
      </w:r>
      <w:r w:rsidRPr="00A502E4">
        <w:rPr>
          <w:bCs/>
        </w:rPr>
        <w:t>. godinu obrađena su mjerenja BaP u PM</w:t>
      </w:r>
      <w:r w:rsidRPr="0014716B">
        <w:rPr>
          <w:bCs/>
          <w:vertAlign w:val="subscript"/>
        </w:rPr>
        <w:t>10</w:t>
      </w:r>
      <w:r w:rsidRPr="00A502E4">
        <w:rPr>
          <w:bCs/>
        </w:rPr>
        <w:t xml:space="preserve"> s dvije mjerne postaje (Izvor: Godišnje izvješće o praćenju kvalitete zraka na području Republike Hrv</w:t>
      </w:r>
      <w:r>
        <w:rPr>
          <w:bCs/>
        </w:rPr>
        <w:t>atske za 2017. godinu, HAOP, 2018</w:t>
      </w:r>
      <w:r w:rsidRPr="00A502E4">
        <w:rPr>
          <w:bCs/>
        </w:rPr>
        <w:t>.): Zagreb-1 u aglomeraciji Zagreb, te Sisak-1 u Industrijskoj zoni.</w:t>
      </w:r>
    </w:p>
    <w:p w14:paraId="1E5026B1" w14:textId="6AFDED48" w:rsidR="00A502E4" w:rsidRPr="00A502E4" w:rsidRDefault="00A502E4" w:rsidP="00A502E4">
      <w:pPr>
        <w:spacing w:after="120"/>
        <w:jc w:val="both"/>
        <w:rPr>
          <w:bCs/>
        </w:rPr>
      </w:pPr>
      <w:r w:rsidRPr="00A502E4">
        <w:rPr>
          <w:bCs/>
        </w:rPr>
        <w:t xml:space="preserve">Sumarni statistički podaci koncentracija mjerenja BaP u </w:t>
      </w:r>
      <w:r w:rsidR="00465FB6" w:rsidRPr="00CB4024">
        <w:rPr>
          <w:bCs/>
        </w:rPr>
        <w:t>PM</w:t>
      </w:r>
      <w:r w:rsidR="00465FB6" w:rsidRPr="00C1290D">
        <w:rPr>
          <w:bCs/>
          <w:vertAlign w:val="subscript"/>
        </w:rPr>
        <w:t>10</w:t>
      </w:r>
      <w:r w:rsidRPr="00A502E4">
        <w:rPr>
          <w:bCs/>
        </w:rPr>
        <w:t xml:space="preserve"> te drugih PAU u </w:t>
      </w:r>
      <w:r w:rsidR="00465FB6" w:rsidRPr="00CB4024">
        <w:rPr>
          <w:bCs/>
        </w:rPr>
        <w:t>PM</w:t>
      </w:r>
      <w:r w:rsidR="00465FB6" w:rsidRPr="00C1290D">
        <w:rPr>
          <w:bCs/>
          <w:vertAlign w:val="subscript"/>
        </w:rPr>
        <w:t>10</w:t>
      </w:r>
      <w:r w:rsidRPr="00A502E4">
        <w:rPr>
          <w:bCs/>
        </w:rPr>
        <w:t xml:space="preserve"> (benzo(a)antracen, benzo(b)</w:t>
      </w:r>
      <w:proofErr w:type="spellStart"/>
      <w:r w:rsidRPr="00A502E4">
        <w:rPr>
          <w:bCs/>
        </w:rPr>
        <w:t>fluoranten</w:t>
      </w:r>
      <w:proofErr w:type="spellEnd"/>
      <w:r w:rsidRPr="00A502E4">
        <w:rPr>
          <w:bCs/>
        </w:rPr>
        <w:t>, benzo(j)</w:t>
      </w:r>
      <w:proofErr w:type="spellStart"/>
      <w:r w:rsidRPr="00A502E4">
        <w:rPr>
          <w:bCs/>
        </w:rPr>
        <w:t>fluoranten</w:t>
      </w:r>
      <w:proofErr w:type="spellEnd"/>
      <w:r w:rsidRPr="00A502E4">
        <w:rPr>
          <w:bCs/>
        </w:rPr>
        <w:t>, benzo(k)</w:t>
      </w:r>
      <w:proofErr w:type="spellStart"/>
      <w:r w:rsidRPr="00A502E4">
        <w:rPr>
          <w:bCs/>
        </w:rPr>
        <w:t>fluoranten</w:t>
      </w:r>
      <w:proofErr w:type="spellEnd"/>
      <w:r w:rsidRPr="00A502E4">
        <w:rPr>
          <w:bCs/>
        </w:rPr>
        <w:t xml:space="preserve">, </w:t>
      </w:r>
      <w:proofErr w:type="spellStart"/>
      <w:r w:rsidRPr="00A502E4">
        <w:rPr>
          <w:bCs/>
        </w:rPr>
        <w:t>indeno</w:t>
      </w:r>
      <w:proofErr w:type="spellEnd"/>
      <w:r w:rsidRPr="00A502E4">
        <w:rPr>
          <w:bCs/>
        </w:rPr>
        <w:t xml:space="preserve">(1,2,3,-cd)piren, </w:t>
      </w:r>
      <w:proofErr w:type="spellStart"/>
      <w:r w:rsidRPr="00A502E4">
        <w:rPr>
          <w:bCs/>
        </w:rPr>
        <w:t>dibenzo</w:t>
      </w:r>
      <w:proofErr w:type="spellEnd"/>
      <w:r w:rsidRPr="00A502E4">
        <w:rPr>
          <w:bCs/>
        </w:rPr>
        <w:t>(</w:t>
      </w:r>
      <w:proofErr w:type="spellStart"/>
      <w:r w:rsidRPr="00A502E4">
        <w:rPr>
          <w:bCs/>
        </w:rPr>
        <w:t>a,h</w:t>
      </w:r>
      <w:proofErr w:type="spellEnd"/>
      <w:r w:rsidRPr="00A502E4">
        <w:rPr>
          <w:bCs/>
        </w:rPr>
        <w:t xml:space="preserve">)antracen) dobivenih mjerenjem kao i ocjena onečišćenosti prikazani su u tablici </w:t>
      </w:r>
      <w:r w:rsidR="00465FB6">
        <w:rPr>
          <w:bCs/>
        </w:rPr>
        <w:t>2.3-4</w:t>
      </w:r>
      <w:r w:rsidRPr="00A502E4">
        <w:rPr>
          <w:bCs/>
        </w:rPr>
        <w:t>.</w:t>
      </w:r>
    </w:p>
    <w:p w14:paraId="03E9212E" w14:textId="77777777" w:rsidR="00A502E4" w:rsidRPr="00A502E4" w:rsidRDefault="00A502E4" w:rsidP="00A502E4">
      <w:pPr>
        <w:spacing w:after="120"/>
        <w:jc w:val="both"/>
        <w:rPr>
          <w:bCs/>
        </w:rPr>
      </w:pPr>
      <w:r w:rsidRPr="00A502E4">
        <w:rPr>
          <w:bCs/>
        </w:rPr>
        <w:t>Srednja godišnja koncentracija BaP u PM</w:t>
      </w:r>
      <w:r w:rsidRPr="0014716B">
        <w:rPr>
          <w:bCs/>
          <w:vertAlign w:val="subscript"/>
        </w:rPr>
        <w:t>10</w:t>
      </w:r>
      <w:r w:rsidRPr="00A502E4">
        <w:rPr>
          <w:bCs/>
        </w:rPr>
        <w:t xml:space="preserve"> ne smije prekoračiti CV od 1 </w:t>
      </w:r>
      <w:proofErr w:type="spellStart"/>
      <w:r w:rsidRPr="00A502E4">
        <w:rPr>
          <w:bCs/>
        </w:rPr>
        <w:t>ng</w:t>
      </w:r>
      <w:proofErr w:type="spellEnd"/>
      <w:r w:rsidRPr="00A502E4">
        <w:rPr>
          <w:bCs/>
        </w:rPr>
        <w:t xml:space="preserve"> m</w:t>
      </w:r>
      <w:r w:rsidRPr="00465FB6">
        <w:rPr>
          <w:bCs/>
          <w:vertAlign w:val="superscript"/>
        </w:rPr>
        <w:t>-3</w:t>
      </w:r>
      <w:r w:rsidRPr="00A502E4">
        <w:rPr>
          <w:bCs/>
        </w:rPr>
        <w:t xml:space="preserve"> u kalendarskoj godini. Za ostale PAU granična vrijednost (GV) i/ili CV nisu propisane.</w:t>
      </w:r>
    </w:p>
    <w:p w14:paraId="5B0D8BDA" w14:textId="21AAA320" w:rsidR="00A502E4" w:rsidRDefault="00A502E4" w:rsidP="00A502E4">
      <w:pPr>
        <w:spacing w:after="120"/>
        <w:jc w:val="both"/>
        <w:rPr>
          <w:bCs/>
        </w:rPr>
      </w:pPr>
      <w:r w:rsidRPr="00A502E4">
        <w:rPr>
          <w:bCs/>
        </w:rPr>
        <w:t>Srednje godišnje vrijednosti zaokružuju se na jednaki broj decimalnih mjesta kao što ga ima i ciljna vrijednost.</w:t>
      </w:r>
    </w:p>
    <w:p w14:paraId="2121F08E" w14:textId="070EB255" w:rsidR="00F45760" w:rsidRPr="00465FB6" w:rsidRDefault="0004470C" w:rsidP="007E5335">
      <w:pPr>
        <w:spacing w:after="120"/>
        <w:rPr>
          <w:bCs/>
          <w:i/>
        </w:rPr>
      </w:pPr>
      <w:r w:rsidRPr="00465FB6">
        <w:rPr>
          <w:i/>
          <w:color w:val="000000"/>
        </w:rPr>
        <w:t>Tablica 2.3-</w:t>
      </w:r>
      <w:r>
        <w:rPr>
          <w:i/>
          <w:color w:val="000000"/>
        </w:rPr>
        <w:t>4</w:t>
      </w:r>
      <w:r w:rsidRPr="00465FB6">
        <w:rPr>
          <w:i/>
          <w:color w:val="000000"/>
        </w:rPr>
        <w:t>:</w:t>
      </w:r>
      <w:r>
        <w:rPr>
          <w:i/>
          <w:color w:val="000000"/>
        </w:rPr>
        <w:t xml:space="preserve"> </w:t>
      </w:r>
      <w:r w:rsidR="00F45760" w:rsidRPr="00F45760">
        <w:rPr>
          <w:bCs/>
          <w:i/>
        </w:rPr>
        <w:t>Sumarni statistički podaci koncentracija BaP i ostalih PAU u lebdećim česticama PM</w:t>
      </w:r>
      <w:r w:rsidR="00F45760" w:rsidRPr="00F45760">
        <w:rPr>
          <w:bCs/>
          <w:i/>
          <w:vertAlign w:val="subscript"/>
        </w:rPr>
        <w:t>10</w:t>
      </w:r>
      <w:r w:rsidR="00F45760" w:rsidRPr="00F45760">
        <w:rPr>
          <w:bCs/>
          <w:i/>
        </w:rPr>
        <w:t xml:space="preserve"> u zraku i ocjena onečišćenosti (sukladnosti) u 201</w:t>
      </w:r>
      <w:r w:rsidR="00F45760">
        <w:rPr>
          <w:bCs/>
          <w:i/>
        </w:rPr>
        <w:t>7</w:t>
      </w:r>
      <w:r w:rsidR="00F45760" w:rsidRPr="00F45760">
        <w:rPr>
          <w:bCs/>
          <w:i/>
        </w:rPr>
        <w:t>. godin</w:t>
      </w:r>
      <w:r w:rsidR="00F45760">
        <w:rPr>
          <w:bCs/>
          <w:i/>
        </w:rPr>
        <w:t>i</w:t>
      </w:r>
    </w:p>
    <w:p w14:paraId="78BCBED9" w14:textId="199EBDB9" w:rsidR="007B70A8" w:rsidRDefault="00A502E4" w:rsidP="00C5461F">
      <w:pPr>
        <w:spacing w:after="120"/>
        <w:jc w:val="center"/>
        <w:rPr>
          <w:bCs/>
        </w:rPr>
      </w:pPr>
      <w:r>
        <w:rPr>
          <w:bCs/>
          <w:noProof/>
        </w:rPr>
        <w:drawing>
          <wp:inline distT="0" distB="0" distL="0" distR="0" wp14:anchorId="51A5549A" wp14:editId="5EE51788">
            <wp:extent cx="5761355" cy="29140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1355" cy="2914015"/>
                    </a:xfrm>
                    <a:prstGeom prst="rect">
                      <a:avLst/>
                    </a:prstGeom>
                    <a:noFill/>
                  </pic:spPr>
                </pic:pic>
              </a:graphicData>
            </a:graphic>
          </wp:inline>
        </w:drawing>
      </w:r>
    </w:p>
    <w:p w14:paraId="728AFD06" w14:textId="77777777" w:rsidR="007B70A8" w:rsidRDefault="007B70A8" w:rsidP="00317EE7">
      <w:pPr>
        <w:spacing w:after="120"/>
        <w:jc w:val="both"/>
        <w:rPr>
          <w:bCs/>
        </w:rPr>
      </w:pPr>
    </w:p>
    <w:p w14:paraId="7D393C06" w14:textId="77777777" w:rsidR="0059712B" w:rsidRPr="007E5335" w:rsidRDefault="0059712B" w:rsidP="0059712B">
      <w:pPr>
        <w:spacing w:after="120"/>
        <w:jc w:val="both"/>
        <w:rPr>
          <w:bCs/>
          <w:i/>
        </w:rPr>
      </w:pPr>
      <w:r w:rsidRPr="007E5335">
        <w:rPr>
          <w:bCs/>
          <w:i/>
        </w:rPr>
        <w:t>Podaci dobiveni mjerenjem</w:t>
      </w:r>
    </w:p>
    <w:p w14:paraId="17C0A9C5" w14:textId="45543D88" w:rsidR="0059712B" w:rsidRDefault="0059712B" w:rsidP="0059712B">
      <w:pPr>
        <w:spacing w:after="120"/>
        <w:jc w:val="both"/>
        <w:rPr>
          <w:bCs/>
        </w:rPr>
      </w:pPr>
      <w:r w:rsidRPr="0059712B">
        <w:rPr>
          <w:bCs/>
        </w:rPr>
        <w:t>Na osnovi analize rezultata mjerenja ocjenjeno je da su koncentracije BaP u PM</w:t>
      </w:r>
      <w:r w:rsidRPr="0059712B">
        <w:rPr>
          <w:bCs/>
          <w:vertAlign w:val="subscript"/>
        </w:rPr>
        <w:t>10</w:t>
      </w:r>
      <w:r w:rsidR="008979E2">
        <w:rPr>
          <w:bCs/>
        </w:rPr>
        <w:t xml:space="preserve"> bile više od propisanih CV </w:t>
      </w:r>
      <w:r w:rsidRPr="0059712B">
        <w:rPr>
          <w:bCs/>
        </w:rPr>
        <w:t>u aglomeraciji Zagreb na mjernoj postaji Zagreb-1 i Industrijskoj zoni (HR 2) na mjernoj postaji Sisak-1.</w:t>
      </w:r>
    </w:p>
    <w:p w14:paraId="65DDA618" w14:textId="77777777" w:rsidR="007627AA" w:rsidRPr="007627AA" w:rsidRDefault="007627AA" w:rsidP="007627AA">
      <w:pPr>
        <w:spacing w:after="120"/>
        <w:jc w:val="both"/>
        <w:rPr>
          <w:bCs/>
        </w:rPr>
      </w:pPr>
    </w:p>
    <w:p w14:paraId="7DA746AC" w14:textId="35E4759E" w:rsidR="00317EE7" w:rsidRPr="007E5335" w:rsidRDefault="00317EE7" w:rsidP="002664D6">
      <w:pPr>
        <w:pStyle w:val="Naslov4"/>
        <w:numPr>
          <w:ilvl w:val="3"/>
          <w:numId w:val="9"/>
        </w:numPr>
        <w:spacing w:before="120" w:after="120"/>
        <w:jc w:val="center"/>
        <w:rPr>
          <w:rFonts w:ascii="Times New Roman" w:hAnsi="Times New Roman" w:cs="Times New Roman"/>
          <w:i w:val="0"/>
          <w:color w:val="auto"/>
        </w:rPr>
      </w:pPr>
      <w:r w:rsidRPr="007E5335">
        <w:rPr>
          <w:rStyle w:val="Naslov4Char"/>
          <w:rFonts w:ascii="Times New Roman" w:hAnsi="Times New Roman" w:cs="Times New Roman"/>
          <w:color w:val="auto"/>
        </w:rPr>
        <w:lastRenderedPageBreak/>
        <w:t xml:space="preserve">Praćenje emisija </w:t>
      </w:r>
      <w:proofErr w:type="spellStart"/>
      <w:r w:rsidRPr="007E5335">
        <w:rPr>
          <w:rStyle w:val="Naslov4Char"/>
          <w:rFonts w:ascii="Times New Roman" w:hAnsi="Times New Roman" w:cs="Times New Roman"/>
          <w:color w:val="auto"/>
        </w:rPr>
        <w:t>POPs</w:t>
      </w:r>
      <w:proofErr w:type="spellEnd"/>
      <w:r w:rsidRPr="007E5335">
        <w:rPr>
          <w:rStyle w:val="Naslov4Char"/>
          <w:rFonts w:ascii="Times New Roman" w:hAnsi="Times New Roman" w:cs="Times New Roman"/>
          <w:color w:val="auto"/>
        </w:rPr>
        <w:t xml:space="preserve">-ova sukladno obvezama LRTAP </w:t>
      </w:r>
      <w:r w:rsidR="005A6151">
        <w:rPr>
          <w:rStyle w:val="Naslov4Char"/>
          <w:rFonts w:ascii="Times New Roman" w:hAnsi="Times New Roman" w:cs="Times New Roman"/>
          <w:color w:val="auto"/>
        </w:rPr>
        <w:t>K</w:t>
      </w:r>
      <w:r w:rsidRPr="007E5335">
        <w:rPr>
          <w:rStyle w:val="Naslov4Char"/>
          <w:rFonts w:ascii="Times New Roman" w:hAnsi="Times New Roman" w:cs="Times New Roman"/>
          <w:color w:val="auto"/>
        </w:rPr>
        <w:t>onvencije</w:t>
      </w:r>
      <w:r w:rsidR="00941E91" w:rsidRPr="007E5335">
        <w:rPr>
          <w:rStyle w:val="Naslov4Char"/>
          <w:rFonts w:ascii="Times New Roman" w:hAnsi="Times New Roman" w:cs="Times New Roman"/>
          <w:color w:val="auto"/>
        </w:rPr>
        <w:t xml:space="preserve"> i</w:t>
      </w:r>
      <w:r w:rsidR="0029013E" w:rsidRPr="007E5335">
        <w:rPr>
          <w:rStyle w:val="Naslov4Char"/>
          <w:rFonts w:ascii="Times New Roman" w:hAnsi="Times New Roman" w:cs="Times New Roman"/>
          <w:color w:val="auto"/>
        </w:rPr>
        <w:t xml:space="preserve"> </w:t>
      </w:r>
      <w:r w:rsidR="00941E91" w:rsidRPr="007E5335">
        <w:rPr>
          <w:rStyle w:val="Naslov4Char"/>
          <w:rFonts w:ascii="Times New Roman" w:hAnsi="Times New Roman" w:cs="Times New Roman"/>
          <w:color w:val="auto"/>
        </w:rPr>
        <w:t>pripadajućih protokola</w:t>
      </w:r>
    </w:p>
    <w:p w14:paraId="1A8E16B9" w14:textId="674D45AB" w:rsidR="00317EE7" w:rsidRPr="00821D99" w:rsidRDefault="00317EE7" w:rsidP="00317EE7">
      <w:pPr>
        <w:spacing w:after="120"/>
        <w:jc w:val="both"/>
      </w:pPr>
      <w:r w:rsidRPr="00821D99">
        <w:t>Republika Hrvatska ratificirala je sljedeće protokole uz LRTAP</w:t>
      </w:r>
      <w:r w:rsidR="00FF33DD">
        <w:t xml:space="preserve"> Konvenciju</w:t>
      </w:r>
      <w:r w:rsidRPr="00821D99">
        <w:t>: Protokol o daljnjem smanjenju emisija sumpora (</w:t>
      </w:r>
      <w:r w:rsidR="0004470C">
        <w:t xml:space="preserve">Narodne novine – </w:t>
      </w:r>
      <w:r w:rsidR="00355500">
        <w:t>Međunarodni ugovori</w:t>
      </w:r>
      <w:r w:rsidR="00232310">
        <w:t>, br.</w:t>
      </w:r>
      <w:r>
        <w:t xml:space="preserve"> </w:t>
      </w:r>
      <w:r w:rsidRPr="00821D99">
        <w:t>17/98 i 3/99), Protokol o teškim metalima (</w:t>
      </w:r>
      <w:r w:rsidR="00355500">
        <w:t>Narodne novine</w:t>
      </w:r>
      <w:r w:rsidR="0004470C">
        <w:t xml:space="preserve"> – </w:t>
      </w:r>
      <w:r w:rsidR="00355500">
        <w:t>Međunarodni ugovori</w:t>
      </w:r>
      <w:r>
        <w:t>, broj</w:t>
      </w:r>
      <w:r w:rsidRPr="00821D99">
        <w:t xml:space="preserve"> 05/07), Protokol o postojanim organskim onečišćujućim tvarima (</w:t>
      </w:r>
      <w:r w:rsidR="00355500">
        <w:t>Narodne novine</w:t>
      </w:r>
      <w:r w:rsidR="0004470C">
        <w:t xml:space="preserve"> – </w:t>
      </w:r>
      <w:r w:rsidR="00355500">
        <w:t>Međunarodni ugovori</w:t>
      </w:r>
      <w:r>
        <w:t xml:space="preserve">, broj </w:t>
      </w:r>
      <w:r w:rsidRPr="00821D99">
        <w:t>05/07), Protokol o nadzoru emisija dušikovih oksida ili njihovih prekograničnih strujanja (</w:t>
      </w:r>
      <w:r w:rsidR="00355500">
        <w:t>Narodne novine</w:t>
      </w:r>
      <w:r w:rsidR="0004470C">
        <w:t xml:space="preserve"> –</w:t>
      </w:r>
      <w:r w:rsidR="00355500">
        <w:t>Međunarodni ugovori</w:t>
      </w:r>
      <w:r>
        <w:t xml:space="preserve">, broj </w:t>
      </w:r>
      <w:r w:rsidRPr="00821D99">
        <w:t>10/07), Protokol o nadzoru emisija hlapivih organskih spojeva ili njihovih prekograničnih strujanja (</w:t>
      </w:r>
      <w:r w:rsidR="00355500">
        <w:t>Narodne novine</w:t>
      </w:r>
      <w:r w:rsidR="0004470C">
        <w:t xml:space="preserve"> – </w:t>
      </w:r>
      <w:r w:rsidR="00355500">
        <w:t>Međunarodni ugovori</w:t>
      </w:r>
      <w:r>
        <w:t>, broj</w:t>
      </w:r>
      <w:r w:rsidRPr="00821D99">
        <w:t xml:space="preserve"> 10/07) i Protokol o suzbijanju zakiseljavanja, eutrofikacije i prizemnog ozona</w:t>
      </w:r>
      <w:r w:rsidR="00D6309A">
        <w:t xml:space="preserve"> </w:t>
      </w:r>
      <w:r w:rsidRPr="00821D99">
        <w:t>(</w:t>
      </w:r>
      <w:r w:rsidR="00355500">
        <w:t>Narodne novine</w:t>
      </w:r>
      <w:r w:rsidR="0004470C">
        <w:t xml:space="preserve"> – </w:t>
      </w:r>
      <w:r w:rsidR="00355500">
        <w:t>Međunarodni ugovori</w:t>
      </w:r>
      <w:r>
        <w:t>, broj</w:t>
      </w:r>
      <w:r w:rsidRPr="00821D99">
        <w:t xml:space="preserve"> 07/08).</w:t>
      </w:r>
    </w:p>
    <w:p w14:paraId="218EB0DF" w14:textId="6E88F059" w:rsidR="00B66D7B" w:rsidRDefault="00205E21" w:rsidP="00B66D7B">
      <w:pPr>
        <w:spacing w:after="120"/>
        <w:jc w:val="both"/>
      </w:pPr>
      <w:r>
        <w:t xml:space="preserve">Izračun </w:t>
      </w:r>
      <w:r w:rsidR="00B66D7B" w:rsidRPr="00821D99">
        <w:t>emisij</w:t>
      </w:r>
      <w:r>
        <w:t>a</w:t>
      </w:r>
      <w:r w:rsidR="00B66D7B" w:rsidRPr="00821D99">
        <w:t xml:space="preserve"> </w:t>
      </w:r>
      <w:proofErr w:type="spellStart"/>
      <w:r w:rsidR="00B66D7B">
        <w:t>POPs</w:t>
      </w:r>
      <w:proofErr w:type="spellEnd"/>
      <w:r w:rsidR="00B66D7B">
        <w:t>-ova</w:t>
      </w:r>
      <w:r w:rsidR="00B66D7B" w:rsidRPr="00821D99">
        <w:t xml:space="preserve"> u Republici Hrvatskoj započe</w:t>
      </w:r>
      <w:r>
        <w:t>o</w:t>
      </w:r>
      <w:r w:rsidR="00B66D7B" w:rsidRPr="00821D99">
        <w:t xml:space="preserve"> je 1996. godine u skladu s međunarodnom metodologijom EMEP/CORINAIR, službeno prihvaćenom od izvršnog tijela LRTAP Konvencije, </w:t>
      </w:r>
      <w:r w:rsidR="00941E91">
        <w:t>kojima je izmeđ</w:t>
      </w:r>
      <w:r w:rsidR="00055DE9">
        <w:t xml:space="preserve">u </w:t>
      </w:r>
      <w:r w:rsidR="00941E91">
        <w:t xml:space="preserve">ostalog obuhvaćeno </w:t>
      </w:r>
      <w:r w:rsidR="00FF33DD">
        <w:t xml:space="preserve">praćenje </w:t>
      </w:r>
      <w:r w:rsidR="00B66D7B" w:rsidRPr="00821D99">
        <w:t>emisij</w:t>
      </w:r>
      <w:r w:rsidR="00FF33DD">
        <w:t>a</w:t>
      </w:r>
      <w:r w:rsidR="00B66D7B" w:rsidRPr="00821D99">
        <w:t>: PCDD/PCDF, PAU</w:t>
      </w:r>
      <w:r w:rsidR="00504141">
        <w:t xml:space="preserve"> </w:t>
      </w:r>
      <w:r w:rsidR="00FF33DD">
        <w:t>(benzo(a)</w:t>
      </w:r>
      <w:r w:rsidR="00941E91">
        <w:t>pirena, benzo(b)</w:t>
      </w:r>
      <w:proofErr w:type="spellStart"/>
      <w:r w:rsidR="00941E91">
        <w:t>fluorantena</w:t>
      </w:r>
      <w:proofErr w:type="spellEnd"/>
      <w:r w:rsidR="00941E91">
        <w:t xml:space="preserve">, </w:t>
      </w:r>
      <w:r w:rsidR="00941E91" w:rsidRPr="00941E91">
        <w:t>benzo(k)</w:t>
      </w:r>
      <w:proofErr w:type="spellStart"/>
      <w:r w:rsidR="00941E91" w:rsidRPr="00941E91">
        <w:t>fluorantena</w:t>
      </w:r>
      <w:proofErr w:type="spellEnd"/>
      <w:r w:rsidR="00941E91">
        <w:t xml:space="preserve"> i </w:t>
      </w:r>
      <w:proofErr w:type="spellStart"/>
      <w:r w:rsidR="00941E91">
        <w:t>indeno</w:t>
      </w:r>
      <w:proofErr w:type="spellEnd"/>
      <w:r w:rsidR="00941E91">
        <w:t>(1,2,3-cd)piren)</w:t>
      </w:r>
      <w:r w:rsidR="00B66D7B" w:rsidRPr="00821D99">
        <w:t xml:space="preserve"> i </w:t>
      </w:r>
      <w:r w:rsidR="00FF33DD">
        <w:t>kloriranih ugljikovodika</w:t>
      </w:r>
      <w:r w:rsidR="00941E91">
        <w:t xml:space="preserve"> </w:t>
      </w:r>
      <w:r w:rsidR="00FF33DD">
        <w:t>(HCB</w:t>
      </w:r>
      <w:r w:rsidR="00941E91">
        <w:t>-a, HCH-a i PCB-a</w:t>
      </w:r>
      <w:r w:rsidR="00FF33DD">
        <w:t>)</w:t>
      </w:r>
      <w:r w:rsidR="00B66D7B" w:rsidRPr="00821D99">
        <w:t>.</w:t>
      </w:r>
    </w:p>
    <w:p w14:paraId="20FD59FF" w14:textId="28D4CB7B" w:rsidR="00A71CB4" w:rsidRPr="00821D99" w:rsidRDefault="00DF3652" w:rsidP="00B66D7B">
      <w:pPr>
        <w:spacing w:after="120"/>
        <w:jc w:val="both"/>
      </w:pPr>
      <w:r>
        <w:t>HAOP</w:t>
      </w:r>
      <w:r w:rsidR="0059712B">
        <w:t xml:space="preserve"> </w:t>
      </w:r>
      <w:r w:rsidR="00A71CB4">
        <w:t xml:space="preserve">izrađuje godišnja izvješća o </w:t>
      </w:r>
      <w:r w:rsidR="0059712B">
        <w:t xml:space="preserve">izračunu </w:t>
      </w:r>
      <w:r w:rsidR="00A71CB4">
        <w:t xml:space="preserve">emisija određenih onečišćujućih tvari prema obvezama LRTAP </w:t>
      </w:r>
      <w:r w:rsidR="008505FA">
        <w:t>K</w:t>
      </w:r>
      <w:r w:rsidR="00A71CB4">
        <w:t>onvencije i objavljuje</w:t>
      </w:r>
      <w:r w:rsidR="00C5461F">
        <w:t xml:space="preserve"> ih</w:t>
      </w:r>
      <w:r w:rsidR="00A71CB4">
        <w:t xml:space="preserve"> na svojim mrežnim stranicama. </w:t>
      </w:r>
    </w:p>
    <w:p w14:paraId="22D6AB4F" w14:textId="4E572CF1" w:rsidR="00317EE7" w:rsidRDefault="00317EE7" w:rsidP="00317EE7">
      <w:pPr>
        <w:spacing w:after="120"/>
        <w:jc w:val="both"/>
      </w:pPr>
      <w:r w:rsidRPr="00821D99">
        <w:t>Protokol o</w:t>
      </w:r>
      <w:r w:rsidR="001F6B08">
        <w:t xml:space="preserve"> </w:t>
      </w:r>
      <w:proofErr w:type="spellStart"/>
      <w:r w:rsidR="001F6B08">
        <w:t>POPs</w:t>
      </w:r>
      <w:proofErr w:type="spellEnd"/>
      <w:r w:rsidR="001F6B08">
        <w:t>-ovima s</w:t>
      </w:r>
      <w:r w:rsidRPr="00821D99">
        <w:t xml:space="preserve">tupio je na snagu </w:t>
      </w:r>
      <w:r w:rsidR="00815905">
        <w:t xml:space="preserve">u odnosu na </w:t>
      </w:r>
      <w:r w:rsidRPr="00821D99">
        <w:t xml:space="preserve">Republiku Hrvatsku 6. prosinca 2008. godine. U skladu s </w:t>
      </w:r>
      <w:r w:rsidR="00232310">
        <w:t>člankom</w:t>
      </w:r>
      <w:r w:rsidR="00232310" w:rsidRPr="00821D99">
        <w:t xml:space="preserve"> 3.</w:t>
      </w:r>
      <w:r w:rsidR="00232310">
        <w:t xml:space="preserve"> </w:t>
      </w:r>
      <w:r w:rsidRPr="00821D99">
        <w:t xml:space="preserve">stavkom 5. </w:t>
      </w:r>
      <w:r w:rsidR="00941E91">
        <w:t xml:space="preserve">Protokola o </w:t>
      </w:r>
      <w:proofErr w:type="spellStart"/>
      <w:r w:rsidR="00941E91">
        <w:t>POPs</w:t>
      </w:r>
      <w:proofErr w:type="spellEnd"/>
      <w:r w:rsidR="00941E91">
        <w:t xml:space="preserve">-ovima </w:t>
      </w:r>
      <w:r w:rsidRPr="00821D99">
        <w:t xml:space="preserve">Republika Hrvatska ima obvezu  zadržati emisije </w:t>
      </w:r>
      <w:proofErr w:type="spellStart"/>
      <w:r w:rsidRPr="00821D99">
        <w:t>POPs</w:t>
      </w:r>
      <w:proofErr w:type="spellEnd"/>
      <w:r>
        <w:t>-</w:t>
      </w:r>
      <w:r w:rsidRPr="00821D99">
        <w:t xml:space="preserve">ova ispod onih u baznoj godini (1990. godina). </w:t>
      </w:r>
    </w:p>
    <w:p w14:paraId="2076B7A3" w14:textId="7D6739C3" w:rsidR="00317EE7" w:rsidRDefault="00317EE7" w:rsidP="00317EE7">
      <w:pPr>
        <w:spacing w:after="120"/>
        <w:jc w:val="both"/>
      </w:pPr>
      <w:r w:rsidRPr="00821D99">
        <w:t xml:space="preserve">U skladu s tim, </w:t>
      </w:r>
      <w:r w:rsidRPr="0060167E">
        <w:t xml:space="preserve">u </w:t>
      </w:r>
      <w:r w:rsidR="0060167E" w:rsidRPr="0060167E">
        <w:rPr>
          <w:color w:val="000000"/>
        </w:rPr>
        <w:t>tablici 2.3-5</w:t>
      </w:r>
      <w:r w:rsidR="0060167E">
        <w:rPr>
          <w:i/>
          <w:color w:val="000000"/>
        </w:rPr>
        <w:t xml:space="preserve"> </w:t>
      </w:r>
      <w:r w:rsidRPr="00821D99">
        <w:t xml:space="preserve">dan je pregled kvota za određene </w:t>
      </w:r>
      <w:proofErr w:type="spellStart"/>
      <w:r w:rsidRPr="00821D99">
        <w:t>POPs</w:t>
      </w:r>
      <w:proofErr w:type="spellEnd"/>
      <w:r>
        <w:t>-</w:t>
      </w:r>
      <w:r w:rsidRPr="00821D99">
        <w:t>ove.</w:t>
      </w:r>
    </w:p>
    <w:p w14:paraId="5BBCAF30" w14:textId="24EFDBB9" w:rsidR="0060167E" w:rsidRPr="0060167E" w:rsidRDefault="0060167E" w:rsidP="007E5335">
      <w:pPr>
        <w:spacing w:after="120"/>
        <w:rPr>
          <w:bCs/>
          <w:i/>
        </w:rPr>
      </w:pPr>
      <w:bookmarkStart w:id="16" w:name="_Toc425772745"/>
      <w:r w:rsidRPr="0060167E">
        <w:rPr>
          <w:i/>
          <w:color w:val="000000"/>
        </w:rPr>
        <w:t xml:space="preserve">Tablica 2.3-5: </w:t>
      </w:r>
      <w:r w:rsidR="00317EE7" w:rsidRPr="0060167E">
        <w:rPr>
          <w:bCs/>
          <w:i/>
        </w:rPr>
        <w:t xml:space="preserve">Razine emisija određenih </w:t>
      </w:r>
      <w:proofErr w:type="spellStart"/>
      <w:r w:rsidR="00317EE7" w:rsidRPr="0060167E">
        <w:rPr>
          <w:bCs/>
          <w:i/>
        </w:rPr>
        <w:t>POPs</w:t>
      </w:r>
      <w:proofErr w:type="spellEnd"/>
      <w:r w:rsidR="00317EE7" w:rsidRPr="0060167E">
        <w:rPr>
          <w:bCs/>
          <w:i/>
        </w:rPr>
        <w:t>-ova sukladno</w:t>
      </w:r>
      <w:r w:rsidR="0029013E" w:rsidRPr="0060167E">
        <w:rPr>
          <w:bCs/>
          <w:i/>
        </w:rPr>
        <w:t xml:space="preserve"> </w:t>
      </w:r>
      <w:r w:rsidR="00317EE7" w:rsidRPr="0060167E">
        <w:rPr>
          <w:bCs/>
          <w:i/>
        </w:rPr>
        <w:t>Protokolu</w:t>
      </w:r>
      <w:bookmarkEnd w:id="16"/>
      <w:r w:rsidR="00941E91" w:rsidRPr="0060167E">
        <w:rPr>
          <w:bCs/>
          <w:i/>
        </w:rPr>
        <w:t xml:space="preserve"> o </w:t>
      </w:r>
      <w:proofErr w:type="spellStart"/>
      <w:r w:rsidR="00941E91" w:rsidRPr="0060167E">
        <w:rPr>
          <w:bCs/>
          <w:i/>
        </w:rPr>
        <w:t>POPs</w:t>
      </w:r>
      <w:proofErr w:type="spellEnd"/>
      <w:r w:rsidR="00941E91" w:rsidRPr="0060167E">
        <w:rPr>
          <w:bCs/>
          <w:i/>
        </w:rPr>
        <w:t>-ovima</w:t>
      </w:r>
      <w:r w:rsidR="00583DBD" w:rsidRPr="0060167E">
        <w:rPr>
          <w:bCs/>
          <w:i/>
        </w:rPr>
        <w:t xml:space="preserve"> u baznoj godini </w:t>
      </w:r>
      <w:r w:rsidR="00F85D69" w:rsidRPr="0060167E">
        <w:rPr>
          <w:bCs/>
          <w:i/>
        </w:rPr>
        <w:t>(</w:t>
      </w:r>
      <w:r w:rsidR="00941E91" w:rsidRPr="0060167E">
        <w:rPr>
          <w:bCs/>
          <w:i/>
        </w:rPr>
        <w:t>I</w:t>
      </w:r>
      <w:r w:rsidR="009C5CAB" w:rsidRPr="0060167E">
        <w:rPr>
          <w:bCs/>
          <w:i/>
        </w:rPr>
        <w:t>zvor</w:t>
      </w:r>
      <w:r w:rsidR="00941E91" w:rsidRPr="0060167E">
        <w:rPr>
          <w:bCs/>
          <w:i/>
        </w:rPr>
        <w:t>: HAOP, Godišnje i</w:t>
      </w:r>
      <w:r w:rsidR="00F85D69" w:rsidRPr="0060167E">
        <w:rPr>
          <w:bCs/>
          <w:i/>
        </w:rPr>
        <w:t xml:space="preserve">zvješće </w:t>
      </w:r>
      <w:r w:rsidR="00956673" w:rsidRPr="0060167E">
        <w:rPr>
          <w:bCs/>
          <w:i/>
        </w:rPr>
        <w:t xml:space="preserve">o proračunu emisija </w:t>
      </w:r>
      <w:r w:rsidR="00F85D69" w:rsidRPr="0060167E">
        <w:rPr>
          <w:bCs/>
          <w:i/>
        </w:rPr>
        <w:t>za 2013. godinu)</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149"/>
      </w:tblGrid>
      <w:tr w:rsidR="00317EE7" w:rsidRPr="00CB4024" w14:paraId="0E22109C" w14:textId="02C3B58B" w:rsidTr="00061929">
        <w:trPr>
          <w:jc w:val="center"/>
        </w:trPr>
        <w:tc>
          <w:tcPr>
            <w:tcW w:w="1524" w:type="dxa"/>
            <w:shd w:val="clear" w:color="auto" w:fill="D9D9D9"/>
          </w:tcPr>
          <w:p w14:paraId="3549289D" w14:textId="130C2154" w:rsidR="00317EE7" w:rsidRPr="00ED193D" w:rsidRDefault="00317EE7" w:rsidP="00317EE7">
            <w:pPr>
              <w:spacing w:after="120"/>
              <w:rPr>
                <w:b/>
                <w:sz w:val="22"/>
              </w:rPr>
            </w:pPr>
            <w:proofErr w:type="spellStart"/>
            <w:r w:rsidRPr="00ED193D">
              <w:rPr>
                <w:b/>
                <w:sz w:val="22"/>
              </w:rPr>
              <w:t>POPs</w:t>
            </w:r>
            <w:proofErr w:type="spellEnd"/>
          </w:p>
        </w:tc>
        <w:tc>
          <w:tcPr>
            <w:tcW w:w="3149" w:type="dxa"/>
            <w:shd w:val="clear" w:color="auto" w:fill="D9D9D9"/>
          </w:tcPr>
          <w:p w14:paraId="52A7E5A7" w14:textId="3C2F6F0A" w:rsidR="00317EE7" w:rsidRPr="00CB4024" w:rsidRDefault="00317EE7" w:rsidP="00317EE7">
            <w:pPr>
              <w:spacing w:after="120"/>
              <w:rPr>
                <w:b/>
              </w:rPr>
            </w:pPr>
            <w:r w:rsidRPr="00CB4024">
              <w:rPr>
                <w:b/>
              </w:rPr>
              <w:t>Razine emisije 1990. godine</w:t>
            </w:r>
          </w:p>
        </w:tc>
      </w:tr>
      <w:tr w:rsidR="00317EE7" w:rsidRPr="00CB4024" w14:paraId="191760B5" w14:textId="258B2181" w:rsidTr="00061929">
        <w:trPr>
          <w:trHeight w:val="71"/>
          <w:jc w:val="center"/>
        </w:trPr>
        <w:tc>
          <w:tcPr>
            <w:tcW w:w="1524" w:type="dxa"/>
            <w:shd w:val="clear" w:color="auto" w:fill="auto"/>
            <w:vAlign w:val="center"/>
          </w:tcPr>
          <w:p w14:paraId="4BE3FB73" w14:textId="29183FFB" w:rsidR="00317EE7" w:rsidRPr="00CB4024" w:rsidRDefault="00317EE7" w:rsidP="00317EE7">
            <w:pPr>
              <w:spacing w:after="120"/>
            </w:pPr>
            <w:r w:rsidRPr="00CB4024">
              <w:t>PAU</w:t>
            </w:r>
          </w:p>
        </w:tc>
        <w:tc>
          <w:tcPr>
            <w:tcW w:w="3149" w:type="dxa"/>
            <w:shd w:val="clear" w:color="auto" w:fill="auto"/>
            <w:vAlign w:val="center"/>
          </w:tcPr>
          <w:p w14:paraId="04324F43" w14:textId="225B59A7" w:rsidR="00317EE7" w:rsidRPr="00CB4024" w:rsidRDefault="00317EE7" w:rsidP="00317EE7">
            <w:pPr>
              <w:spacing w:after="120"/>
            </w:pPr>
            <w:r w:rsidRPr="00CB4024">
              <w:t xml:space="preserve">15,7 t </w:t>
            </w:r>
          </w:p>
        </w:tc>
      </w:tr>
      <w:tr w:rsidR="00317EE7" w:rsidRPr="00CB4024" w14:paraId="26F15C17" w14:textId="15413101" w:rsidTr="00061929">
        <w:trPr>
          <w:trHeight w:val="60"/>
          <w:jc w:val="center"/>
        </w:trPr>
        <w:tc>
          <w:tcPr>
            <w:tcW w:w="1524" w:type="dxa"/>
            <w:shd w:val="clear" w:color="auto" w:fill="auto"/>
            <w:vAlign w:val="center"/>
          </w:tcPr>
          <w:p w14:paraId="30E5CF67" w14:textId="6591106D" w:rsidR="00317EE7" w:rsidRPr="00CB4024" w:rsidRDefault="00317EE7" w:rsidP="00317EE7">
            <w:pPr>
              <w:spacing w:after="120"/>
            </w:pPr>
            <w:r w:rsidRPr="00CB4024">
              <w:t>PCDD/PCDF</w:t>
            </w:r>
          </w:p>
        </w:tc>
        <w:tc>
          <w:tcPr>
            <w:tcW w:w="3149" w:type="dxa"/>
            <w:shd w:val="clear" w:color="auto" w:fill="auto"/>
            <w:vAlign w:val="center"/>
          </w:tcPr>
          <w:p w14:paraId="7B527F7A" w14:textId="09301924" w:rsidR="00317EE7" w:rsidRPr="00CB4024" w:rsidRDefault="00317EE7" w:rsidP="00317EE7">
            <w:pPr>
              <w:spacing w:after="120"/>
            </w:pPr>
            <w:r w:rsidRPr="00CB4024">
              <w:t>35,1 g I-</w:t>
            </w:r>
            <w:proofErr w:type="spellStart"/>
            <w:r w:rsidRPr="00CB4024">
              <w:t>Teq</w:t>
            </w:r>
            <w:proofErr w:type="spellEnd"/>
            <w:r w:rsidRPr="00CB4024">
              <w:t xml:space="preserve"> </w:t>
            </w:r>
          </w:p>
        </w:tc>
      </w:tr>
      <w:tr w:rsidR="00317EE7" w:rsidRPr="00CB4024" w14:paraId="6334E556" w14:textId="77CA78B3" w:rsidTr="00061929">
        <w:trPr>
          <w:trHeight w:val="60"/>
          <w:jc w:val="center"/>
        </w:trPr>
        <w:tc>
          <w:tcPr>
            <w:tcW w:w="1524" w:type="dxa"/>
            <w:shd w:val="clear" w:color="auto" w:fill="auto"/>
            <w:vAlign w:val="center"/>
          </w:tcPr>
          <w:p w14:paraId="1466A012" w14:textId="0101AC50" w:rsidR="00317EE7" w:rsidRPr="00CB4024" w:rsidRDefault="00317EE7" w:rsidP="00317EE7">
            <w:pPr>
              <w:spacing w:after="120"/>
            </w:pPr>
            <w:r w:rsidRPr="00CB4024">
              <w:t>HCB</w:t>
            </w:r>
          </w:p>
        </w:tc>
        <w:tc>
          <w:tcPr>
            <w:tcW w:w="3149" w:type="dxa"/>
            <w:shd w:val="clear" w:color="auto" w:fill="auto"/>
            <w:vAlign w:val="center"/>
          </w:tcPr>
          <w:p w14:paraId="4017917B" w14:textId="383C2E56" w:rsidR="00317EE7" w:rsidRPr="00CB4024" w:rsidRDefault="00317EE7" w:rsidP="00317EE7">
            <w:pPr>
              <w:spacing w:after="120"/>
            </w:pPr>
            <w:r w:rsidRPr="00CB4024">
              <w:t xml:space="preserve">0,16 kg </w:t>
            </w:r>
          </w:p>
        </w:tc>
      </w:tr>
      <w:tr w:rsidR="00317EE7" w:rsidRPr="00CB4024" w14:paraId="03150B80" w14:textId="0CCF6B3C" w:rsidTr="00061929">
        <w:trPr>
          <w:trHeight w:val="140"/>
          <w:jc w:val="center"/>
        </w:trPr>
        <w:tc>
          <w:tcPr>
            <w:tcW w:w="1524" w:type="dxa"/>
            <w:shd w:val="clear" w:color="auto" w:fill="auto"/>
            <w:vAlign w:val="center"/>
          </w:tcPr>
          <w:p w14:paraId="7F4F0348" w14:textId="2D856011" w:rsidR="00317EE7" w:rsidRPr="00CB4024" w:rsidRDefault="00317EE7" w:rsidP="00317EE7">
            <w:pPr>
              <w:spacing w:after="120"/>
            </w:pPr>
            <w:r w:rsidRPr="00CB4024">
              <w:t>PCB</w:t>
            </w:r>
          </w:p>
        </w:tc>
        <w:tc>
          <w:tcPr>
            <w:tcW w:w="3149" w:type="dxa"/>
            <w:shd w:val="clear" w:color="auto" w:fill="auto"/>
            <w:vAlign w:val="center"/>
          </w:tcPr>
          <w:p w14:paraId="153DE8B4" w14:textId="70C33B86" w:rsidR="00317EE7" w:rsidRPr="00CB4024" w:rsidRDefault="00317EE7" w:rsidP="00317EE7">
            <w:pPr>
              <w:spacing w:after="120"/>
            </w:pPr>
            <w:r w:rsidRPr="00CB4024">
              <w:t xml:space="preserve">483,1 kg </w:t>
            </w:r>
          </w:p>
        </w:tc>
      </w:tr>
    </w:tbl>
    <w:p w14:paraId="0542D215" w14:textId="77777777" w:rsidR="00061929" w:rsidRPr="00CB4024" w:rsidRDefault="00061929" w:rsidP="00317EE7">
      <w:pPr>
        <w:spacing w:after="120"/>
        <w:jc w:val="both"/>
      </w:pPr>
    </w:p>
    <w:p w14:paraId="465CF21E" w14:textId="113B8BCD" w:rsidR="00C5461F" w:rsidRDefault="00317EE7" w:rsidP="00772EC3">
      <w:pPr>
        <w:spacing w:after="120"/>
        <w:jc w:val="both"/>
      </w:pPr>
      <w:r w:rsidRPr="00821D99">
        <w:t>Ukupne emisije, prema pojedinačnim onečišćujućim tvarima u R</w:t>
      </w:r>
      <w:r w:rsidR="00941E91">
        <w:t>epublici Hrvatskoj</w:t>
      </w:r>
      <w:r w:rsidRPr="00821D99">
        <w:t xml:space="preserve">, u razdoblju 1990. </w:t>
      </w:r>
      <w:r w:rsidR="00772EC3">
        <w:t>–</w:t>
      </w:r>
      <w:r w:rsidRPr="00821D99">
        <w:t xml:space="preserve"> 201</w:t>
      </w:r>
      <w:r w:rsidR="0059712B">
        <w:t>7</w:t>
      </w:r>
      <w:r w:rsidRPr="00821D99">
        <w:t xml:space="preserve">. godine dane su u </w:t>
      </w:r>
      <w:r w:rsidR="00772EC3" w:rsidRPr="00772EC3">
        <w:t>tablici 2.3-</w:t>
      </w:r>
      <w:r w:rsidR="00772EC3">
        <w:t>6</w:t>
      </w:r>
      <w:r w:rsidRPr="00772EC3">
        <w:t>.</w:t>
      </w:r>
      <w:bookmarkStart w:id="17" w:name="_Toc425772746"/>
    </w:p>
    <w:p w14:paraId="08E5516C" w14:textId="184E2036" w:rsidR="00C5461F" w:rsidRPr="00772EC3" w:rsidRDefault="00772EC3" w:rsidP="007E5335">
      <w:pPr>
        <w:spacing w:after="120"/>
        <w:rPr>
          <w:bCs/>
          <w:i/>
        </w:rPr>
      </w:pPr>
      <w:r w:rsidRPr="00772EC3">
        <w:rPr>
          <w:i/>
          <w:color w:val="000000"/>
        </w:rPr>
        <w:t xml:space="preserve">Tablica 2.3-6: </w:t>
      </w:r>
      <w:r w:rsidR="00583DBD" w:rsidRPr="00772EC3">
        <w:rPr>
          <w:bCs/>
          <w:i/>
        </w:rPr>
        <w:t>Prikaz trenda u</w:t>
      </w:r>
      <w:r w:rsidR="00317EE7" w:rsidRPr="00772EC3">
        <w:rPr>
          <w:bCs/>
          <w:i/>
        </w:rPr>
        <w:t>kupn</w:t>
      </w:r>
      <w:r w:rsidR="00583DBD" w:rsidRPr="00772EC3">
        <w:rPr>
          <w:bCs/>
          <w:i/>
        </w:rPr>
        <w:t>ih</w:t>
      </w:r>
      <w:r w:rsidR="00317EE7" w:rsidRPr="00772EC3">
        <w:rPr>
          <w:bCs/>
          <w:i/>
        </w:rPr>
        <w:t xml:space="preserve"> emisij</w:t>
      </w:r>
      <w:r w:rsidR="00583DBD" w:rsidRPr="00772EC3">
        <w:rPr>
          <w:bCs/>
          <w:i/>
        </w:rPr>
        <w:t xml:space="preserve">a </w:t>
      </w:r>
      <w:proofErr w:type="spellStart"/>
      <w:r w:rsidR="00583DBD" w:rsidRPr="00772EC3">
        <w:rPr>
          <w:bCs/>
          <w:i/>
        </w:rPr>
        <w:t>POP</w:t>
      </w:r>
      <w:r w:rsidR="0060167E" w:rsidRPr="00772EC3">
        <w:rPr>
          <w:bCs/>
          <w:i/>
        </w:rPr>
        <w:t>s</w:t>
      </w:r>
      <w:proofErr w:type="spellEnd"/>
      <w:r w:rsidR="00583DBD" w:rsidRPr="00772EC3">
        <w:rPr>
          <w:bCs/>
          <w:i/>
        </w:rPr>
        <w:t xml:space="preserve">-ova </w:t>
      </w:r>
      <w:r w:rsidR="00317EE7" w:rsidRPr="00772EC3">
        <w:rPr>
          <w:bCs/>
          <w:i/>
        </w:rPr>
        <w:t>u Rep</w:t>
      </w:r>
      <w:r w:rsidRPr="00772EC3">
        <w:rPr>
          <w:bCs/>
          <w:i/>
        </w:rPr>
        <w:t xml:space="preserve">ublici Hrvatskoj, 1990. – </w:t>
      </w:r>
      <w:r w:rsidR="00317EE7" w:rsidRPr="00772EC3">
        <w:rPr>
          <w:bCs/>
          <w:i/>
        </w:rPr>
        <w:t>201</w:t>
      </w:r>
      <w:r w:rsidR="0059712B" w:rsidRPr="00772EC3">
        <w:rPr>
          <w:bCs/>
          <w:i/>
        </w:rPr>
        <w:t>7</w:t>
      </w:r>
      <w:r w:rsidR="00317EE7" w:rsidRPr="00772EC3">
        <w:rPr>
          <w:bCs/>
          <w:i/>
        </w:rPr>
        <w:t>. godine</w:t>
      </w:r>
      <w:bookmarkEnd w:id="17"/>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76"/>
        <w:gridCol w:w="760"/>
        <w:gridCol w:w="760"/>
        <w:gridCol w:w="760"/>
        <w:gridCol w:w="760"/>
        <w:gridCol w:w="760"/>
        <w:gridCol w:w="760"/>
        <w:gridCol w:w="760"/>
        <w:gridCol w:w="760"/>
        <w:gridCol w:w="1120"/>
        <w:gridCol w:w="1120"/>
      </w:tblGrid>
      <w:tr w:rsidR="0059712B" w:rsidRPr="0059712B" w14:paraId="295875FB" w14:textId="77777777" w:rsidTr="007E5335">
        <w:trPr>
          <w:trHeight w:val="1485"/>
          <w:jc w:val="center"/>
        </w:trPr>
        <w:tc>
          <w:tcPr>
            <w:tcW w:w="945" w:type="dxa"/>
            <w:shd w:val="clear" w:color="000000" w:fill="003C71"/>
            <w:vAlign w:val="center"/>
            <w:hideMark/>
          </w:tcPr>
          <w:p w14:paraId="30EC547F" w14:textId="77777777" w:rsidR="0059712B" w:rsidRPr="001C6342" w:rsidRDefault="0059712B" w:rsidP="0059712B">
            <w:pPr>
              <w:jc w:val="center"/>
              <w:rPr>
                <w:rFonts w:ascii="Segoe UI" w:hAnsi="Segoe UI" w:cs="Segoe UI"/>
                <w:b/>
                <w:color w:val="FFFFFF"/>
                <w:sz w:val="20"/>
                <w:szCs w:val="20"/>
              </w:rPr>
            </w:pPr>
            <w:proofErr w:type="spellStart"/>
            <w:r w:rsidRPr="001C6342">
              <w:rPr>
                <w:rFonts w:ascii="Segoe UI" w:hAnsi="Segoe UI" w:cs="Segoe UI"/>
                <w:b/>
                <w:color w:val="FFFFFF"/>
                <w:sz w:val="20"/>
                <w:szCs w:val="20"/>
              </w:rPr>
              <w:t>Onečiš-ćujuća</w:t>
            </w:r>
            <w:proofErr w:type="spellEnd"/>
            <w:r w:rsidRPr="001C6342">
              <w:rPr>
                <w:rFonts w:ascii="Segoe UI" w:hAnsi="Segoe UI" w:cs="Segoe UI"/>
                <w:b/>
                <w:color w:val="FFFFFF"/>
                <w:sz w:val="20"/>
                <w:szCs w:val="20"/>
              </w:rPr>
              <w:t xml:space="preserve"> tvar</w:t>
            </w:r>
          </w:p>
        </w:tc>
        <w:tc>
          <w:tcPr>
            <w:tcW w:w="976" w:type="dxa"/>
            <w:shd w:val="clear" w:color="000000" w:fill="003C71"/>
            <w:vAlign w:val="center"/>
            <w:hideMark/>
          </w:tcPr>
          <w:p w14:paraId="757251AB"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Jedinica</w:t>
            </w:r>
          </w:p>
        </w:tc>
        <w:tc>
          <w:tcPr>
            <w:tcW w:w="760" w:type="dxa"/>
            <w:shd w:val="clear" w:color="000000" w:fill="003C71"/>
            <w:noWrap/>
            <w:vAlign w:val="center"/>
            <w:hideMark/>
          </w:tcPr>
          <w:p w14:paraId="3DB3FC8A"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1990.</w:t>
            </w:r>
          </w:p>
        </w:tc>
        <w:tc>
          <w:tcPr>
            <w:tcW w:w="760" w:type="dxa"/>
            <w:shd w:val="clear" w:color="000000" w:fill="003C71"/>
            <w:noWrap/>
            <w:vAlign w:val="center"/>
            <w:hideMark/>
          </w:tcPr>
          <w:p w14:paraId="3CEC17DE"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1995.</w:t>
            </w:r>
          </w:p>
        </w:tc>
        <w:tc>
          <w:tcPr>
            <w:tcW w:w="760" w:type="dxa"/>
            <w:shd w:val="clear" w:color="000000" w:fill="003C71"/>
            <w:noWrap/>
            <w:vAlign w:val="center"/>
            <w:hideMark/>
          </w:tcPr>
          <w:p w14:paraId="485C8267"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2000.</w:t>
            </w:r>
          </w:p>
        </w:tc>
        <w:tc>
          <w:tcPr>
            <w:tcW w:w="760" w:type="dxa"/>
            <w:shd w:val="clear" w:color="000000" w:fill="003C71"/>
            <w:noWrap/>
            <w:vAlign w:val="center"/>
            <w:hideMark/>
          </w:tcPr>
          <w:p w14:paraId="200392B2"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2005.</w:t>
            </w:r>
          </w:p>
        </w:tc>
        <w:tc>
          <w:tcPr>
            <w:tcW w:w="760" w:type="dxa"/>
            <w:shd w:val="clear" w:color="000000" w:fill="003C71"/>
            <w:noWrap/>
            <w:vAlign w:val="center"/>
            <w:hideMark/>
          </w:tcPr>
          <w:p w14:paraId="441F7202"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2010.</w:t>
            </w:r>
          </w:p>
        </w:tc>
        <w:tc>
          <w:tcPr>
            <w:tcW w:w="760" w:type="dxa"/>
            <w:shd w:val="clear" w:color="000000" w:fill="003C71"/>
            <w:noWrap/>
            <w:vAlign w:val="center"/>
            <w:hideMark/>
          </w:tcPr>
          <w:p w14:paraId="05658B2D"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2015.</w:t>
            </w:r>
          </w:p>
        </w:tc>
        <w:tc>
          <w:tcPr>
            <w:tcW w:w="760" w:type="dxa"/>
            <w:shd w:val="clear" w:color="000000" w:fill="003C71"/>
            <w:noWrap/>
            <w:vAlign w:val="center"/>
            <w:hideMark/>
          </w:tcPr>
          <w:p w14:paraId="2398E5A9"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2016.</w:t>
            </w:r>
          </w:p>
        </w:tc>
        <w:tc>
          <w:tcPr>
            <w:tcW w:w="760" w:type="dxa"/>
            <w:shd w:val="clear" w:color="000000" w:fill="003C71"/>
            <w:noWrap/>
            <w:vAlign w:val="center"/>
            <w:hideMark/>
          </w:tcPr>
          <w:p w14:paraId="3BAF5398"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2017.</w:t>
            </w:r>
          </w:p>
        </w:tc>
        <w:tc>
          <w:tcPr>
            <w:tcW w:w="1120" w:type="dxa"/>
            <w:shd w:val="clear" w:color="000000" w:fill="003C71"/>
            <w:vAlign w:val="center"/>
            <w:hideMark/>
          </w:tcPr>
          <w:p w14:paraId="5026C7D5"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Udio promjene od 1990. do 2017.</w:t>
            </w:r>
          </w:p>
        </w:tc>
        <w:tc>
          <w:tcPr>
            <w:tcW w:w="1120" w:type="dxa"/>
            <w:shd w:val="clear" w:color="000000" w:fill="003C71"/>
            <w:vAlign w:val="center"/>
            <w:hideMark/>
          </w:tcPr>
          <w:p w14:paraId="7ACD1981" w14:textId="77777777" w:rsidR="0059712B" w:rsidRPr="001C6342" w:rsidRDefault="0059712B" w:rsidP="0059712B">
            <w:pPr>
              <w:jc w:val="center"/>
              <w:rPr>
                <w:rFonts w:ascii="Segoe UI" w:hAnsi="Segoe UI" w:cs="Segoe UI"/>
                <w:b/>
                <w:color w:val="FFFFFF"/>
                <w:sz w:val="20"/>
                <w:szCs w:val="20"/>
              </w:rPr>
            </w:pPr>
            <w:r w:rsidRPr="001C6342">
              <w:rPr>
                <w:rFonts w:ascii="Segoe UI" w:hAnsi="Segoe UI" w:cs="Segoe UI"/>
                <w:b/>
                <w:color w:val="FFFFFF"/>
                <w:sz w:val="20"/>
                <w:szCs w:val="20"/>
              </w:rPr>
              <w:t>Udio promjene od 2016. do 2017.</w:t>
            </w:r>
          </w:p>
        </w:tc>
      </w:tr>
      <w:tr w:rsidR="0059712B" w:rsidRPr="0059712B" w14:paraId="75885299" w14:textId="77777777" w:rsidTr="007E5335">
        <w:trPr>
          <w:trHeight w:val="570"/>
          <w:jc w:val="center"/>
        </w:trPr>
        <w:tc>
          <w:tcPr>
            <w:tcW w:w="945" w:type="dxa"/>
            <w:shd w:val="clear" w:color="000000" w:fill="D9E2F3"/>
            <w:vAlign w:val="bottom"/>
            <w:hideMark/>
          </w:tcPr>
          <w:p w14:paraId="41B2EB6F" w14:textId="77777777" w:rsidR="0059712B" w:rsidRPr="001C6342" w:rsidRDefault="0059712B" w:rsidP="0059712B">
            <w:pPr>
              <w:rPr>
                <w:rFonts w:ascii="Segoe UI" w:hAnsi="Segoe UI" w:cs="Segoe UI"/>
                <w:b/>
                <w:color w:val="000000"/>
                <w:sz w:val="20"/>
                <w:szCs w:val="20"/>
              </w:rPr>
            </w:pPr>
            <w:r w:rsidRPr="001C6342">
              <w:rPr>
                <w:rFonts w:ascii="Segoe UI" w:hAnsi="Segoe UI" w:cs="Segoe UI"/>
                <w:b/>
                <w:color w:val="000000"/>
                <w:sz w:val="20"/>
                <w:szCs w:val="20"/>
              </w:rPr>
              <w:t>PCDD/ PCDF</w:t>
            </w:r>
          </w:p>
        </w:tc>
        <w:tc>
          <w:tcPr>
            <w:tcW w:w="976" w:type="dxa"/>
            <w:shd w:val="clear" w:color="000000" w:fill="D9E2F3"/>
            <w:vAlign w:val="bottom"/>
            <w:hideMark/>
          </w:tcPr>
          <w:p w14:paraId="07FEE595" w14:textId="77777777" w:rsidR="0059712B" w:rsidRPr="0059712B" w:rsidRDefault="0059712B" w:rsidP="0059712B">
            <w:pPr>
              <w:rPr>
                <w:rFonts w:ascii="Segoe UI" w:hAnsi="Segoe UI" w:cs="Segoe UI"/>
                <w:color w:val="000000"/>
                <w:sz w:val="20"/>
                <w:szCs w:val="20"/>
              </w:rPr>
            </w:pPr>
            <w:r w:rsidRPr="0059712B">
              <w:rPr>
                <w:rFonts w:ascii="Segoe UI" w:hAnsi="Segoe UI" w:cs="Segoe UI"/>
                <w:color w:val="000000"/>
                <w:sz w:val="20"/>
                <w:szCs w:val="20"/>
              </w:rPr>
              <w:t>g I-</w:t>
            </w:r>
            <w:proofErr w:type="spellStart"/>
            <w:r w:rsidRPr="0059712B">
              <w:rPr>
                <w:rFonts w:ascii="Segoe UI" w:hAnsi="Segoe UI" w:cs="Segoe UI"/>
                <w:color w:val="000000"/>
                <w:sz w:val="20"/>
                <w:szCs w:val="20"/>
              </w:rPr>
              <w:t>Teq</w:t>
            </w:r>
            <w:proofErr w:type="spellEnd"/>
          </w:p>
        </w:tc>
        <w:tc>
          <w:tcPr>
            <w:tcW w:w="760" w:type="dxa"/>
            <w:shd w:val="clear" w:color="000000" w:fill="D9E2F3"/>
            <w:noWrap/>
            <w:vAlign w:val="bottom"/>
            <w:hideMark/>
          </w:tcPr>
          <w:p w14:paraId="58BA39F4"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48,6</w:t>
            </w:r>
          </w:p>
        </w:tc>
        <w:tc>
          <w:tcPr>
            <w:tcW w:w="760" w:type="dxa"/>
            <w:shd w:val="clear" w:color="000000" w:fill="D9E2F3"/>
            <w:noWrap/>
            <w:vAlign w:val="bottom"/>
            <w:hideMark/>
          </w:tcPr>
          <w:p w14:paraId="7B4E21A6"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42,8</w:t>
            </w:r>
          </w:p>
        </w:tc>
        <w:tc>
          <w:tcPr>
            <w:tcW w:w="760" w:type="dxa"/>
            <w:shd w:val="clear" w:color="000000" w:fill="D9E2F3"/>
            <w:noWrap/>
            <w:vAlign w:val="bottom"/>
            <w:hideMark/>
          </w:tcPr>
          <w:p w14:paraId="7F6DDF9A"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41,1</w:t>
            </w:r>
          </w:p>
        </w:tc>
        <w:tc>
          <w:tcPr>
            <w:tcW w:w="760" w:type="dxa"/>
            <w:shd w:val="clear" w:color="000000" w:fill="D9E2F3"/>
            <w:noWrap/>
            <w:vAlign w:val="bottom"/>
            <w:hideMark/>
          </w:tcPr>
          <w:p w14:paraId="3528125A"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48,6</w:t>
            </w:r>
          </w:p>
        </w:tc>
        <w:tc>
          <w:tcPr>
            <w:tcW w:w="760" w:type="dxa"/>
            <w:shd w:val="clear" w:color="000000" w:fill="D9E2F3"/>
            <w:noWrap/>
            <w:vAlign w:val="bottom"/>
            <w:hideMark/>
          </w:tcPr>
          <w:p w14:paraId="5D54E6D4"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34,0</w:t>
            </w:r>
          </w:p>
        </w:tc>
        <w:tc>
          <w:tcPr>
            <w:tcW w:w="760" w:type="dxa"/>
            <w:shd w:val="clear" w:color="000000" w:fill="D9E2F3"/>
            <w:noWrap/>
            <w:vAlign w:val="bottom"/>
            <w:hideMark/>
          </w:tcPr>
          <w:p w14:paraId="1D282E95"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23,1</w:t>
            </w:r>
          </w:p>
        </w:tc>
        <w:tc>
          <w:tcPr>
            <w:tcW w:w="760" w:type="dxa"/>
            <w:shd w:val="clear" w:color="000000" w:fill="D9E2F3"/>
            <w:noWrap/>
            <w:vAlign w:val="bottom"/>
            <w:hideMark/>
          </w:tcPr>
          <w:p w14:paraId="298FBC42"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20,5</w:t>
            </w:r>
          </w:p>
        </w:tc>
        <w:tc>
          <w:tcPr>
            <w:tcW w:w="760" w:type="dxa"/>
            <w:shd w:val="clear" w:color="000000" w:fill="D9E2F3"/>
            <w:noWrap/>
            <w:vAlign w:val="bottom"/>
            <w:hideMark/>
          </w:tcPr>
          <w:p w14:paraId="0A35F750"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16,2</w:t>
            </w:r>
          </w:p>
        </w:tc>
        <w:tc>
          <w:tcPr>
            <w:tcW w:w="1120" w:type="dxa"/>
            <w:shd w:val="clear" w:color="000000" w:fill="D9E2F3"/>
            <w:noWrap/>
            <w:vAlign w:val="bottom"/>
            <w:hideMark/>
          </w:tcPr>
          <w:p w14:paraId="535D688A" w14:textId="77777777" w:rsidR="0059712B" w:rsidRPr="0059712B" w:rsidRDefault="0059712B" w:rsidP="0059712B">
            <w:pPr>
              <w:jc w:val="center"/>
              <w:rPr>
                <w:rFonts w:ascii="Segoe UI" w:hAnsi="Segoe UI" w:cs="Segoe UI"/>
                <w:color w:val="000000"/>
                <w:sz w:val="20"/>
                <w:szCs w:val="20"/>
              </w:rPr>
            </w:pPr>
            <w:r w:rsidRPr="0059712B">
              <w:rPr>
                <w:rFonts w:ascii="Segoe UI" w:hAnsi="Segoe UI" w:cs="Segoe UI"/>
                <w:color w:val="000000"/>
                <w:sz w:val="20"/>
                <w:szCs w:val="20"/>
              </w:rPr>
              <w:t>-66,6%</w:t>
            </w:r>
          </w:p>
        </w:tc>
        <w:tc>
          <w:tcPr>
            <w:tcW w:w="1120" w:type="dxa"/>
            <w:shd w:val="clear" w:color="000000" w:fill="D9E2F3"/>
            <w:noWrap/>
            <w:vAlign w:val="bottom"/>
            <w:hideMark/>
          </w:tcPr>
          <w:p w14:paraId="418063FA" w14:textId="77777777" w:rsidR="0059712B" w:rsidRPr="0059712B" w:rsidRDefault="0059712B" w:rsidP="0059712B">
            <w:pPr>
              <w:jc w:val="center"/>
              <w:rPr>
                <w:rFonts w:ascii="Segoe UI" w:hAnsi="Segoe UI" w:cs="Segoe UI"/>
                <w:color w:val="000000"/>
                <w:sz w:val="20"/>
                <w:szCs w:val="20"/>
              </w:rPr>
            </w:pPr>
            <w:r w:rsidRPr="0059712B">
              <w:rPr>
                <w:rFonts w:ascii="Segoe UI" w:hAnsi="Segoe UI" w:cs="Segoe UI"/>
                <w:color w:val="000000"/>
                <w:sz w:val="20"/>
                <w:szCs w:val="20"/>
              </w:rPr>
              <w:t>-20,8%</w:t>
            </w:r>
          </w:p>
        </w:tc>
      </w:tr>
      <w:tr w:rsidR="0059712B" w:rsidRPr="0059712B" w14:paraId="6229AA5E" w14:textId="77777777" w:rsidTr="007E5335">
        <w:trPr>
          <w:trHeight w:val="285"/>
          <w:jc w:val="center"/>
        </w:trPr>
        <w:tc>
          <w:tcPr>
            <w:tcW w:w="945" w:type="dxa"/>
            <w:shd w:val="clear" w:color="auto" w:fill="auto"/>
            <w:noWrap/>
            <w:vAlign w:val="bottom"/>
            <w:hideMark/>
          </w:tcPr>
          <w:p w14:paraId="09D59D30" w14:textId="77777777" w:rsidR="0059712B" w:rsidRPr="001C6342" w:rsidRDefault="0059712B" w:rsidP="0059712B">
            <w:pPr>
              <w:rPr>
                <w:rFonts w:ascii="Segoe UI" w:hAnsi="Segoe UI" w:cs="Segoe UI"/>
                <w:b/>
                <w:color w:val="000000"/>
                <w:sz w:val="20"/>
                <w:szCs w:val="20"/>
              </w:rPr>
            </w:pPr>
            <w:r w:rsidRPr="001C6342">
              <w:rPr>
                <w:rFonts w:ascii="Segoe UI" w:hAnsi="Segoe UI" w:cs="Segoe UI"/>
                <w:b/>
                <w:color w:val="000000"/>
                <w:sz w:val="20"/>
                <w:szCs w:val="20"/>
              </w:rPr>
              <w:t>PAU</w:t>
            </w:r>
          </w:p>
        </w:tc>
        <w:tc>
          <w:tcPr>
            <w:tcW w:w="976" w:type="dxa"/>
            <w:shd w:val="clear" w:color="auto" w:fill="auto"/>
            <w:noWrap/>
            <w:vAlign w:val="bottom"/>
            <w:hideMark/>
          </w:tcPr>
          <w:p w14:paraId="62FBF99A" w14:textId="77777777" w:rsidR="0059712B" w:rsidRPr="0059712B" w:rsidRDefault="0059712B" w:rsidP="0059712B">
            <w:pPr>
              <w:rPr>
                <w:rFonts w:ascii="Segoe UI" w:hAnsi="Segoe UI" w:cs="Segoe UI"/>
                <w:color w:val="000000"/>
                <w:sz w:val="20"/>
                <w:szCs w:val="20"/>
              </w:rPr>
            </w:pPr>
            <w:r w:rsidRPr="0059712B">
              <w:rPr>
                <w:rFonts w:ascii="Segoe UI" w:hAnsi="Segoe UI" w:cs="Segoe UI"/>
                <w:color w:val="000000"/>
                <w:sz w:val="20"/>
                <w:szCs w:val="20"/>
              </w:rPr>
              <w:t>t</w:t>
            </w:r>
          </w:p>
        </w:tc>
        <w:tc>
          <w:tcPr>
            <w:tcW w:w="760" w:type="dxa"/>
            <w:shd w:val="clear" w:color="auto" w:fill="auto"/>
            <w:noWrap/>
            <w:vAlign w:val="bottom"/>
            <w:hideMark/>
          </w:tcPr>
          <w:p w14:paraId="77A36780"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23,6</w:t>
            </w:r>
          </w:p>
        </w:tc>
        <w:tc>
          <w:tcPr>
            <w:tcW w:w="760" w:type="dxa"/>
            <w:shd w:val="clear" w:color="auto" w:fill="auto"/>
            <w:noWrap/>
            <w:vAlign w:val="bottom"/>
            <w:hideMark/>
          </w:tcPr>
          <w:p w14:paraId="52C6A28B"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16,7</w:t>
            </w:r>
          </w:p>
        </w:tc>
        <w:tc>
          <w:tcPr>
            <w:tcW w:w="760" w:type="dxa"/>
            <w:shd w:val="clear" w:color="auto" w:fill="auto"/>
            <w:noWrap/>
            <w:vAlign w:val="bottom"/>
            <w:hideMark/>
          </w:tcPr>
          <w:p w14:paraId="295690E1"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14,9</w:t>
            </w:r>
          </w:p>
        </w:tc>
        <w:tc>
          <w:tcPr>
            <w:tcW w:w="760" w:type="dxa"/>
            <w:shd w:val="clear" w:color="auto" w:fill="auto"/>
            <w:noWrap/>
            <w:vAlign w:val="bottom"/>
            <w:hideMark/>
          </w:tcPr>
          <w:p w14:paraId="7900CE2B"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18,4</w:t>
            </w:r>
          </w:p>
        </w:tc>
        <w:tc>
          <w:tcPr>
            <w:tcW w:w="760" w:type="dxa"/>
            <w:shd w:val="clear" w:color="auto" w:fill="auto"/>
            <w:noWrap/>
            <w:vAlign w:val="bottom"/>
            <w:hideMark/>
          </w:tcPr>
          <w:p w14:paraId="2EF23DEF"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13,5</w:t>
            </w:r>
          </w:p>
        </w:tc>
        <w:tc>
          <w:tcPr>
            <w:tcW w:w="760" w:type="dxa"/>
            <w:shd w:val="clear" w:color="auto" w:fill="auto"/>
            <w:noWrap/>
            <w:vAlign w:val="bottom"/>
            <w:hideMark/>
          </w:tcPr>
          <w:p w14:paraId="1E3ECC79"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8,2</w:t>
            </w:r>
          </w:p>
        </w:tc>
        <w:tc>
          <w:tcPr>
            <w:tcW w:w="760" w:type="dxa"/>
            <w:shd w:val="clear" w:color="auto" w:fill="auto"/>
            <w:noWrap/>
            <w:vAlign w:val="bottom"/>
            <w:hideMark/>
          </w:tcPr>
          <w:p w14:paraId="6A36FED8"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6,9</w:t>
            </w:r>
          </w:p>
        </w:tc>
        <w:tc>
          <w:tcPr>
            <w:tcW w:w="760" w:type="dxa"/>
            <w:shd w:val="clear" w:color="auto" w:fill="auto"/>
            <w:noWrap/>
            <w:vAlign w:val="bottom"/>
            <w:hideMark/>
          </w:tcPr>
          <w:p w14:paraId="5ADB89D8"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5,9</w:t>
            </w:r>
          </w:p>
        </w:tc>
        <w:tc>
          <w:tcPr>
            <w:tcW w:w="1120" w:type="dxa"/>
            <w:shd w:val="clear" w:color="auto" w:fill="auto"/>
            <w:noWrap/>
            <w:vAlign w:val="center"/>
            <w:hideMark/>
          </w:tcPr>
          <w:p w14:paraId="33441A75" w14:textId="77777777" w:rsidR="0059712B" w:rsidRPr="0059712B" w:rsidRDefault="0059712B" w:rsidP="0059712B">
            <w:pPr>
              <w:jc w:val="center"/>
              <w:rPr>
                <w:rFonts w:ascii="Segoe UI" w:hAnsi="Segoe UI" w:cs="Segoe UI"/>
                <w:color w:val="000000"/>
                <w:sz w:val="20"/>
                <w:szCs w:val="20"/>
              </w:rPr>
            </w:pPr>
            <w:r w:rsidRPr="0059712B">
              <w:rPr>
                <w:rFonts w:ascii="Segoe UI" w:hAnsi="Segoe UI" w:cs="Segoe UI"/>
                <w:color w:val="000000"/>
                <w:sz w:val="20"/>
                <w:szCs w:val="20"/>
              </w:rPr>
              <w:t>-74,9%</w:t>
            </w:r>
          </w:p>
        </w:tc>
        <w:tc>
          <w:tcPr>
            <w:tcW w:w="1120" w:type="dxa"/>
            <w:shd w:val="clear" w:color="auto" w:fill="auto"/>
            <w:noWrap/>
            <w:vAlign w:val="center"/>
            <w:hideMark/>
          </w:tcPr>
          <w:p w14:paraId="56B7BF10" w14:textId="77777777" w:rsidR="0059712B" w:rsidRPr="0059712B" w:rsidRDefault="0059712B" w:rsidP="0059712B">
            <w:pPr>
              <w:jc w:val="center"/>
              <w:rPr>
                <w:rFonts w:ascii="Segoe UI" w:hAnsi="Segoe UI" w:cs="Segoe UI"/>
                <w:color w:val="000000"/>
                <w:sz w:val="20"/>
                <w:szCs w:val="20"/>
              </w:rPr>
            </w:pPr>
            <w:r w:rsidRPr="0059712B">
              <w:rPr>
                <w:rFonts w:ascii="Segoe UI" w:hAnsi="Segoe UI" w:cs="Segoe UI"/>
                <w:color w:val="000000"/>
                <w:sz w:val="20"/>
                <w:szCs w:val="20"/>
              </w:rPr>
              <w:t>-14,6%</w:t>
            </w:r>
          </w:p>
        </w:tc>
      </w:tr>
      <w:tr w:rsidR="0059712B" w:rsidRPr="0059712B" w14:paraId="4DCA948A" w14:textId="77777777" w:rsidTr="007E5335">
        <w:trPr>
          <w:trHeight w:val="285"/>
          <w:jc w:val="center"/>
        </w:trPr>
        <w:tc>
          <w:tcPr>
            <w:tcW w:w="945" w:type="dxa"/>
            <w:shd w:val="clear" w:color="000000" w:fill="D9E2F3"/>
            <w:noWrap/>
            <w:vAlign w:val="bottom"/>
            <w:hideMark/>
          </w:tcPr>
          <w:p w14:paraId="7379C504" w14:textId="77777777" w:rsidR="0059712B" w:rsidRPr="001C6342" w:rsidRDefault="0059712B" w:rsidP="0059712B">
            <w:pPr>
              <w:rPr>
                <w:rFonts w:ascii="Segoe UI" w:hAnsi="Segoe UI" w:cs="Segoe UI"/>
                <w:b/>
                <w:sz w:val="20"/>
                <w:szCs w:val="20"/>
              </w:rPr>
            </w:pPr>
            <w:r w:rsidRPr="001C6342">
              <w:rPr>
                <w:rFonts w:ascii="Segoe UI" w:hAnsi="Segoe UI" w:cs="Segoe UI"/>
                <w:b/>
                <w:sz w:val="20"/>
                <w:szCs w:val="20"/>
              </w:rPr>
              <w:t>HCB</w:t>
            </w:r>
          </w:p>
        </w:tc>
        <w:tc>
          <w:tcPr>
            <w:tcW w:w="976" w:type="dxa"/>
            <w:shd w:val="clear" w:color="000000" w:fill="D9E2F3"/>
            <w:noWrap/>
            <w:vAlign w:val="bottom"/>
            <w:hideMark/>
          </w:tcPr>
          <w:p w14:paraId="218827BC" w14:textId="77777777" w:rsidR="0059712B" w:rsidRPr="0059712B" w:rsidRDefault="0059712B" w:rsidP="0059712B">
            <w:pPr>
              <w:rPr>
                <w:rFonts w:ascii="Segoe UI" w:hAnsi="Segoe UI" w:cs="Segoe UI"/>
                <w:sz w:val="20"/>
                <w:szCs w:val="20"/>
              </w:rPr>
            </w:pPr>
            <w:r w:rsidRPr="0059712B">
              <w:rPr>
                <w:rFonts w:ascii="Segoe UI" w:hAnsi="Segoe UI" w:cs="Segoe UI"/>
                <w:sz w:val="20"/>
                <w:szCs w:val="20"/>
              </w:rPr>
              <w:t>kg</w:t>
            </w:r>
          </w:p>
        </w:tc>
        <w:tc>
          <w:tcPr>
            <w:tcW w:w="760" w:type="dxa"/>
            <w:shd w:val="clear" w:color="000000" w:fill="D9E2F3"/>
            <w:noWrap/>
            <w:vAlign w:val="bottom"/>
            <w:hideMark/>
          </w:tcPr>
          <w:p w14:paraId="7F6925BE"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0,27</w:t>
            </w:r>
          </w:p>
        </w:tc>
        <w:tc>
          <w:tcPr>
            <w:tcW w:w="760" w:type="dxa"/>
            <w:shd w:val="clear" w:color="000000" w:fill="D9E2F3"/>
            <w:noWrap/>
            <w:vAlign w:val="bottom"/>
            <w:hideMark/>
          </w:tcPr>
          <w:p w14:paraId="7FD9F10A"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0,3</w:t>
            </w:r>
          </w:p>
        </w:tc>
        <w:tc>
          <w:tcPr>
            <w:tcW w:w="760" w:type="dxa"/>
            <w:shd w:val="clear" w:color="000000" w:fill="D9E2F3"/>
            <w:noWrap/>
            <w:vAlign w:val="bottom"/>
            <w:hideMark/>
          </w:tcPr>
          <w:p w14:paraId="6701191F"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0,3</w:t>
            </w:r>
          </w:p>
        </w:tc>
        <w:tc>
          <w:tcPr>
            <w:tcW w:w="760" w:type="dxa"/>
            <w:shd w:val="clear" w:color="000000" w:fill="D9E2F3"/>
            <w:noWrap/>
            <w:vAlign w:val="bottom"/>
            <w:hideMark/>
          </w:tcPr>
          <w:p w14:paraId="302DAA48"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0,3</w:t>
            </w:r>
          </w:p>
        </w:tc>
        <w:tc>
          <w:tcPr>
            <w:tcW w:w="760" w:type="dxa"/>
            <w:shd w:val="clear" w:color="000000" w:fill="D9E2F3"/>
            <w:noWrap/>
            <w:vAlign w:val="bottom"/>
            <w:hideMark/>
          </w:tcPr>
          <w:p w14:paraId="62EA54D6"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0,3</w:t>
            </w:r>
          </w:p>
        </w:tc>
        <w:tc>
          <w:tcPr>
            <w:tcW w:w="760" w:type="dxa"/>
            <w:shd w:val="clear" w:color="000000" w:fill="D9E2F3"/>
            <w:noWrap/>
            <w:vAlign w:val="bottom"/>
            <w:hideMark/>
          </w:tcPr>
          <w:p w14:paraId="52C576EC"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0,3</w:t>
            </w:r>
          </w:p>
        </w:tc>
        <w:tc>
          <w:tcPr>
            <w:tcW w:w="760" w:type="dxa"/>
            <w:shd w:val="clear" w:color="000000" w:fill="D9E2F3"/>
            <w:noWrap/>
            <w:vAlign w:val="bottom"/>
            <w:hideMark/>
          </w:tcPr>
          <w:p w14:paraId="7C702C20"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0,3</w:t>
            </w:r>
          </w:p>
        </w:tc>
        <w:tc>
          <w:tcPr>
            <w:tcW w:w="760" w:type="dxa"/>
            <w:shd w:val="clear" w:color="000000" w:fill="D9E2F3"/>
            <w:noWrap/>
            <w:vAlign w:val="bottom"/>
            <w:hideMark/>
          </w:tcPr>
          <w:p w14:paraId="7659B325" w14:textId="77777777" w:rsidR="0059712B" w:rsidRPr="0059712B" w:rsidRDefault="0059712B" w:rsidP="0059712B">
            <w:pPr>
              <w:jc w:val="right"/>
              <w:rPr>
                <w:rFonts w:ascii="Segoe UI" w:hAnsi="Segoe UI" w:cs="Segoe UI"/>
                <w:sz w:val="20"/>
                <w:szCs w:val="20"/>
              </w:rPr>
            </w:pPr>
            <w:r w:rsidRPr="0059712B">
              <w:rPr>
                <w:rFonts w:ascii="Segoe UI" w:hAnsi="Segoe UI" w:cs="Segoe UI"/>
                <w:sz w:val="20"/>
                <w:szCs w:val="20"/>
              </w:rPr>
              <w:t>0,3</w:t>
            </w:r>
          </w:p>
        </w:tc>
        <w:tc>
          <w:tcPr>
            <w:tcW w:w="1120" w:type="dxa"/>
            <w:shd w:val="clear" w:color="000000" w:fill="D9E2F3"/>
            <w:noWrap/>
            <w:vAlign w:val="center"/>
            <w:hideMark/>
          </w:tcPr>
          <w:p w14:paraId="6A3A8574" w14:textId="77777777" w:rsidR="0059712B" w:rsidRPr="0059712B" w:rsidRDefault="0059712B" w:rsidP="0059712B">
            <w:pPr>
              <w:jc w:val="center"/>
              <w:rPr>
                <w:rFonts w:ascii="Segoe UI" w:hAnsi="Segoe UI" w:cs="Segoe UI"/>
                <w:sz w:val="20"/>
                <w:szCs w:val="20"/>
              </w:rPr>
            </w:pPr>
            <w:r w:rsidRPr="0059712B">
              <w:rPr>
                <w:rFonts w:ascii="Segoe UI" w:hAnsi="Segoe UI" w:cs="Segoe UI"/>
                <w:sz w:val="20"/>
                <w:szCs w:val="20"/>
              </w:rPr>
              <w:t>3,4%</w:t>
            </w:r>
          </w:p>
        </w:tc>
        <w:tc>
          <w:tcPr>
            <w:tcW w:w="1120" w:type="dxa"/>
            <w:shd w:val="clear" w:color="000000" w:fill="D9E2F3"/>
            <w:noWrap/>
            <w:vAlign w:val="center"/>
            <w:hideMark/>
          </w:tcPr>
          <w:p w14:paraId="621EAC73" w14:textId="77777777" w:rsidR="0059712B" w:rsidRPr="0059712B" w:rsidRDefault="0059712B" w:rsidP="0059712B">
            <w:pPr>
              <w:jc w:val="center"/>
              <w:rPr>
                <w:rFonts w:ascii="Segoe UI" w:hAnsi="Segoe UI" w:cs="Segoe UI"/>
                <w:sz w:val="20"/>
                <w:szCs w:val="20"/>
              </w:rPr>
            </w:pPr>
            <w:r w:rsidRPr="0059712B">
              <w:rPr>
                <w:rFonts w:ascii="Segoe UI" w:hAnsi="Segoe UI" w:cs="Segoe UI"/>
                <w:sz w:val="20"/>
                <w:szCs w:val="20"/>
              </w:rPr>
              <w:t>-4,2%</w:t>
            </w:r>
          </w:p>
        </w:tc>
      </w:tr>
      <w:tr w:rsidR="0059712B" w:rsidRPr="0059712B" w14:paraId="155E0AE7" w14:textId="77777777" w:rsidTr="007E5335">
        <w:trPr>
          <w:trHeight w:val="285"/>
          <w:jc w:val="center"/>
        </w:trPr>
        <w:tc>
          <w:tcPr>
            <w:tcW w:w="945" w:type="dxa"/>
            <w:shd w:val="clear" w:color="auto" w:fill="auto"/>
            <w:noWrap/>
            <w:vAlign w:val="bottom"/>
            <w:hideMark/>
          </w:tcPr>
          <w:p w14:paraId="6FB14706" w14:textId="77777777" w:rsidR="0059712B" w:rsidRPr="001C6342" w:rsidRDefault="0059712B" w:rsidP="0059712B">
            <w:pPr>
              <w:rPr>
                <w:rFonts w:ascii="Segoe UI" w:hAnsi="Segoe UI" w:cs="Segoe UI"/>
                <w:b/>
                <w:color w:val="000000"/>
                <w:sz w:val="20"/>
                <w:szCs w:val="20"/>
              </w:rPr>
            </w:pPr>
            <w:r w:rsidRPr="001C6342">
              <w:rPr>
                <w:rFonts w:ascii="Segoe UI" w:hAnsi="Segoe UI" w:cs="Segoe UI"/>
                <w:b/>
                <w:color w:val="000000"/>
                <w:sz w:val="20"/>
                <w:szCs w:val="20"/>
              </w:rPr>
              <w:t>PCB</w:t>
            </w:r>
          </w:p>
        </w:tc>
        <w:tc>
          <w:tcPr>
            <w:tcW w:w="976" w:type="dxa"/>
            <w:shd w:val="clear" w:color="auto" w:fill="auto"/>
            <w:noWrap/>
            <w:vAlign w:val="bottom"/>
            <w:hideMark/>
          </w:tcPr>
          <w:p w14:paraId="7EFEA9A9" w14:textId="77777777" w:rsidR="0059712B" w:rsidRPr="0059712B" w:rsidRDefault="0059712B" w:rsidP="0059712B">
            <w:pPr>
              <w:rPr>
                <w:rFonts w:ascii="Segoe UI" w:hAnsi="Segoe UI" w:cs="Segoe UI"/>
                <w:color w:val="000000"/>
                <w:sz w:val="20"/>
                <w:szCs w:val="20"/>
              </w:rPr>
            </w:pPr>
            <w:r w:rsidRPr="0059712B">
              <w:rPr>
                <w:rFonts w:ascii="Segoe UI" w:hAnsi="Segoe UI" w:cs="Segoe UI"/>
                <w:color w:val="000000"/>
                <w:sz w:val="20"/>
                <w:szCs w:val="20"/>
              </w:rPr>
              <w:t>kg</w:t>
            </w:r>
          </w:p>
        </w:tc>
        <w:tc>
          <w:tcPr>
            <w:tcW w:w="760" w:type="dxa"/>
            <w:shd w:val="clear" w:color="auto" w:fill="auto"/>
            <w:noWrap/>
            <w:vAlign w:val="bottom"/>
            <w:hideMark/>
          </w:tcPr>
          <w:p w14:paraId="0ABFBB99"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483,1</w:t>
            </w:r>
          </w:p>
        </w:tc>
        <w:tc>
          <w:tcPr>
            <w:tcW w:w="760" w:type="dxa"/>
            <w:shd w:val="clear" w:color="auto" w:fill="auto"/>
            <w:noWrap/>
            <w:vAlign w:val="bottom"/>
            <w:hideMark/>
          </w:tcPr>
          <w:p w14:paraId="788C9227"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468,3</w:t>
            </w:r>
          </w:p>
        </w:tc>
        <w:tc>
          <w:tcPr>
            <w:tcW w:w="760" w:type="dxa"/>
            <w:shd w:val="clear" w:color="auto" w:fill="auto"/>
            <w:noWrap/>
            <w:vAlign w:val="bottom"/>
            <w:hideMark/>
          </w:tcPr>
          <w:p w14:paraId="43CFDD80"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441,4</w:t>
            </w:r>
          </w:p>
        </w:tc>
        <w:tc>
          <w:tcPr>
            <w:tcW w:w="760" w:type="dxa"/>
            <w:shd w:val="clear" w:color="auto" w:fill="auto"/>
            <w:noWrap/>
            <w:vAlign w:val="bottom"/>
            <w:hideMark/>
          </w:tcPr>
          <w:p w14:paraId="187150BE"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435,7</w:t>
            </w:r>
          </w:p>
        </w:tc>
        <w:tc>
          <w:tcPr>
            <w:tcW w:w="760" w:type="dxa"/>
            <w:shd w:val="clear" w:color="auto" w:fill="auto"/>
            <w:noWrap/>
            <w:vAlign w:val="bottom"/>
            <w:hideMark/>
          </w:tcPr>
          <w:p w14:paraId="4E334950"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433,7</w:t>
            </w:r>
          </w:p>
        </w:tc>
        <w:tc>
          <w:tcPr>
            <w:tcW w:w="760" w:type="dxa"/>
            <w:shd w:val="clear" w:color="auto" w:fill="auto"/>
            <w:noWrap/>
            <w:vAlign w:val="bottom"/>
            <w:hideMark/>
          </w:tcPr>
          <w:p w14:paraId="2090560F"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425,0</w:t>
            </w:r>
          </w:p>
        </w:tc>
        <w:tc>
          <w:tcPr>
            <w:tcW w:w="760" w:type="dxa"/>
            <w:shd w:val="clear" w:color="auto" w:fill="auto"/>
            <w:noWrap/>
            <w:vAlign w:val="bottom"/>
            <w:hideMark/>
          </w:tcPr>
          <w:p w14:paraId="5C4248AD"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422,1</w:t>
            </w:r>
          </w:p>
        </w:tc>
        <w:tc>
          <w:tcPr>
            <w:tcW w:w="760" w:type="dxa"/>
            <w:shd w:val="clear" w:color="auto" w:fill="auto"/>
            <w:noWrap/>
            <w:vAlign w:val="bottom"/>
            <w:hideMark/>
          </w:tcPr>
          <w:p w14:paraId="75EAFCC5" w14:textId="77777777" w:rsidR="0059712B" w:rsidRPr="0059712B" w:rsidRDefault="0059712B" w:rsidP="0059712B">
            <w:pPr>
              <w:jc w:val="right"/>
              <w:rPr>
                <w:rFonts w:ascii="Segoe UI" w:hAnsi="Segoe UI" w:cs="Segoe UI"/>
                <w:color w:val="000000"/>
                <w:sz w:val="20"/>
                <w:szCs w:val="20"/>
              </w:rPr>
            </w:pPr>
            <w:r w:rsidRPr="0059712B">
              <w:rPr>
                <w:rFonts w:ascii="Segoe UI" w:hAnsi="Segoe UI" w:cs="Segoe UI"/>
                <w:color w:val="000000"/>
                <w:sz w:val="20"/>
                <w:szCs w:val="20"/>
              </w:rPr>
              <w:t>415,4</w:t>
            </w:r>
          </w:p>
        </w:tc>
        <w:tc>
          <w:tcPr>
            <w:tcW w:w="1120" w:type="dxa"/>
            <w:shd w:val="clear" w:color="auto" w:fill="auto"/>
            <w:noWrap/>
            <w:vAlign w:val="center"/>
            <w:hideMark/>
          </w:tcPr>
          <w:p w14:paraId="52F00F4C" w14:textId="77777777" w:rsidR="0059712B" w:rsidRPr="0059712B" w:rsidRDefault="0059712B" w:rsidP="0059712B">
            <w:pPr>
              <w:jc w:val="center"/>
              <w:rPr>
                <w:rFonts w:ascii="Segoe UI" w:hAnsi="Segoe UI" w:cs="Segoe UI"/>
                <w:color w:val="000000"/>
                <w:sz w:val="20"/>
                <w:szCs w:val="20"/>
              </w:rPr>
            </w:pPr>
            <w:r w:rsidRPr="0059712B">
              <w:rPr>
                <w:rFonts w:ascii="Segoe UI" w:hAnsi="Segoe UI" w:cs="Segoe UI"/>
                <w:color w:val="000000"/>
                <w:sz w:val="20"/>
                <w:szCs w:val="20"/>
              </w:rPr>
              <w:t>-14,0%</w:t>
            </w:r>
          </w:p>
        </w:tc>
        <w:tc>
          <w:tcPr>
            <w:tcW w:w="1120" w:type="dxa"/>
            <w:shd w:val="clear" w:color="auto" w:fill="auto"/>
            <w:noWrap/>
            <w:vAlign w:val="center"/>
            <w:hideMark/>
          </w:tcPr>
          <w:p w14:paraId="5E87A8A8" w14:textId="77777777" w:rsidR="0059712B" w:rsidRPr="0059712B" w:rsidRDefault="0059712B" w:rsidP="0059712B">
            <w:pPr>
              <w:jc w:val="center"/>
              <w:rPr>
                <w:rFonts w:ascii="Segoe UI" w:hAnsi="Segoe UI" w:cs="Segoe UI"/>
                <w:color w:val="000000"/>
                <w:sz w:val="20"/>
                <w:szCs w:val="20"/>
              </w:rPr>
            </w:pPr>
            <w:r w:rsidRPr="0059712B">
              <w:rPr>
                <w:rFonts w:ascii="Segoe UI" w:hAnsi="Segoe UI" w:cs="Segoe UI"/>
                <w:color w:val="000000"/>
                <w:sz w:val="20"/>
                <w:szCs w:val="20"/>
              </w:rPr>
              <w:t>-1,6%</w:t>
            </w:r>
          </w:p>
        </w:tc>
      </w:tr>
    </w:tbl>
    <w:p w14:paraId="086FC5EF" w14:textId="6DBB00B7" w:rsidR="00317EE7" w:rsidRDefault="00B66D7B" w:rsidP="00317EE7">
      <w:pPr>
        <w:spacing w:after="120"/>
        <w:jc w:val="both"/>
      </w:pPr>
      <w:r>
        <w:t>U 201</w:t>
      </w:r>
      <w:r w:rsidR="0059712B">
        <w:t>7</w:t>
      </w:r>
      <w:r>
        <w:t>. godini emisija</w:t>
      </w:r>
      <w:r w:rsidR="00232310">
        <w:t xml:space="preserve"> PCDD/PCDF</w:t>
      </w:r>
      <w:r>
        <w:t xml:space="preserve"> iznosila je </w:t>
      </w:r>
      <w:r w:rsidR="00D377DF">
        <w:t>16,2</w:t>
      </w:r>
      <w:r>
        <w:t xml:space="preserve"> </w:t>
      </w:r>
      <w:r w:rsidRPr="00B66D7B">
        <w:t>g I-T</w:t>
      </w:r>
      <w:r w:rsidR="00DF3652">
        <w:t>EQ</w:t>
      </w:r>
      <w:r>
        <w:t xml:space="preserve">, emisija se smanjila za </w:t>
      </w:r>
      <w:r w:rsidR="00D377DF">
        <w:t>66,6</w:t>
      </w:r>
      <w:r>
        <w:t>% u odnosu</w:t>
      </w:r>
      <w:r w:rsidR="00232310">
        <w:t xml:space="preserve"> na 1990. godinu. Glavni izvor u emisiji </w:t>
      </w:r>
      <w:r>
        <w:t xml:space="preserve">PCDD/PCDF tijekom čitavog promatranog razdoblja je </w:t>
      </w:r>
      <w:r>
        <w:lastRenderedPageBreak/>
        <w:t xml:space="preserve">izgaranje goriva u energetskom sektoru. Ključni izvori su mala ložišta i sektor prometa uz dominaciju izgaranja u kućanstvu i nacionalnog brodskog prometa.  </w:t>
      </w:r>
    </w:p>
    <w:p w14:paraId="4C49C390" w14:textId="4C1679D8" w:rsidR="007052A1" w:rsidRDefault="007052A1" w:rsidP="00317EE7">
      <w:pPr>
        <w:spacing w:after="120"/>
        <w:jc w:val="both"/>
      </w:pPr>
      <w:r>
        <w:t>Emisije PAU s</w:t>
      </w:r>
      <w:r w:rsidR="00F83DD6">
        <w:t>u</w:t>
      </w:r>
      <w:r>
        <w:t xml:space="preserve"> </w:t>
      </w:r>
      <w:r w:rsidR="00342456">
        <w:t>procijenjene</w:t>
      </w:r>
      <w:r>
        <w:t xml:space="preserve"> na oko </w:t>
      </w:r>
      <w:r w:rsidR="00D377DF">
        <w:t>5,9</w:t>
      </w:r>
      <w:r w:rsidR="00342456">
        <w:t xml:space="preserve"> t u 201</w:t>
      </w:r>
      <w:r w:rsidR="00D377DF">
        <w:t>7</w:t>
      </w:r>
      <w:r w:rsidR="00342456">
        <w:t xml:space="preserve">. godini, te su se smanjile za </w:t>
      </w:r>
      <w:r w:rsidR="00D377DF">
        <w:t>74,9</w:t>
      </w:r>
      <w:r w:rsidR="00342456">
        <w:t xml:space="preserve">% u odnosu na 1990. godinu. </w:t>
      </w:r>
      <w:r w:rsidR="0068143F" w:rsidRPr="0068143F">
        <w:t>Do smanjenja je došlo zbog velikog smanjenja potrošnje ugljena u kućanstvima te zbog zaustavljanja proizvodnje aluminija, željeza i proizvodnje koksa</w:t>
      </w:r>
      <w:r w:rsidR="0068143F">
        <w:t xml:space="preserve">. </w:t>
      </w:r>
      <w:r w:rsidR="00342456">
        <w:t>HCB je industrijska kemikalija. Emisije HCB-a uglavnom potječu od izgaranja biomase i krutih fosilnih goriva te u manjoj mjeri od termičke obrade otpada</w:t>
      </w:r>
      <w:r w:rsidR="00C5461F">
        <w:t>. U</w:t>
      </w:r>
      <w:r w:rsidR="00342456">
        <w:t xml:space="preserve"> 201</w:t>
      </w:r>
      <w:r w:rsidR="00D377DF">
        <w:t>7</w:t>
      </w:r>
      <w:r w:rsidR="00342456">
        <w:t xml:space="preserve">. godini </w:t>
      </w:r>
      <w:r w:rsidR="00C5461F">
        <w:t>emisija HCB-a</w:t>
      </w:r>
      <w:r w:rsidR="00342456">
        <w:t xml:space="preserve"> je iznosila 0,3 kg. Dominaciju u emisiji ima izgaranje goriva u nepokretnim energetskim sektorima, a smanjenje u odnosu na 1990.</w:t>
      </w:r>
      <w:r w:rsidR="00B2180D">
        <w:t xml:space="preserve"> godinu</w:t>
      </w:r>
      <w:r w:rsidR="00342456">
        <w:t xml:space="preserve"> je bilo</w:t>
      </w:r>
      <w:r w:rsidR="00D377DF">
        <w:t xml:space="preserve"> 3,4</w:t>
      </w:r>
      <w:r w:rsidR="00232310">
        <w:t>%.</w:t>
      </w:r>
    </w:p>
    <w:p w14:paraId="11EF1B24" w14:textId="71DA5DE9" w:rsidR="00342456" w:rsidRDefault="00342456" w:rsidP="001732C0">
      <w:pPr>
        <w:jc w:val="both"/>
      </w:pPr>
      <w:r>
        <w:t xml:space="preserve">PCB-i su industrijske </w:t>
      </w:r>
      <w:r w:rsidR="002C5E3D">
        <w:t>kemikalije</w:t>
      </w:r>
      <w:r>
        <w:t xml:space="preserve">. </w:t>
      </w:r>
      <w:r w:rsidR="002C5E3D">
        <w:t>Dominantan</w:t>
      </w:r>
      <w:r>
        <w:t xml:space="preserve"> izvor PCB-a je u</w:t>
      </w:r>
      <w:r w:rsidR="0068143F">
        <w:t xml:space="preserve">poraba </w:t>
      </w:r>
      <w:proofErr w:type="spellStart"/>
      <w:r w:rsidR="0068143F">
        <w:t>POPs</w:t>
      </w:r>
      <w:proofErr w:type="spellEnd"/>
      <w:r w:rsidR="0068143F">
        <w:t>-ova i teških metala</w:t>
      </w:r>
      <w:r>
        <w:t xml:space="preserve"> unutar sektora Industrijski procesi i </w:t>
      </w:r>
      <w:r w:rsidR="00663EC5">
        <w:t>U</w:t>
      </w:r>
      <w:r>
        <w:t xml:space="preserve">poraba </w:t>
      </w:r>
      <w:r w:rsidR="002C5E3D">
        <w:t>proizvoda</w:t>
      </w:r>
      <w:r w:rsidR="00232310">
        <w:t>. Ostali sektori</w:t>
      </w:r>
      <w:r>
        <w:t xml:space="preserve"> kao što su proizvodanja čelika, termička obrada infektivnog otpada i  izgaranje goriva pridonose emisiji</w:t>
      </w:r>
      <w:r w:rsidR="00663EC5">
        <w:t>.</w:t>
      </w:r>
    </w:p>
    <w:p w14:paraId="0CF7B77A" w14:textId="77777777" w:rsidR="00317EE7" w:rsidRPr="007E5335" w:rsidRDefault="00317EE7" w:rsidP="007E5335">
      <w:pPr>
        <w:spacing w:before="100" w:beforeAutospacing="1" w:after="120"/>
        <w:rPr>
          <w:i/>
        </w:rPr>
      </w:pPr>
      <w:r w:rsidRPr="007E5335">
        <w:rPr>
          <w:i/>
        </w:rPr>
        <w:t>Emisija PCDD/PCDF</w:t>
      </w:r>
    </w:p>
    <w:p w14:paraId="2277BE3D" w14:textId="05E7C642" w:rsidR="001A678D" w:rsidRDefault="00317EE7" w:rsidP="00317EE7">
      <w:pPr>
        <w:spacing w:after="120"/>
        <w:jc w:val="both"/>
      </w:pPr>
      <w:r>
        <w:t>PCDD i PCDF</w:t>
      </w:r>
      <w:r w:rsidRPr="00DB192F">
        <w:t xml:space="preserve"> nastaju kao sporedni proizvodi u industrijskim procesima prerade i proizvodnje, izgaranja goriva te termičke obrade otpada</w:t>
      </w:r>
      <w:r w:rsidRPr="005400D0">
        <w:t xml:space="preserve"> </w:t>
      </w:r>
      <w:r>
        <w:t>u postrojenjima u kojima</w:t>
      </w:r>
      <w:r w:rsidRPr="005400D0">
        <w:t xml:space="preserve"> </w:t>
      </w:r>
      <w:r>
        <w:t>se ne koriste</w:t>
      </w:r>
      <w:r w:rsidRPr="005400D0">
        <w:t xml:space="preserve"> tehnike </w:t>
      </w:r>
      <w:r>
        <w:t xml:space="preserve">za smanjivanje emisija, </w:t>
      </w:r>
      <w:r w:rsidRPr="005400D0">
        <w:t>npr. filt</w:t>
      </w:r>
      <w:r w:rsidR="00C5461F">
        <w:t>eri</w:t>
      </w:r>
      <w:r w:rsidRPr="005400D0">
        <w:t xml:space="preserve"> za uklanjanje čestica te slijedom toga i ovih štetnih tvari</w:t>
      </w:r>
      <w:r w:rsidRPr="00DB192F">
        <w:t xml:space="preserve">. Njihovim ispuštanjima doprinose sektori: </w:t>
      </w:r>
      <w:r>
        <w:t>i</w:t>
      </w:r>
      <w:r w:rsidRPr="00DB192F">
        <w:t xml:space="preserve">zgaranje goriva u energetskim postrojenjima, </w:t>
      </w:r>
      <w:r>
        <w:t>i</w:t>
      </w:r>
      <w:r w:rsidRPr="00DB192F">
        <w:t xml:space="preserve">zgaranje goriva u industriji i graditeljstvu, </w:t>
      </w:r>
      <w:r>
        <w:t>i</w:t>
      </w:r>
      <w:r w:rsidRPr="00DB192F">
        <w:t xml:space="preserve">zgaranje goriva u prometu, </w:t>
      </w:r>
      <w:r>
        <w:t>p</w:t>
      </w:r>
      <w:r w:rsidRPr="00DB192F">
        <w:t xml:space="preserve">roizvodnja željeza i čelika i </w:t>
      </w:r>
      <w:r>
        <w:t>t</w:t>
      </w:r>
      <w:r w:rsidRPr="00DB192F">
        <w:t xml:space="preserve">ermička obrada otpada, </w:t>
      </w:r>
      <w:r>
        <w:t>k</w:t>
      </w:r>
      <w:r w:rsidRPr="00DB192F">
        <w:t xml:space="preserve">remiranje, a ponajviše sektor </w:t>
      </w:r>
      <w:r>
        <w:t>i</w:t>
      </w:r>
      <w:r w:rsidRPr="00DB192F">
        <w:t>zgaranja goriva u kućanstv</w:t>
      </w:r>
      <w:r w:rsidR="00C5461F">
        <w:t>ima</w:t>
      </w:r>
      <w:r w:rsidRPr="00DB192F">
        <w:t>, koja imaju znatnu potrošnju ogrjevnog drva</w:t>
      </w:r>
      <w:r w:rsidRPr="005400D0">
        <w:t>.</w:t>
      </w:r>
      <w:r w:rsidRPr="00DB192F">
        <w:t xml:space="preserve"> Veliki uređaji za loženje (termoelektrane, toplane i sl.) imaju ugrađene sustave za smanjivanje emisije čestica te time i </w:t>
      </w:r>
      <w:proofErr w:type="spellStart"/>
      <w:r w:rsidRPr="00DB192F">
        <w:t>dioksina</w:t>
      </w:r>
      <w:proofErr w:type="spellEnd"/>
      <w:r w:rsidRPr="00DB192F">
        <w:t xml:space="preserve"> i furana, stoga emisije ovih tvari iz izgaranja goriva u velikim uređajima za loženje postoje</w:t>
      </w:r>
      <w:r>
        <w:t>,</w:t>
      </w:r>
      <w:r w:rsidRPr="00DB192F">
        <w:t xml:space="preserve"> ali nisu toliko značajne. Čestice i pepeo zaostaju na filt</w:t>
      </w:r>
      <w:r w:rsidR="00C5461F">
        <w:t>e</w:t>
      </w:r>
      <w:r w:rsidRPr="00DB192F">
        <w:t>rima, koji se zbrinjavaju kao opasni otpad.</w:t>
      </w:r>
      <w:r w:rsidR="00061929">
        <w:t xml:space="preserve"> </w:t>
      </w:r>
      <w:r w:rsidRPr="00DB192F">
        <w:t xml:space="preserve">Prilikom požara na odlagalištima otpada također dolazi do stvaranja </w:t>
      </w:r>
      <w:r w:rsidR="001668CA">
        <w:t>PCDD/PCDF</w:t>
      </w:r>
      <w:r w:rsidRPr="00DB192F">
        <w:t xml:space="preserve"> uslijed nisk</w:t>
      </w:r>
      <w:r w:rsidR="00407DD4">
        <w:t xml:space="preserve">e temperature izgaranja od 300 </w:t>
      </w:r>
      <w:r w:rsidRPr="00DB192F">
        <w:t>do 600°C. Budući se radi o nekontroliranim procesima gorenja, za koja se ne provode mjerenja, nisu poznate niti količine ispuštanja ovih tvari u zrak.</w:t>
      </w:r>
      <w:r w:rsidR="00061929">
        <w:t xml:space="preserve"> </w:t>
      </w:r>
      <w:r w:rsidR="001A678D">
        <w:t>U 201</w:t>
      </w:r>
      <w:r w:rsidR="00D377DF">
        <w:t>7</w:t>
      </w:r>
      <w:r w:rsidR="001A678D">
        <w:t>. godini emisija</w:t>
      </w:r>
      <w:r w:rsidR="00C5461F">
        <w:t xml:space="preserve"> je bila</w:t>
      </w:r>
      <w:r w:rsidR="001A678D">
        <w:t xml:space="preserve"> </w:t>
      </w:r>
      <w:r w:rsidR="00D377DF">
        <w:t>16,2</w:t>
      </w:r>
      <w:r w:rsidR="001A678D">
        <w:t xml:space="preserve"> </w:t>
      </w:r>
      <w:proofErr w:type="spellStart"/>
      <w:r w:rsidR="001A678D">
        <w:t>gI</w:t>
      </w:r>
      <w:proofErr w:type="spellEnd"/>
      <w:r w:rsidR="001A678D">
        <w:t xml:space="preserve">-TEQ </w:t>
      </w:r>
      <w:r w:rsidR="00C5461F">
        <w:t>što je</w:t>
      </w:r>
      <w:r w:rsidR="001A678D">
        <w:t xml:space="preserve"> </w:t>
      </w:r>
      <w:r w:rsidR="00FA4EF5">
        <w:t>66,6</w:t>
      </w:r>
      <w:r w:rsidR="001A678D">
        <w:t xml:space="preserve">% niže u odnosu na 1990. godinu. </w:t>
      </w:r>
      <w:r w:rsidR="00C5461F">
        <w:t xml:space="preserve">Glavni izvor emisije </w:t>
      </w:r>
      <w:r w:rsidR="00F85D69">
        <w:t xml:space="preserve">tijekom čitavog promatranog razdoblja je izgaranje goriva u energetskom sektoru. </w:t>
      </w:r>
    </w:p>
    <w:p w14:paraId="42EDB752" w14:textId="46093BD3" w:rsidR="00317EE7" w:rsidRPr="007E5335" w:rsidRDefault="00317EE7" w:rsidP="007E5335">
      <w:pPr>
        <w:spacing w:before="100" w:beforeAutospacing="1" w:after="120"/>
        <w:rPr>
          <w:i/>
        </w:rPr>
      </w:pPr>
      <w:r w:rsidRPr="007E5335">
        <w:rPr>
          <w:i/>
        </w:rPr>
        <w:t>Emisija PAU</w:t>
      </w:r>
    </w:p>
    <w:p w14:paraId="349E9783" w14:textId="77777777" w:rsidR="00317EE7" w:rsidRPr="00CB4024" w:rsidRDefault="00317EE7" w:rsidP="00317EE7">
      <w:pPr>
        <w:spacing w:after="120"/>
        <w:jc w:val="both"/>
      </w:pPr>
      <w:r w:rsidRPr="00CB4024">
        <w:t>Postoji više od 100 različitih PAU. Za proračun emisije, prema preporuci Protokola o postojanim organskim onečišćujućim tvarima uz LRTAP Konvenciju, uzeta su četiri PAU: benzo(a)piren, benzo(b)</w:t>
      </w:r>
      <w:proofErr w:type="spellStart"/>
      <w:r w:rsidRPr="00CB4024">
        <w:t>fluoranten</w:t>
      </w:r>
      <w:proofErr w:type="spellEnd"/>
      <w:r w:rsidRPr="00CB4024">
        <w:t>, benzo(k)</w:t>
      </w:r>
      <w:proofErr w:type="spellStart"/>
      <w:r w:rsidRPr="00CB4024">
        <w:t>fluoranten</w:t>
      </w:r>
      <w:proofErr w:type="spellEnd"/>
      <w:r w:rsidRPr="00CB4024">
        <w:t xml:space="preserve">, </w:t>
      </w:r>
      <w:proofErr w:type="spellStart"/>
      <w:r w:rsidRPr="00CB4024">
        <w:t>indeno</w:t>
      </w:r>
      <w:proofErr w:type="spellEnd"/>
      <w:r w:rsidRPr="00CB4024">
        <w:t>(1,2,3-cd)piren. Najznačajniji izvori emisije PAU u Republici Hrvatskoj su procesi izgaranja goriva u domaćinstvima, dok je manji utjecaj izgaranje goriva u energetskim postrojenjima, industriji i graditeljstvu i prometu.</w:t>
      </w:r>
    </w:p>
    <w:p w14:paraId="530DFEDB" w14:textId="76B0CA11" w:rsidR="00583DBD" w:rsidRDefault="00317EE7" w:rsidP="00583DBD">
      <w:pPr>
        <w:spacing w:after="120"/>
        <w:jc w:val="both"/>
      </w:pPr>
      <w:r w:rsidRPr="00095AE5">
        <w:t xml:space="preserve">Emisije PAU su procijenjene na oko </w:t>
      </w:r>
      <w:r w:rsidR="00FA4EF5">
        <w:t>5,9</w:t>
      </w:r>
      <w:r w:rsidR="00F85D69">
        <w:t xml:space="preserve"> tona</w:t>
      </w:r>
      <w:r w:rsidR="001A678D">
        <w:t xml:space="preserve"> </w:t>
      </w:r>
      <w:r w:rsidRPr="00095AE5">
        <w:t>u 201</w:t>
      </w:r>
      <w:r w:rsidR="00FA4EF5">
        <w:t>7</w:t>
      </w:r>
      <w:r w:rsidRPr="00095AE5">
        <w:t>. godini</w:t>
      </w:r>
      <w:r w:rsidR="00F85D69">
        <w:t xml:space="preserve">, te su se smanjile za </w:t>
      </w:r>
      <w:r w:rsidR="00FA4EF5">
        <w:t>74,9</w:t>
      </w:r>
      <w:r w:rsidR="00483490">
        <w:t xml:space="preserve">% u odnosu na 1990. godinu. </w:t>
      </w:r>
      <w:r w:rsidRPr="00095AE5">
        <w:t>Do velikog smanjenja emisije PAU je došlo zbog smanjenja potrošnje ugljena u stambenom sektoru, te zbog zaustavljanja procesa proizvodn</w:t>
      </w:r>
      <w:r w:rsidR="00407DD4">
        <w:t xml:space="preserve">je aluminija i koksa. Republika </w:t>
      </w:r>
      <w:r w:rsidRPr="00095AE5">
        <w:t xml:space="preserve">Hrvatska ispunjava obveze prema Protokolu o </w:t>
      </w:r>
      <w:proofErr w:type="spellStart"/>
      <w:r w:rsidRPr="00095AE5">
        <w:t>POPs</w:t>
      </w:r>
      <w:proofErr w:type="spellEnd"/>
      <w:r w:rsidRPr="00095AE5">
        <w:t>-ovima.</w:t>
      </w:r>
    </w:p>
    <w:p w14:paraId="5CB1BF98" w14:textId="400D2C26" w:rsidR="00583DBD" w:rsidRDefault="00583DBD" w:rsidP="00583DBD">
      <w:pPr>
        <w:spacing w:after="120"/>
        <w:jc w:val="both"/>
      </w:pPr>
      <w:r w:rsidRPr="00583DBD">
        <w:t xml:space="preserve">Sukladno obvezama iz Protokola o </w:t>
      </w:r>
      <w:proofErr w:type="spellStart"/>
      <w:r w:rsidRPr="00583DBD">
        <w:t>POPs</w:t>
      </w:r>
      <w:proofErr w:type="spellEnd"/>
      <w:r w:rsidRPr="00583DBD">
        <w:t>-ovima emisije PCDD/PCDF i PAU su u Republici Hrvatskoj znatno niže od emisija iz 1990. godine.</w:t>
      </w:r>
    </w:p>
    <w:p w14:paraId="3029A0AE" w14:textId="19D60684" w:rsidR="00583DBD" w:rsidRPr="007B70A8" w:rsidRDefault="00583DBD" w:rsidP="007B70A8">
      <w:pPr>
        <w:spacing w:after="120"/>
        <w:jc w:val="both"/>
      </w:pPr>
      <w:r w:rsidRPr="00407DD4">
        <w:t xml:space="preserve">Na </w:t>
      </w:r>
      <w:r w:rsidR="00407DD4" w:rsidRPr="00407DD4">
        <w:rPr>
          <w:noProof/>
        </w:rPr>
        <w:t>grafikonu 2.3-1</w:t>
      </w:r>
      <w:r w:rsidR="00407DD4">
        <w:rPr>
          <w:noProof/>
        </w:rPr>
        <w:t>1</w:t>
      </w:r>
      <w:r w:rsidR="00407DD4" w:rsidRPr="00407DD4">
        <w:rPr>
          <w:noProof/>
        </w:rPr>
        <w:t>.</w:t>
      </w:r>
      <w:r>
        <w:t xml:space="preserve"> prikazan je trend emisija za </w:t>
      </w:r>
      <w:r w:rsidRPr="00583DBD">
        <w:t>PCDD/PCDF i PAU</w:t>
      </w:r>
      <w:r w:rsidR="0014716B">
        <w:t xml:space="preserve"> u razdoblju od </w:t>
      </w:r>
      <w:r>
        <w:t>1990. do 201</w:t>
      </w:r>
      <w:r w:rsidR="00FA4EF5">
        <w:t>7</w:t>
      </w:r>
      <w:r>
        <w:t>. godine.</w:t>
      </w:r>
    </w:p>
    <w:p w14:paraId="3E3446FE" w14:textId="67BD57B1" w:rsidR="00FA4EF5" w:rsidRPr="00AD0270" w:rsidRDefault="0097052D" w:rsidP="0097052D">
      <w:pPr>
        <w:spacing w:after="120"/>
        <w:jc w:val="center"/>
      </w:pPr>
      <w:r>
        <w:rPr>
          <w:noProof/>
        </w:rPr>
        <w:lastRenderedPageBreak/>
        <w:drawing>
          <wp:inline distT="0" distB="0" distL="0" distR="0" wp14:anchorId="17DB7E94" wp14:editId="6D321B9D">
            <wp:extent cx="6120130" cy="3713763"/>
            <wp:effectExtent l="0" t="0" r="0" b="1270"/>
            <wp:docPr id="6" name="Slika 6" descr="cid:image004.png@01D4FAAD.C75A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FAAD.C75A582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120130" cy="3713763"/>
                    </a:xfrm>
                    <a:prstGeom prst="rect">
                      <a:avLst/>
                    </a:prstGeom>
                    <a:noFill/>
                    <a:ln>
                      <a:noFill/>
                    </a:ln>
                  </pic:spPr>
                </pic:pic>
              </a:graphicData>
            </a:graphic>
          </wp:inline>
        </w:drawing>
      </w:r>
      <w:r w:rsidRPr="0097052D">
        <w:t xml:space="preserve"> </w:t>
      </w:r>
      <w:r>
        <w:rPr>
          <w:noProof/>
        </w:rPr>
        <w:drawing>
          <wp:inline distT="0" distB="0" distL="0" distR="0" wp14:anchorId="3BE35CDD" wp14:editId="6D6DFBDB">
            <wp:extent cx="6120130" cy="3717028"/>
            <wp:effectExtent l="0" t="0" r="0" b="0"/>
            <wp:docPr id="7" name="Slika 7" descr="cid:image003.png@01D4FAAD.C75A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D4FAAD.C75A582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120130" cy="3717028"/>
                    </a:xfrm>
                    <a:prstGeom prst="rect">
                      <a:avLst/>
                    </a:prstGeom>
                    <a:noFill/>
                    <a:ln>
                      <a:noFill/>
                    </a:ln>
                  </pic:spPr>
                </pic:pic>
              </a:graphicData>
            </a:graphic>
          </wp:inline>
        </w:drawing>
      </w:r>
    </w:p>
    <w:p w14:paraId="3CCF265D" w14:textId="5148AE0A" w:rsidR="00317EE7" w:rsidRPr="00AD0270" w:rsidRDefault="00AD0270" w:rsidP="007E5335">
      <w:pPr>
        <w:spacing w:after="120"/>
        <w:rPr>
          <w:i/>
        </w:rPr>
      </w:pPr>
      <w:r w:rsidRPr="00AD0270">
        <w:rPr>
          <w:i/>
          <w:noProof/>
        </w:rPr>
        <w:t xml:space="preserve">Grafikon 2.3-11. </w:t>
      </w:r>
      <w:r w:rsidR="00317EE7" w:rsidRPr="00AD0270">
        <w:rPr>
          <w:i/>
          <w:color w:val="000000" w:themeColor="text1"/>
        </w:rPr>
        <w:t xml:space="preserve"> </w:t>
      </w:r>
      <w:r w:rsidR="00317EE7" w:rsidRPr="00AD0270">
        <w:rPr>
          <w:i/>
        </w:rPr>
        <w:t>Emisija PCDD/PCDF (g I-TEQ/god) i PAU (</w:t>
      </w:r>
      <w:r w:rsidR="00B565E4" w:rsidRPr="00AD0270">
        <w:rPr>
          <w:i/>
        </w:rPr>
        <w:t>t</w:t>
      </w:r>
      <w:r w:rsidR="00317EE7" w:rsidRPr="00AD0270">
        <w:rPr>
          <w:i/>
        </w:rPr>
        <w:t>) u Republici Hrvatskoj u razdoblju od 1990. do 201</w:t>
      </w:r>
      <w:r w:rsidR="00FA4EF5" w:rsidRPr="00AD0270">
        <w:rPr>
          <w:i/>
        </w:rPr>
        <w:t>7</w:t>
      </w:r>
      <w:r w:rsidR="00317EE7" w:rsidRPr="00AD0270">
        <w:rPr>
          <w:i/>
        </w:rPr>
        <w:t>. godine</w:t>
      </w:r>
    </w:p>
    <w:p w14:paraId="7F71BE38" w14:textId="34E9B229" w:rsidR="00317EE7" w:rsidRPr="007E5335" w:rsidRDefault="00317EE7" w:rsidP="007E5335">
      <w:pPr>
        <w:spacing w:before="100" w:beforeAutospacing="1" w:after="120"/>
        <w:rPr>
          <w:i/>
        </w:rPr>
      </w:pPr>
      <w:r w:rsidRPr="007E5335">
        <w:rPr>
          <w:i/>
        </w:rPr>
        <w:t xml:space="preserve">Emisija HCB, HCH i PCB </w:t>
      </w:r>
    </w:p>
    <w:p w14:paraId="499B74E3" w14:textId="5855A7EE" w:rsidR="00317EE7" w:rsidRPr="00CB4024" w:rsidRDefault="00317EE7" w:rsidP="00317EE7">
      <w:pPr>
        <w:spacing w:after="120"/>
        <w:jc w:val="both"/>
      </w:pPr>
      <w:r w:rsidRPr="00CB4024">
        <w:t xml:space="preserve">U skupini pesticida-insekticida razmatraju se tri podskupine spojeva: HCB, </w:t>
      </w:r>
      <w:proofErr w:type="spellStart"/>
      <w:r w:rsidRPr="00CB4024">
        <w:t>heksaklor</w:t>
      </w:r>
      <w:r w:rsidR="009C5CAB">
        <w:t>o</w:t>
      </w:r>
      <w:r w:rsidRPr="00CB4024">
        <w:t>cikloheksan</w:t>
      </w:r>
      <w:proofErr w:type="spellEnd"/>
      <w:r w:rsidRPr="00CB4024">
        <w:t xml:space="preserve"> (</w:t>
      </w:r>
      <w:proofErr w:type="spellStart"/>
      <w:r w:rsidRPr="00CB4024">
        <w:t>lindan</w:t>
      </w:r>
      <w:proofErr w:type="spellEnd"/>
      <w:r w:rsidR="0068143F">
        <w:t xml:space="preserve"> </w:t>
      </w:r>
      <w:r w:rsidR="0068143F" w:rsidRPr="0068143F">
        <w:t>ɤ-HCH</w:t>
      </w:r>
      <w:r w:rsidRPr="00CB4024">
        <w:t xml:space="preserve">) i PCB. </w:t>
      </w:r>
    </w:p>
    <w:p w14:paraId="6BDFFCC2" w14:textId="77777777" w:rsidR="00317EE7" w:rsidRPr="00CB4024" w:rsidRDefault="00317EE7" w:rsidP="00317EE7">
      <w:pPr>
        <w:spacing w:after="120"/>
        <w:jc w:val="both"/>
      </w:pPr>
      <w:r w:rsidRPr="00CB4024">
        <w:t xml:space="preserve">Do emisije HCH dolazi prilikom primjene sredstava za zaštitu bilja u poljoprivredi (istovremeno je emisija pri procesu sinteze i formulacije pesticida zanemariva). </w:t>
      </w:r>
    </w:p>
    <w:p w14:paraId="0D95081F" w14:textId="7040A9B9" w:rsidR="00317EE7" w:rsidRPr="00CB4024" w:rsidRDefault="00317EE7" w:rsidP="00317EE7">
      <w:pPr>
        <w:spacing w:after="120"/>
        <w:jc w:val="both"/>
      </w:pPr>
      <w:r w:rsidRPr="00CB4024">
        <w:lastRenderedPageBreak/>
        <w:t xml:space="preserve">Primjena pesticida u Republici Hrvatskoj je uređena </w:t>
      </w:r>
      <w:r w:rsidR="00A65706">
        <w:t xml:space="preserve">još </w:t>
      </w:r>
      <w:r w:rsidRPr="00CB4024">
        <w:t xml:space="preserve">Zakonom o zaštiti bilja (Narodne </w:t>
      </w:r>
      <w:r w:rsidR="00232310">
        <w:t>novine, broj 10/</w:t>
      </w:r>
      <w:r w:rsidRPr="00CB4024">
        <w:t xml:space="preserve">94) te se pesticidi smiju stavljati u promet i primjenjivati samo ako posjeduju odobrenje ministarstva nadležnog za poslove poljoprivrede. Pesticidi koji su predmet uređenja </w:t>
      </w:r>
      <w:r w:rsidR="00055A8B">
        <w:t xml:space="preserve">Konvencije </w:t>
      </w:r>
      <w:r w:rsidRPr="00CB4024">
        <w:t>više se ne koriste u Republici Hrvatskoj. Od tvari navedenih u Popisu sredstava za zaštitu bilja s dozvolom za promet i primjenu u Republici Hrva</w:t>
      </w:r>
      <w:r w:rsidR="00232310">
        <w:t>tskoj (Narodne novine, broj 93/</w:t>
      </w:r>
      <w:r w:rsidRPr="00CB4024">
        <w:t xml:space="preserve">96), bila je dozvoljena samo proizvodnja i primjena </w:t>
      </w:r>
      <w:proofErr w:type="spellStart"/>
      <w:r w:rsidR="00A65706">
        <w:t>lindana</w:t>
      </w:r>
      <w:proofErr w:type="spellEnd"/>
      <w:r w:rsidR="0014716B">
        <w:t xml:space="preserve"> </w:t>
      </w:r>
      <w:r w:rsidR="0014716B" w:rsidRPr="0014716B">
        <w:t>(ɤ-HCH)</w:t>
      </w:r>
      <w:r w:rsidRPr="0014716B">
        <w:t>.</w:t>
      </w:r>
      <w:r w:rsidRPr="00CB4024">
        <w:t xml:space="preserve"> U srpnju 2001. godine u Republici Hrvatskoj je zabranjena i proizvodnja i primjena ovoga pesticida. Do emisija PCB</w:t>
      </w:r>
      <w:r w:rsidR="009C2DEE">
        <w:t>-a</w:t>
      </w:r>
      <w:r w:rsidRPr="00CB4024">
        <w:t xml:space="preserve"> u Republici Hrvatskoj dolazi pri izgaranju goriva u industriji i graditeljstvu, pri procesu proizvodnje željeza i čelika, pri uporabi </w:t>
      </w:r>
      <w:proofErr w:type="spellStart"/>
      <w:r>
        <w:t>POPs</w:t>
      </w:r>
      <w:proofErr w:type="spellEnd"/>
      <w:r>
        <w:t>-ova</w:t>
      </w:r>
      <w:r w:rsidRPr="00CB4024">
        <w:t xml:space="preserve"> te pri termičkoj obradi infektivnog otpada. Dominantan izvor emisije PCB</w:t>
      </w:r>
      <w:r w:rsidR="009C2DEE">
        <w:t>-ova</w:t>
      </w:r>
      <w:r w:rsidRPr="00CB4024">
        <w:t xml:space="preserve"> je uporaba </w:t>
      </w:r>
      <w:proofErr w:type="spellStart"/>
      <w:r>
        <w:t>POPs</w:t>
      </w:r>
      <w:proofErr w:type="spellEnd"/>
      <w:r>
        <w:t>-ova</w:t>
      </w:r>
      <w:r w:rsidRPr="00CB4024">
        <w:t xml:space="preserve"> – uporaba tvari koje se koriste u uređajima za rashlađivanje (hladnjaci i klima uređaji i električni uređaji), a emisiji pridonose u manjoj mjeri i proces proizvodnje čelika i termička obrada infektivnog otpada.</w:t>
      </w:r>
      <w:r w:rsidR="00483490">
        <w:t xml:space="preserve"> </w:t>
      </w:r>
      <w:r w:rsidRPr="00CB4024">
        <w:t xml:space="preserve">Do emisija HCB-a u Republici Hrvatskoj dolazi jedino pri termičkoj obradi otpada iz industrije.   </w:t>
      </w:r>
    </w:p>
    <w:p w14:paraId="2EE40824" w14:textId="77777777" w:rsidR="00317EE7" w:rsidRPr="007E5335" w:rsidRDefault="00317EE7" w:rsidP="007E5335">
      <w:pPr>
        <w:spacing w:before="100" w:beforeAutospacing="1" w:after="120"/>
        <w:rPr>
          <w:i/>
        </w:rPr>
      </w:pPr>
      <w:r w:rsidRPr="007E5335">
        <w:rPr>
          <w:i/>
        </w:rPr>
        <w:t>Emisija HCH</w:t>
      </w:r>
    </w:p>
    <w:p w14:paraId="7D19166E" w14:textId="55576816" w:rsidR="00317EE7" w:rsidRDefault="00317EE7" w:rsidP="00317EE7">
      <w:pPr>
        <w:spacing w:after="120"/>
        <w:jc w:val="both"/>
      </w:pPr>
      <w:r w:rsidRPr="00CB4024">
        <w:t xml:space="preserve">Zabranom uporabe </w:t>
      </w:r>
      <w:proofErr w:type="spellStart"/>
      <w:r w:rsidRPr="00CB4024">
        <w:t>lindana</w:t>
      </w:r>
      <w:proofErr w:type="spellEnd"/>
      <w:r w:rsidRPr="00CB4024">
        <w:t xml:space="preserve"> (</w:t>
      </w:r>
      <w:r w:rsidR="0068143F" w:rsidRPr="0068143F">
        <w:t>ɤ-</w:t>
      </w:r>
      <w:r w:rsidRPr="00CB4024">
        <w:t>HCH) od 2001. godine nema emisija u zrak.</w:t>
      </w:r>
    </w:p>
    <w:p w14:paraId="7C219A96" w14:textId="77777777" w:rsidR="00317EE7" w:rsidRPr="007E5335" w:rsidRDefault="00317EE7" w:rsidP="007E5335">
      <w:pPr>
        <w:spacing w:before="100" w:beforeAutospacing="1" w:after="120"/>
        <w:rPr>
          <w:i/>
        </w:rPr>
      </w:pPr>
      <w:r w:rsidRPr="007E5335">
        <w:rPr>
          <w:i/>
        </w:rPr>
        <w:t>Emisija HCB</w:t>
      </w:r>
    </w:p>
    <w:p w14:paraId="30346953" w14:textId="6776B974" w:rsidR="00317EE7" w:rsidRPr="00CB4024" w:rsidRDefault="00317EE7" w:rsidP="00317EE7">
      <w:pPr>
        <w:spacing w:after="120"/>
        <w:jc w:val="both"/>
      </w:pPr>
      <w:r w:rsidRPr="00CB4024">
        <w:t>Dominaciju u emisiji HCB</w:t>
      </w:r>
      <w:r w:rsidR="009C2DEE">
        <w:t>-a</w:t>
      </w:r>
      <w:r w:rsidRPr="00CB4024">
        <w:t xml:space="preserve"> u Republici Hrvatskoj ima izgaranje goriva u </w:t>
      </w:r>
      <w:r>
        <w:t xml:space="preserve">nepokretnim </w:t>
      </w:r>
      <w:r w:rsidRPr="00CB4024">
        <w:t>energetskim sektorima. Emisija HCB</w:t>
      </w:r>
      <w:r w:rsidR="009C2DEE">
        <w:t>-a</w:t>
      </w:r>
      <w:r w:rsidRPr="00CB4024">
        <w:t xml:space="preserve"> je u 201</w:t>
      </w:r>
      <w:r w:rsidR="00FA4EF5">
        <w:t>7</w:t>
      </w:r>
      <w:r w:rsidRPr="00CB4024">
        <w:t>. godini iznosila 0,</w:t>
      </w:r>
      <w:r w:rsidR="00B035CF">
        <w:t>3</w:t>
      </w:r>
      <w:r w:rsidRPr="00CB4024">
        <w:t xml:space="preserve"> t</w:t>
      </w:r>
      <w:r w:rsidR="004A64F8">
        <w:t>on</w:t>
      </w:r>
      <w:r w:rsidR="009C2DEE">
        <w:t>e</w:t>
      </w:r>
      <w:r w:rsidRPr="00CB4024">
        <w:t>.</w:t>
      </w:r>
    </w:p>
    <w:p w14:paraId="1B326A47" w14:textId="7833296F" w:rsidR="001A64CC" w:rsidRDefault="00317EE7" w:rsidP="00317EE7">
      <w:pPr>
        <w:spacing w:after="120"/>
        <w:jc w:val="both"/>
      </w:pPr>
      <w:r w:rsidRPr="00CB4024">
        <w:t>U usporedbi s 1990. godinom, emisija HCB</w:t>
      </w:r>
      <w:r w:rsidR="009C2DEE">
        <w:t>-a</w:t>
      </w:r>
      <w:r w:rsidRPr="00CB4024">
        <w:t xml:space="preserve"> se </w:t>
      </w:r>
      <w:r w:rsidR="003D5BAD">
        <w:t xml:space="preserve">povećala </w:t>
      </w:r>
      <w:r w:rsidRPr="00CB4024">
        <w:t xml:space="preserve">za </w:t>
      </w:r>
      <w:r w:rsidR="00B035CF">
        <w:t>8</w:t>
      </w:r>
      <w:r w:rsidRPr="00CB4024">
        <w:t>%</w:t>
      </w:r>
      <w:r w:rsidR="00B82B5C">
        <w:t xml:space="preserve">, zbog značajnog povećanja </w:t>
      </w:r>
      <w:r w:rsidR="00B035CF">
        <w:t xml:space="preserve">potrošnje </w:t>
      </w:r>
      <w:r w:rsidR="00C86E26">
        <w:t xml:space="preserve">biomase </w:t>
      </w:r>
      <w:r w:rsidR="00B82B5C">
        <w:t xml:space="preserve">u sektoru </w:t>
      </w:r>
      <w:r w:rsidR="006637BF">
        <w:t>malih ložišta tj. kućanst</w:t>
      </w:r>
      <w:r w:rsidR="009C2DEE">
        <w:t>a</w:t>
      </w:r>
      <w:r w:rsidR="006637BF">
        <w:t>va</w:t>
      </w:r>
      <w:r w:rsidR="00C86E26">
        <w:t xml:space="preserve"> (doprinose 80,9%)</w:t>
      </w:r>
      <w:r w:rsidRPr="00CB4024">
        <w:t>.</w:t>
      </w:r>
      <w:r w:rsidR="006637BF">
        <w:t xml:space="preserve"> </w:t>
      </w:r>
      <w:r w:rsidR="001A64CC" w:rsidRPr="001A64CC">
        <w:t xml:space="preserve">Sektor proizvodnje električne energije i topline (osobito, termoelektrane na ugljen) je </w:t>
      </w:r>
      <w:r w:rsidR="001A64CC" w:rsidRPr="0014716B">
        <w:t>sektor s</w:t>
      </w:r>
      <w:r w:rsidR="001A64CC" w:rsidRPr="001A64CC">
        <w:t xml:space="preserve"> </w:t>
      </w:r>
      <w:r w:rsidR="0014716B">
        <w:t>rastućim utjecajem na emisiju HCB (10,4% u 2017. godini).</w:t>
      </w:r>
    </w:p>
    <w:p w14:paraId="46FE0E2C" w14:textId="4008602F" w:rsidR="00556BA2" w:rsidRDefault="00556BA2" w:rsidP="00055DE9">
      <w:pPr>
        <w:spacing w:after="120"/>
        <w:jc w:val="both"/>
      </w:pPr>
      <w:r w:rsidRPr="00CB5085">
        <w:t xml:space="preserve">Republika Hrvatska ima obvezu </w:t>
      </w:r>
      <w:r>
        <w:t xml:space="preserve">prema </w:t>
      </w:r>
      <w:r w:rsidRPr="00CB5085">
        <w:t xml:space="preserve">Protokolu </w:t>
      </w:r>
      <w:r>
        <w:t xml:space="preserve">o </w:t>
      </w:r>
      <w:proofErr w:type="spellStart"/>
      <w:r w:rsidRPr="00CB5085">
        <w:t>PO</w:t>
      </w:r>
      <w:r>
        <w:t>Ps</w:t>
      </w:r>
      <w:proofErr w:type="spellEnd"/>
      <w:r>
        <w:t>-ovima</w:t>
      </w:r>
      <w:r w:rsidRPr="00CB5085">
        <w:t xml:space="preserve">, </w:t>
      </w:r>
      <w:r>
        <w:t>da</w:t>
      </w:r>
      <w:r w:rsidRPr="00CB5085">
        <w:t xml:space="preserve"> ukupna emisija HCB ne smije prelaziti emisiju </w:t>
      </w:r>
      <w:r w:rsidR="009C2DEE">
        <w:t>iz</w:t>
      </w:r>
      <w:r w:rsidRPr="00CB5085">
        <w:t xml:space="preserve"> bazn</w:t>
      </w:r>
      <w:r w:rsidR="009C2DEE">
        <w:t>e</w:t>
      </w:r>
      <w:r>
        <w:t xml:space="preserve"> 1990. godin</w:t>
      </w:r>
      <w:r w:rsidR="009C2DEE">
        <w:t>e</w:t>
      </w:r>
      <w:r w:rsidRPr="00CB5085">
        <w:t xml:space="preserve">. </w:t>
      </w:r>
      <w:r>
        <w:t>U</w:t>
      </w:r>
      <w:r w:rsidRPr="00CB5085">
        <w:t xml:space="preserve"> </w:t>
      </w:r>
      <w:r w:rsidR="00232310">
        <w:t>201</w:t>
      </w:r>
      <w:r w:rsidR="00C86E26">
        <w:t>7</w:t>
      </w:r>
      <w:r w:rsidR="00232310">
        <w:t>. godini</w:t>
      </w:r>
      <w:r>
        <w:t xml:space="preserve"> ta obveza nije ispunjena</w:t>
      </w:r>
      <w:r w:rsidRPr="00CB5085">
        <w:t>.</w:t>
      </w:r>
      <w:r>
        <w:t xml:space="preserve"> Navedeno je nerealno stanje budući se količina potrošnje biomase u kućanstv</w:t>
      </w:r>
      <w:r w:rsidR="009C2DEE">
        <w:t>ima</w:t>
      </w:r>
      <w:r w:rsidR="0068143F">
        <w:t xml:space="preserve"> povećala u pros</w:t>
      </w:r>
      <w:r>
        <w:t xml:space="preserve">jeku za 30 </w:t>
      </w:r>
      <w:r w:rsidRPr="00253E4C">
        <w:t>PJ</w:t>
      </w:r>
      <w:r w:rsidR="00504141">
        <w:t xml:space="preserve"> (</w:t>
      </w:r>
      <w:proofErr w:type="spellStart"/>
      <w:r w:rsidR="00504141">
        <w:t>peta</w:t>
      </w:r>
      <w:r w:rsidR="00253E4C">
        <w:t>dž</w:t>
      </w:r>
      <w:r w:rsidR="00504141">
        <w:t>ul</w:t>
      </w:r>
      <w:proofErr w:type="spellEnd"/>
      <w:r w:rsidR="00504141">
        <w:t>)</w:t>
      </w:r>
      <w:r>
        <w:t xml:space="preserve"> u cijelom trendu (od 1990.</w:t>
      </w:r>
      <w:r w:rsidR="00B2180D">
        <w:t xml:space="preserve"> godine</w:t>
      </w:r>
      <w:r>
        <w:t>), a nova brojka je uključena samo za 2014. g</w:t>
      </w:r>
      <w:r w:rsidR="00232310">
        <w:t>odinu</w:t>
      </w:r>
      <w:r>
        <w:t xml:space="preserve">. </w:t>
      </w:r>
      <w:proofErr w:type="spellStart"/>
      <w:r>
        <w:t>Rekalkulacija</w:t>
      </w:r>
      <w:proofErr w:type="spellEnd"/>
      <w:r>
        <w:t xml:space="preserve"> trenda potrošnje biomase u kućanstv</w:t>
      </w:r>
      <w:r w:rsidR="009C2DEE">
        <w:t>ima</w:t>
      </w:r>
      <w:r>
        <w:t xml:space="preserve"> je rezultat IPA projekta. Zbog neraspoloživosti novih podataka od 1990. </w:t>
      </w:r>
      <w:r w:rsidR="00483490">
        <w:t xml:space="preserve">godine </w:t>
      </w:r>
      <w:r>
        <w:t>naovamo</w:t>
      </w:r>
      <w:r w:rsidR="0068143F">
        <w:t>,</w:t>
      </w:r>
      <w:r>
        <w:t xml:space="preserve"> nije provedena </w:t>
      </w:r>
      <w:proofErr w:type="spellStart"/>
      <w:r>
        <w:t>rekalkulacija</w:t>
      </w:r>
      <w:proofErr w:type="spellEnd"/>
      <w:r>
        <w:t xml:space="preserve"> povijesnog trenda. </w:t>
      </w:r>
      <w:proofErr w:type="spellStart"/>
      <w:r>
        <w:t>Rekalkulacija</w:t>
      </w:r>
      <w:proofErr w:type="spellEnd"/>
      <w:r>
        <w:t xml:space="preserve"> se planira pro</w:t>
      </w:r>
      <w:r w:rsidR="00232310">
        <w:t>vesti za sljedeće</w:t>
      </w:r>
      <w:r>
        <w:t xml:space="preserve"> </w:t>
      </w:r>
      <w:r w:rsidR="00232310">
        <w:t>Izvješće</w:t>
      </w:r>
      <w:r>
        <w:t>.</w:t>
      </w:r>
    </w:p>
    <w:p w14:paraId="72F725BB" w14:textId="54E9661A" w:rsidR="00317EE7" w:rsidRPr="007E5335" w:rsidRDefault="00317EE7" w:rsidP="007E5335">
      <w:pPr>
        <w:spacing w:before="100" w:beforeAutospacing="1" w:after="120"/>
        <w:rPr>
          <w:i/>
        </w:rPr>
      </w:pPr>
      <w:r w:rsidRPr="007E5335">
        <w:rPr>
          <w:i/>
        </w:rPr>
        <w:t>Emisija PCB</w:t>
      </w:r>
    </w:p>
    <w:p w14:paraId="0E6F6ED2" w14:textId="765E0E7D" w:rsidR="00317EE7" w:rsidRPr="00CB4024" w:rsidRDefault="00317EE7" w:rsidP="00317EE7">
      <w:pPr>
        <w:spacing w:after="120"/>
        <w:jc w:val="both"/>
      </w:pPr>
      <w:proofErr w:type="spellStart"/>
      <w:r w:rsidRPr="00CB4024">
        <w:t>Poliklorirani</w:t>
      </w:r>
      <w:proofErr w:type="spellEnd"/>
      <w:r w:rsidRPr="00CB4024">
        <w:t xml:space="preserve"> </w:t>
      </w:r>
      <w:proofErr w:type="spellStart"/>
      <w:r w:rsidRPr="00CB4024">
        <w:t>bifenili</w:t>
      </w:r>
      <w:proofErr w:type="spellEnd"/>
      <w:r w:rsidRPr="00CB4024">
        <w:t xml:space="preserve"> (PCB) su industrijske kemikalije. Dominantan izvor emisije PCB-a je uporaba </w:t>
      </w:r>
      <w:proofErr w:type="spellStart"/>
      <w:r w:rsidRPr="00CB4024">
        <w:t>PO</w:t>
      </w:r>
      <w:r w:rsidR="009C2DEE">
        <w:t>Ps</w:t>
      </w:r>
      <w:proofErr w:type="spellEnd"/>
      <w:r w:rsidR="009C2DEE">
        <w:t>-ova</w:t>
      </w:r>
      <w:r w:rsidRPr="00CB4024">
        <w:t xml:space="preserve"> i teških metala, aktivnost unutar sektora Industrijski procesi i upotreba proizvoda. Ostali sektori kao što su proizvodnja čelika, termička obrada infektivnog otpada i izgaranje goriva pridonose emisiji PCB</w:t>
      </w:r>
      <w:r w:rsidR="009C2DEE">
        <w:t>-a</w:t>
      </w:r>
      <w:r w:rsidRPr="00CB4024">
        <w:t xml:space="preserve"> u manjoj mjeri. </w:t>
      </w:r>
    </w:p>
    <w:p w14:paraId="1343F23D" w14:textId="2B39B976" w:rsidR="002472DC" w:rsidRDefault="00232310" w:rsidP="00317EE7">
      <w:pPr>
        <w:spacing w:after="120"/>
        <w:jc w:val="both"/>
      </w:pPr>
      <w:r>
        <w:t>Emisija PCB</w:t>
      </w:r>
      <w:r w:rsidR="009C2DEE">
        <w:t>-a</w:t>
      </w:r>
      <w:r>
        <w:t xml:space="preserve"> u 201</w:t>
      </w:r>
      <w:r w:rsidR="00C86E26">
        <w:t>7</w:t>
      </w:r>
      <w:r>
        <w:t>. godini</w:t>
      </w:r>
      <w:r w:rsidR="001A64CC" w:rsidRPr="001A64CC">
        <w:t xml:space="preserve"> iznosila je 4</w:t>
      </w:r>
      <w:r w:rsidR="00C86E26">
        <w:t>15,4</w:t>
      </w:r>
      <w:r w:rsidR="001A64CC" w:rsidRPr="001A64CC">
        <w:t xml:space="preserve"> kg. Ključni izvor, potrošnja PCB</w:t>
      </w:r>
      <w:r w:rsidR="009C2DEE">
        <w:t>-a</w:t>
      </w:r>
      <w:r w:rsidR="001A64CC" w:rsidRPr="001A64CC">
        <w:t xml:space="preserve"> i teških metala, PCB</w:t>
      </w:r>
      <w:r w:rsidR="009C2DEE">
        <w:t>-a</w:t>
      </w:r>
      <w:r w:rsidR="001A64CC" w:rsidRPr="001A64CC">
        <w:t xml:space="preserve"> emisije iz rashladnih i klimatizacijskih uređaja koji koriste </w:t>
      </w:r>
      <w:proofErr w:type="spellStart"/>
      <w:r w:rsidR="001A64CC" w:rsidRPr="001A64CC">
        <w:t>halogenirane</w:t>
      </w:r>
      <w:proofErr w:type="spellEnd"/>
      <w:r w:rsidR="001A64CC" w:rsidRPr="001A64CC">
        <w:t xml:space="preserve"> ugljikovodike (SNAP 060502),“</w:t>
      </w:r>
      <w:proofErr w:type="spellStart"/>
      <w:r w:rsidR="001A64CC" w:rsidRPr="006A4399">
        <w:rPr>
          <w:i/>
        </w:rPr>
        <w:t>foam</w:t>
      </w:r>
      <w:proofErr w:type="spellEnd"/>
      <w:r w:rsidR="001A64CC" w:rsidRPr="006A4399">
        <w:rPr>
          <w:i/>
        </w:rPr>
        <w:t xml:space="preserve"> </w:t>
      </w:r>
      <w:proofErr w:type="spellStart"/>
      <w:r w:rsidR="001A64CC" w:rsidRPr="006A4399">
        <w:rPr>
          <w:i/>
        </w:rPr>
        <w:t>blowing</w:t>
      </w:r>
      <w:proofErr w:type="spellEnd"/>
      <w:r w:rsidR="001A64CC" w:rsidRPr="001A64CC">
        <w:t>“ (SNAP 060504 osim 060304) i električna oprem</w:t>
      </w:r>
      <w:r w:rsidR="009C2DEE">
        <w:t>a</w:t>
      </w:r>
      <w:r w:rsidR="001A64CC" w:rsidRPr="001A64CC">
        <w:t xml:space="preserve"> (SNAP 060507 osim 060203</w:t>
      </w:r>
      <w:r w:rsidR="00407DD4">
        <w:t>). Taj izvor doprinosi s 99</w:t>
      </w:r>
      <w:r w:rsidR="001A64CC" w:rsidRPr="001A64CC">
        <w:t>% ukupnoj nacionalnoj emisiji PCB u 201</w:t>
      </w:r>
      <w:r w:rsidR="00C86E26">
        <w:t>7</w:t>
      </w:r>
      <w:r w:rsidR="001A64CC" w:rsidRPr="001A64CC">
        <w:t>. godini. Promjene u emisiji PCB</w:t>
      </w:r>
      <w:r w:rsidR="009C2DEE">
        <w:t>-a</w:t>
      </w:r>
      <w:r w:rsidR="001A64CC" w:rsidRPr="001A64CC">
        <w:t xml:space="preserve"> su minimalne i izravno ovise o broju stanovnika u R</w:t>
      </w:r>
      <w:r w:rsidR="00F90632">
        <w:t xml:space="preserve">epublici Hrvatskoj </w:t>
      </w:r>
      <w:r w:rsidR="001A64CC" w:rsidRPr="001A64CC">
        <w:t>budući se emisija ključnog izvora proračunava temeljem broja stanovnika u R</w:t>
      </w:r>
      <w:r w:rsidR="001A64CC">
        <w:t>epublici Hrvatskoj</w:t>
      </w:r>
      <w:r w:rsidR="001A64CC" w:rsidRPr="001A64CC">
        <w:t>.</w:t>
      </w:r>
      <w:r w:rsidR="002472DC" w:rsidRPr="002472DC">
        <w:t xml:space="preserve"> </w:t>
      </w:r>
    </w:p>
    <w:p w14:paraId="46D7B976" w14:textId="37D7588D" w:rsidR="00483490" w:rsidRDefault="00AD0270" w:rsidP="00483490">
      <w:pPr>
        <w:spacing w:after="120"/>
        <w:jc w:val="both"/>
      </w:pPr>
      <w:r w:rsidRPr="00407DD4">
        <w:t xml:space="preserve">Na </w:t>
      </w:r>
      <w:r w:rsidRPr="00407DD4">
        <w:rPr>
          <w:noProof/>
        </w:rPr>
        <w:t>grafikonu 2.3-1</w:t>
      </w:r>
      <w:r>
        <w:rPr>
          <w:noProof/>
        </w:rPr>
        <w:t xml:space="preserve">2 </w:t>
      </w:r>
      <w:r w:rsidR="00483490" w:rsidRPr="00CB4024">
        <w:t>su prikazani trendovi emisija PCB</w:t>
      </w:r>
      <w:r w:rsidR="00483490">
        <w:t>-a</w:t>
      </w:r>
      <w:r w:rsidR="00483490" w:rsidRPr="00CB4024">
        <w:t xml:space="preserve"> i HCB</w:t>
      </w:r>
      <w:r w:rsidR="00483490">
        <w:t>-a</w:t>
      </w:r>
      <w:r w:rsidR="00483490" w:rsidRPr="00CB4024">
        <w:t xml:space="preserve"> u Republici Hrvatskoj u razdoblju od 1990. do 201</w:t>
      </w:r>
      <w:r w:rsidR="00C86E26">
        <w:t>7</w:t>
      </w:r>
      <w:r w:rsidR="00483490" w:rsidRPr="00CB4024">
        <w:t xml:space="preserve">. godine. </w:t>
      </w:r>
    </w:p>
    <w:p w14:paraId="452B84E5" w14:textId="55E5BB92" w:rsidR="002472DC" w:rsidRDefault="002472DC" w:rsidP="00317EE7">
      <w:pPr>
        <w:spacing w:after="120"/>
        <w:jc w:val="both"/>
      </w:pPr>
    </w:p>
    <w:p w14:paraId="5AC00B06" w14:textId="104DE716" w:rsidR="00C86E26" w:rsidRDefault="005D76EA" w:rsidP="00AD0270">
      <w:pPr>
        <w:spacing w:after="120"/>
        <w:jc w:val="center"/>
      </w:pPr>
      <w:r>
        <w:rPr>
          <w:noProof/>
        </w:rPr>
        <w:lastRenderedPageBreak/>
        <w:drawing>
          <wp:inline distT="0" distB="0" distL="0" distR="0" wp14:anchorId="225E0BDD" wp14:editId="0D597C6E">
            <wp:extent cx="5810250" cy="3533775"/>
            <wp:effectExtent l="0" t="0" r="0" b="9525"/>
            <wp:docPr id="3" name="Slika 3" descr="cid:image007.png@01D4FAAE.07BA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4FAAE.07BA244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810250" cy="3533775"/>
                    </a:xfrm>
                    <a:prstGeom prst="rect">
                      <a:avLst/>
                    </a:prstGeom>
                    <a:noFill/>
                    <a:ln>
                      <a:noFill/>
                    </a:ln>
                  </pic:spPr>
                </pic:pic>
              </a:graphicData>
            </a:graphic>
          </wp:inline>
        </w:drawing>
      </w:r>
    </w:p>
    <w:p w14:paraId="53991E77" w14:textId="1E418023" w:rsidR="001A64CC" w:rsidRDefault="005D76EA" w:rsidP="004612D2">
      <w:pPr>
        <w:spacing w:after="120"/>
        <w:jc w:val="center"/>
      </w:pPr>
      <w:r>
        <w:rPr>
          <w:noProof/>
        </w:rPr>
        <w:drawing>
          <wp:inline distT="0" distB="0" distL="0" distR="0" wp14:anchorId="3DBA8C0A" wp14:editId="05D02C56">
            <wp:extent cx="5686425" cy="3486150"/>
            <wp:effectExtent l="0" t="0" r="9525" b="0"/>
            <wp:docPr id="4" name="Slika 4" descr="cid:image001.png@01D4FAAD.C75A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FAAD.C75A582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5686425" cy="3486150"/>
                    </a:xfrm>
                    <a:prstGeom prst="rect">
                      <a:avLst/>
                    </a:prstGeom>
                    <a:noFill/>
                    <a:ln>
                      <a:noFill/>
                    </a:ln>
                  </pic:spPr>
                </pic:pic>
              </a:graphicData>
            </a:graphic>
          </wp:inline>
        </w:drawing>
      </w:r>
    </w:p>
    <w:p w14:paraId="20664551" w14:textId="0BA9EF2C" w:rsidR="00317EE7" w:rsidRDefault="004E45FE" w:rsidP="007E5335">
      <w:pPr>
        <w:spacing w:after="120"/>
        <w:rPr>
          <w:i/>
        </w:rPr>
      </w:pPr>
      <w:r w:rsidRPr="004E45FE">
        <w:rPr>
          <w:i/>
        </w:rPr>
        <w:t>Grafikon 2.3-12</w:t>
      </w:r>
      <w:r w:rsidR="00317EE7" w:rsidRPr="004E45FE">
        <w:rPr>
          <w:i/>
        </w:rPr>
        <w:t>: Emisija  HCB i PCB u Republici Hrvatskoj u razdoblju od 1990. do 201</w:t>
      </w:r>
      <w:r w:rsidR="00C86E26" w:rsidRPr="004E45FE">
        <w:rPr>
          <w:i/>
        </w:rPr>
        <w:t>7</w:t>
      </w:r>
      <w:r w:rsidR="00317EE7" w:rsidRPr="004E45FE">
        <w:rPr>
          <w:i/>
        </w:rPr>
        <w:t>. godine (kg</w:t>
      </w:r>
      <w:r w:rsidR="00C46BFE" w:rsidRPr="004E45FE">
        <w:rPr>
          <w:i/>
        </w:rPr>
        <w:t xml:space="preserve"> </w:t>
      </w:r>
      <w:r w:rsidR="00317EE7" w:rsidRPr="004E45FE">
        <w:rPr>
          <w:i/>
        </w:rPr>
        <w:t>god</w:t>
      </w:r>
      <w:r w:rsidR="00F90632" w:rsidRPr="004E45FE">
        <w:rPr>
          <w:i/>
          <w:vertAlign w:val="superscript"/>
        </w:rPr>
        <w:t>-1</w:t>
      </w:r>
      <w:r w:rsidR="00317EE7" w:rsidRPr="004E45FE">
        <w:rPr>
          <w:i/>
        </w:rPr>
        <w:t>)</w:t>
      </w:r>
    </w:p>
    <w:p w14:paraId="11492954" w14:textId="6A556977" w:rsidR="0097052D" w:rsidRDefault="0097052D" w:rsidP="007E5335">
      <w:pPr>
        <w:spacing w:after="120"/>
        <w:rPr>
          <w:i/>
        </w:rPr>
      </w:pPr>
    </w:p>
    <w:p w14:paraId="69BBE7C6" w14:textId="12BD1293" w:rsidR="0097052D" w:rsidRDefault="0097052D" w:rsidP="007E5335">
      <w:pPr>
        <w:spacing w:after="120"/>
        <w:rPr>
          <w:i/>
        </w:rPr>
      </w:pPr>
    </w:p>
    <w:p w14:paraId="7A7E4A1F" w14:textId="0A90F3D2" w:rsidR="0097052D" w:rsidRDefault="0097052D" w:rsidP="007E5335">
      <w:pPr>
        <w:spacing w:after="120"/>
        <w:rPr>
          <w:i/>
        </w:rPr>
      </w:pPr>
    </w:p>
    <w:p w14:paraId="75E6681F" w14:textId="5926D09C" w:rsidR="0097052D" w:rsidRDefault="0097052D" w:rsidP="007E5335">
      <w:pPr>
        <w:spacing w:after="120"/>
        <w:rPr>
          <w:i/>
        </w:rPr>
      </w:pPr>
    </w:p>
    <w:p w14:paraId="411DC7AA" w14:textId="77777777" w:rsidR="0097052D" w:rsidRPr="004E45FE" w:rsidRDefault="0097052D" w:rsidP="007E5335">
      <w:pPr>
        <w:spacing w:after="120"/>
        <w:rPr>
          <w:i/>
        </w:rPr>
      </w:pPr>
    </w:p>
    <w:p w14:paraId="4079D658" w14:textId="45D5BCA5" w:rsidR="009F5921" w:rsidRDefault="009F5921" w:rsidP="00317EE7">
      <w:pPr>
        <w:spacing w:after="120"/>
        <w:rPr>
          <w:i/>
          <w:sz w:val="20"/>
          <w:szCs w:val="20"/>
        </w:rPr>
      </w:pPr>
    </w:p>
    <w:p w14:paraId="268D95E1" w14:textId="4CB07B85" w:rsidR="00317EE7" w:rsidRPr="007E5335" w:rsidRDefault="007E5335" w:rsidP="007E5335">
      <w:pPr>
        <w:pStyle w:val="Naslov2"/>
        <w:numPr>
          <w:ilvl w:val="1"/>
          <w:numId w:val="9"/>
        </w:numPr>
        <w:rPr>
          <w:b w:val="0"/>
        </w:rPr>
      </w:pPr>
      <w:bookmarkStart w:id="18" w:name="_Toc8637309"/>
      <w:r w:rsidRPr="007E5335">
        <w:rPr>
          <w:b w:val="0"/>
        </w:rPr>
        <w:lastRenderedPageBreak/>
        <w:t>TRENUTNA I PROCIJENJENA PROIZVODNJA, UPORABA I ISPUŠTANJE POPS-OVA</w:t>
      </w:r>
      <w:bookmarkEnd w:id="18"/>
    </w:p>
    <w:p w14:paraId="62958055" w14:textId="77777777" w:rsidR="001E4B85" w:rsidRPr="001E4B85" w:rsidRDefault="001E4B85" w:rsidP="001E4B85">
      <w:pPr>
        <w:pStyle w:val="Odlomakpopisa"/>
        <w:ind w:left="360"/>
      </w:pPr>
    </w:p>
    <w:p w14:paraId="20BB9FFF" w14:textId="68ADCBFC" w:rsidR="00317EE7" w:rsidRPr="00AE7009" w:rsidRDefault="00317EE7" w:rsidP="00317EE7">
      <w:pPr>
        <w:spacing w:after="120"/>
      </w:pPr>
      <w:r w:rsidRPr="00AE7009">
        <w:t xml:space="preserve">Trenutna i procijenjena proizvodnja, uporaba i ispuštanje </w:t>
      </w:r>
      <w:proofErr w:type="spellStart"/>
      <w:r w:rsidRPr="00AE7009">
        <w:t>POPs</w:t>
      </w:r>
      <w:proofErr w:type="spellEnd"/>
      <w:r>
        <w:t>-</w:t>
      </w:r>
      <w:r w:rsidRPr="00AE7009">
        <w:t xml:space="preserve">ova je prikazana u </w:t>
      </w:r>
      <w:r w:rsidRPr="00CF5476">
        <w:t xml:space="preserve">tablici </w:t>
      </w:r>
      <w:r w:rsidR="0097052D" w:rsidRPr="0097052D">
        <w:t>2.4-1</w:t>
      </w:r>
      <w:r w:rsidRPr="00CF5476">
        <w:t>.</w:t>
      </w:r>
    </w:p>
    <w:p w14:paraId="7627E4B7" w14:textId="35828A5E" w:rsidR="00653CA9" w:rsidRDefault="004E45FE" w:rsidP="007E5335">
      <w:pPr>
        <w:rPr>
          <w:i/>
        </w:rPr>
      </w:pPr>
      <w:r w:rsidRPr="00DE5CBC">
        <w:rPr>
          <w:i/>
          <w:color w:val="000000"/>
        </w:rPr>
        <w:t xml:space="preserve">Tablica 2.4-1: </w:t>
      </w:r>
      <w:r w:rsidR="00653CA9" w:rsidRPr="00DE5CBC">
        <w:rPr>
          <w:i/>
        </w:rPr>
        <w:t xml:space="preserve">Trenutna i procijenjena proizvodnja, uporaba i ispuštanje </w:t>
      </w:r>
      <w:proofErr w:type="spellStart"/>
      <w:r w:rsidR="00653CA9" w:rsidRPr="00DE5CBC">
        <w:rPr>
          <w:i/>
        </w:rPr>
        <w:t>POPs</w:t>
      </w:r>
      <w:proofErr w:type="spellEnd"/>
      <w:r w:rsidR="00653CA9" w:rsidRPr="00DE5CBC">
        <w:rPr>
          <w:i/>
        </w:rPr>
        <w:t>-ova</w:t>
      </w:r>
    </w:p>
    <w:p w14:paraId="6C02F7AF" w14:textId="77777777" w:rsidR="00DE5CBC" w:rsidRPr="00DE5CBC" w:rsidRDefault="00DE5CBC" w:rsidP="00DE5CBC">
      <w:pPr>
        <w:jc w:val="center"/>
        <w:rPr>
          <w:i/>
        </w:rPr>
      </w:pPr>
    </w:p>
    <w:tbl>
      <w:tblPr>
        <w:tblStyle w:val="Reetkatablice"/>
        <w:tblW w:w="0" w:type="auto"/>
        <w:jc w:val="center"/>
        <w:tblLook w:val="04A0" w:firstRow="1" w:lastRow="0" w:firstColumn="1" w:lastColumn="0" w:noHBand="0" w:noVBand="1"/>
      </w:tblPr>
      <w:tblGrid>
        <w:gridCol w:w="3652"/>
        <w:gridCol w:w="1416"/>
        <w:gridCol w:w="993"/>
        <w:gridCol w:w="992"/>
      </w:tblGrid>
      <w:tr w:rsidR="00653CA9" w:rsidRPr="004E439F" w14:paraId="142931EB" w14:textId="77777777" w:rsidTr="003A09DB">
        <w:trPr>
          <w:trHeight w:val="397"/>
          <w:jc w:val="center"/>
        </w:trPr>
        <w:tc>
          <w:tcPr>
            <w:tcW w:w="3652" w:type="dxa"/>
            <w:vAlign w:val="center"/>
          </w:tcPr>
          <w:p w14:paraId="737E2B67" w14:textId="77777777" w:rsidR="00653CA9" w:rsidRPr="004E439F" w:rsidRDefault="00653CA9" w:rsidP="003A09DB">
            <w:pPr>
              <w:rPr>
                <w:b/>
                <w:bCs/>
                <w:color w:val="000000"/>
              </w:rPr>
            </w:pPr>
            <w:r w:rsidRPr="004E439F">
              <w:rPr>
                <w:b/>
                <w:bCs/>
                <w:color w:val="000000"/>
              </w:rPr>
              <w:t>Godina</w:t>
            </w:r>
          </w:p>
        </w:tc>
        <w:tc>
          <w:tcPr>
            <w:tcW w:w="1116" w:type="dxa"/>
            <w:vAlign w:val="center"/>
          </w:tcPr>
          <w:p w14:paraId="4A5406FA" w14:textId="77777777" w:rsidR="00653CA9" w:rsidRPr="004E439F" w:rsidRDefault="00653CA9" w:rsidP="003A09DB">
            <w:pPr>
              <w:rPr>
                <w:b/>
                <w:bCs/>
                <w:color w:val="000000"/>
              </w:rPr>
            </w:pPr>
            <w:r w:rsidRPr="004E439F">
              <w:rPr>
                <w:b/>
                <w:bCs/>
                <w:color w:val="000000"/>
              </w:rPr>
              <w:t>2013.</w:t>
            </w:r>
          </w:p>
        </w:tc>
        <w:tc>
          <w:tcPr>
            <w:tcW w:w="993" w:type="dxa"/>
            <w:vAlign w:val="center"/>
          </w:tcPr>
          <w:p w14:paraId="149C88B4" w14:textId="77777777" w:rsidR="00653CA9" w:rsidRPr="004E439F" w:rsidRDefault="00653CA9" w:rsidP="003A09DB">
            <w:pPr>
              <w:rPr>
                <w:b/>
                <w:bCs/>
                <w:color w:val="000000"/>
              </w:rPr>
            </w:pPr>
            <w:r w:rsidRPr="004E439F">
              <w:rPr>
                <w:b/>
                <w:bCs/>
                <w:color w:val="000000"/>
              </w:rPr>
              <w:t>2020.</w:t>
            </w:r>
          </w:p>
        </w:tc>
        <w:tc>
          <w:tcPr>
            <w:tcW w:w="992" w:type="dxa"/>
            <w:vAlign w:val="center"/>
          </w:tcPr>
          <w:p w14:paraId="543519BC" w14:textId="77777777" w:rsidR="00653CA9" w:rsidRPr="004E439F" w:rsidRDefault="00653CA9" w:rsidP="003A09DB">
            <w:pPr>
              <w:rPr>
                <w:b/>
                <w:bCs/>
                <w:color w:val="000000"/>
              </w:rPr>
            </w:pPr>
            <w:r w:rsidRPr="004E439F">
              <w:rPr>
                <w:b/>
                <w:bCs/>
                <w:color w:val="000000"/>
              </w:rPr>
              <w:t>2030.</w:t>
            </w:r>
          </w:p>
        </w:tc>
      </w:tr>
      <w:tr w:rsidR="00653CA9" w:rsidRPr="004E439F" w14:paraId="05913BF8" w14:textId="77777777" w:rsidTr="003A09DB">
        <w:trPr>
          <w:trHeight w:val="397"/>
          <w:jc w:val="center"/>
        </w:trPr>
        <w:tc>
          <w:tcPr>
            <w:tcW w:w="3652" w:type="dxa"/>
            <w:shd w:val="clear" w:color="auto" w:fill="D9D9D9" w:themeFill="background1" w:themeFillShade="D9"/>
            <w:vAlign w:val="center"/>
          </w:tcPr>
          <w:p w14:paraId="0B6CB813" w14:textId="77777777" w:rsidR="00653CA9" w:rsidRPr="004E439F" w:rsidRDefault="00653CA9" w:rsidP="003A09DB">
            <w:pPr>
              <w:rPr>
                <w:color w:val="000000"/>
              </w:rPr>
            </w:pPr>
            <w:proofErr w:type="spellStart"/>
            <w:r w:rsidRPr="004E439F">
              <w:rPr>
                <w:color w:val="000000"/>
              </w:rPr>
              <w:t>POPs</w:t>
            </w:r>
            <w:proofErr w:type="spellEnd"/>
            <w:r w:rsidRPr="004E439F">
              <w:rPr>
                <w:color w:val="000000"/>
              </w:rPr>
              <w:t xml:space="preserve"> Pesticidi</w:t>
            </w:r>
          </w:p>
        </w:tc>
        <w:tc>
          <w:tcPr>
            <w:tcW w:w="1116" w:type="dxa"/>
            <w:shd w:val="clear" w:color="auto" w:fill="D9D9D9" w:themeFill="background1" w:themeFillShade="D9"/>
            <w:vAlign w:val="center"/>
          </w:tcPr>
          <w:p w14:paraId="64DE711D" w14:textId="77777777" w:rsidR="00653CA9" w:rsidRPr="004E439F" w:rsidRDefault="00653CA9" w:rsidP="003A09DB">
            <w:pPr>
              <w:rPr>
                <w:color w:val="000000"/>
              </w:rPr>
            </w:pPr>
            <w:r w:rsidRPr="004E439F">
              <w:rPr>
                <w:color w:val="000000"/>
              </w:rPr>
              <w:t> </w:t>
            </w:r>
          </w:p>
        </w:tc>
        <w:tc>
          <w:tcPr>
            <w:tcW w:w="993" w:type="dxa"/>
            <w:shd w:val="clear" w:color="auto" w:fill="D9D9D9" w:themeFill="background1" w:themeFillShade="D9"/>
            <w:vAlign w:val="center"/>
          </w:tcPr>
          <w:p w14:paraId="44A658ED" w14:textId="77777777" w:rsidR="00653CA9" w:rsidRPr="004E439F" w:rsidRDefault="00653CA9" w:rsidP="003A09DB">
            <w:pPr>
              <w:rPr>
                <w:color w:val="000000"/>
              </w:rPr>
            </w:pPr>
            <w:r w:rsidRPr="004E439F">
              <w:rPr>
                <w:color w:val="000000"/>
              </w:rPr>
              <w:t> </w:t>
            </w:r>
          </w:p>
        </w:tc>
        <w:tc>
          <w:tcPr>
            <w:tcW w:w="992" w:type="dxa"/>
            <w:shd w:val="clear" w:color="auto" w:fill="D9D9D9" w:themeFill="background1" w:themeFillShade="D9"/>
            <w:vAlign w:val="center"/>
          </w:tcPr>
          <w:p w14:paraId="3CAE4B72" w14:textId="77777777" w:rsidR="00653CA9" w:rsidRPr="004E439F" w:rsidRDefault="00653CA9" w:rsidP="003A09DB">
            <w:pPr>
              <w:rPr>
                <w:color w:val="000000"/>
              </w:rPr>
            </w:pPr>
            <w:r w:rsidRPr="004E439F">
              <w:rPr>
                <w:color w:val="000000"/>
              </w:rPr>
              <w:t> </w:t>
            </w:r>
          </w:p>
        </w:tc>
      </w:tr>
      <w:tr w:rsidR="00653CA9" w:rsidRPr="004E439F" w14:paraId="550636EE" w14:textId="77777777" w:rsidTr="003A09DB">
        <w:trPr>
          <w:trHeight w:val="397"/>
          <w:jc w:val="center"/>
        </w:trPr>
        <w:tc>
          <w:tcPr>
            <w:tcW w:w="3652" w:type="dxa"/>
            <w:shd w:val="clear" w:color="auto" w:fill="D9D9D9" w:themeFill="background1" w:themeFillShade="D9"/>
            <w:vAlign w:val="center"/>
          </w:tcPr>
          <w:p w14:paraId="2FB64D9F" w14:textId="77777777" w:rsidR="00653CA9" w:rsidRPr="004E439F" w:rsidRDefault="00653CA9" w:rsidP="003A09DB">
            <w:pPr>
              <w:rPr>
                <w:color w:val="000000"/>
              </w:rPr>
            </w:pPr>
            <w:r w:rsidRPr="004E439F">
              <w:rPr>
                <w:color w:val="000000"/>
              </w:rPr>
              <w:t>Proizvodnja (tona)</w:t>
            </w:r>
          </w:p>
        </w:tc>
        <w:tc>
          <w:tcPr>
            <w:tcW w:w="1116" w:type="dxa"/>
            <w:shd w:val="clear" w:color="auto" w:fill="D9D9D9" w:themeFill="background1" w:themeFillShade="D9"/>
            <w:vAlign w:val="center"/>
          </w:tcPr>
          <w:p w14:paraId="7FCC8CE6" w14:textId="77777777" w:rsidR="00653CA9" w:rsidRPr="004E439F" w:rsidRDefault="00653CA9" w:rsidP="003A09DB">
            <w:pPr>
              <w:rPr>
                <w:color w:val="000000"/>
              </w:rPr>
            </w:pPr>
            <w:r w:rsidRPr="004E439F">
              <w:rPr>
                <w:color w:val="000000"/>
              </w:rPr>
              <w:t> </w:t>
            </w:r>
          </w:p>
        </w:tc>
        <w:tc>
          <w:tcPr>
            <w:tcW w:w="993" w:type="dxa"/>
            <w:shd w:val="clear" w:color="auto" w:fill="D9D9D9" w:themeFill="background1" w:themeFillShade="D9"/>
            <w:vAlign w:val="center"/>
          </w:tcPr>
          <w:p w14:paraId="65463FF9" w14:textId="77777777" w:rsidR="00653CA9" w:rsidRPr="004E439F" w:rsidRDefault="00653CA9" w:rsidP="003A09DB">
            <w:pPr>
              <w:rPr>
                <w:color w:val="000000"/>
              </w:rPr>
            </w:pPr>
            <w:r w:rsidRPr="004E439F">
              <w:rPr>
                <w:color w:val="000000"/>
              </w:rPr>
              <w:t> </w:t>
            </w:r>
          </w:p>
        </w:tc>
        <w:tc>
          <w:tcPr>
            <w:tcW w:w="992" w:type="dxa"/>
            <w:shd w:val="clear" w:color="auto" w:fill="D9D9D9" w:themeFill="background1" w:themeFillShade="D9"/>
            <w:vAlign w:val="center"/>
          </w:tcPr>
          <w:p w14:paraId="53112D5D" w14:textId="77777777" w:rsidR="00653CA9" w:rsidRPr="004E439F" w:rsidRDefault="00653CA9" w:rsidP="003A09DB">
            <w:pPr>
              <w:rPr>
                <w:color w:val="000000"/>
              </w:rPr>
            </w:pPr>
            <w:r w:rsidRPr="004E439F">
              <w:rPr>
                <w:color w:val="000000"/>
              </w:rPr>
              <w:t> </w:t>
            </w:r>
          </w:p>
        </w:tc>
      </w:tr>
      <w:tr w:rsidR="00653CA9" w:rsidRPr="004E439F" w14:paraId="627856C6" w14:textId="77777777" w:rsidTr="003A09DB">
        <w:trPr>
          <w:trHeight w:val="397"/>
          <w:jc w:val="center"/>
        </w:trPr>
        <w:tc>
          <w:tcPr>
            <w:tcW w:w="3652" w:type="dxa"/>
            <w:vAlign w:val="center"/>
          </w:tcPr>
          <w:p w14:paraId="6A7622BF" w14:textId="77777777" w:rsidR="00653CA9" w:rsidRPr="004E439F" w:rsidRDefault="00653CA9" w:rsidP="003A09DB">
            <w:pPr>
              <w:rPr>
                <w:color w:val="000000"/>
              </w:rPr>
            </w:pPr>
            <w:proofErr w:type="spellStart"/>
            <w:r w:rsidRPr="004E439F">
              <w:rPr>
                <w:color w:val="000000"/>
              </w:rPr>
              <w:t>aldrin</w:t>
            </w:r>
            <w:proofErr w:type="spellEnd"/>
          </w:p>
        </w:tc>
        <w:tc>
          <w:tcPr>
            <w:tcW w:w="1116" w:type="dxa"/>
            <w:vAlign w:val="center"/>
          </w:tcPr>
          <w:p w14:paraId="511FF4DE" w14:textId="77777777" w:rsidR="00653CA9" w:rsidRPr="004E439F" w:rsidRDefault="00653CA9" w:rsidP="003A09DB">
            <w:pPr>
              <w:rPr>
                <w:color w:val="000000"/>
              </w:rPr>
            </w:pPr>
            <w:r w:rsidRPr="004E439F">
              <w:rPr>
                <w:color w:val="000000"/>
              </w:rPr>
              <w:t>0</w:t>
            </w:r>
          </w:p>
        </w:tc>
        <w:tc>
          <w:tcPr>
            <w:tcW w:w="993" w:type="dxa"/>
            <w:vAlign w:val="center"/>
          </w:tcPr>
          <w:p w14:paraId="5201CFAD" w14:textId="77777777" w:rsidR="00653CA9" w:rsidRPr="004E439F" w:rsidRDefault="00653CA9" w:rsidP="003A09DB">
            <w:pPr>
              <w:rPr>
                <w:color w:val="000000"/>
              </w:rPr>
            </w:pPr>
            <w:r w:rsidRPr="004E439F">
              <w:rPr>
                <w:color w:val="000000"/>
              </w:rPr>
              <w:t>0</w:t>
            </w:r>
          </w:p>
        </w:tc>
        <w:tc>
          <w:tcPr>
            <w:tcW w:w="992" w:type="dxa"/>
            <w:vAlign w:val="center"/>
          </w:tcPr>
          <w:p w14:paraId="2A88F053" w14:textId="77777777" w:rsidR="00653CA9" w:rsidRPr="004E439F" w:rsidRDefault="00653CA9" w:rsidP="003A09DB">
            <w:pPr>
              <w:rPr>
                <w:color w:val="000000"/>
              </w:rPr>
            </w:pPr>
            <w:r w:rsidRPr="004E439F">
              <w:rPr>
                <w:color w:val="000000"/>
              </w:rPr>
              <w:t>0</w:t>
            </w:r>
          </w:p>
        </w:tc>
      </w:tr>
      <w:tr w:rsidR="00653CA9" w:rsidRPr="004E439F" w14:paraId="7D60971F" w14:textId="77777777" w:rsidTr="003A09DB">
        <w:trPr>
          <w:trHeight w:val="397"/>
          <w:jc w:val="center"/>
        </w:trPr>
        <w:tc>
          <w:tcPr>
            <w:tcW w:w="3652" w:type="dxa"/>
            <w:vAlign w:val="center"/>
          </w:tcPr>
          <w:p w14:paraId="3DA5D3BB" w14:textId="77777777" w:rsidR="00653CA9" w:rsidRPr="004E439F" w:rsidRDefault="00653CA9" w:rsidP="003A09DB">
            <w:pPr>
              <w:rPr>
                <w:color w:val="000000"/>
              </w:rPr>
            </w:pPr>
            <w:proofErr w:type="spellStart"/>
            <w:r w:rsidRPr="004E439F">
              <w:rPr>
                <w:color w:val="000000"/>
              </w:rPr>
              <w:t>klordan</w:t>
            </w:r>
            <w:proofErr w:type="spellEnd"/>
          </w:p>
        </w:tc>
        <w:tc>
          <w:tcPr>
            <w:tcW w:w="1116" w:type="dxa"/>
            <w:vAlign w:val="center"/>
          </w:tcPr>
          <w:p w14:paraId="1DB872B2" w14:textId="77777777" w:rsidR="00653CA9" w:rsidRPr="004E439F" w:rsidRDefault="00653CA9" w:rsidP="003A09DB">
            <w:pPr>
              <w:rPr>
                <w:color w:val="000000"/>
              </w:rPr>
            </w:pPr>
            <w:r w:rsidRPr="004E439F">
              <w:rPr>
                <w:color w:val="000000"/>
              </w:rPr>
              <w:t>0</w:t>
            </w:r>
          </w:p>
        </w:tc>
        <w:tc>
          <w:tcPr>
            <w:tcW w:w="993" w:type="dxa"/>
            <w:vAlign w:val="center"/>
          </w:tcPr>
          <w:p w14:paraId="4814CE43" w14:textId="77777777" w:rsidR="00653CA9" w:rsidRPr="004E439F" w:rsidRDefault="00653CA9" w:rsidP="003A09DB">
            <w:pPr>
              <w:rPr>
                <w:color w:val="000000"/>
              </w:rPr>
            </w:pPr>
            <w:r w:rsidRPr="004E439F">
              <w:rPr>
                <w:color w:val="000000"/>
              </w:rPr>
              <w:t>0</w:t>
            </w:r>
          </w:p>
        </w:tc>
        <w:tc>
          <w:tcPr>
            <w:tcW w:w="992" w:type="dxa"/>
            <w:vAlign w:val="center"/>
          </w:tcPr>
          <w:p w14:paraId="6139B1A3" w14:textId="77777777" w:rsidR="00653CA9" w:rsidRPr="004E439F" w:rsidRDefault="00653CA9" w:rsidP="003A09DB">
            <w:pPr>
              <w:rPr>
                <w:color w:val="000000"/>
              </w:rPr>
            </w:pPr>
            <w:r w:rsidRPr="004E439F">
              <w:rPr>
                <w:color w:val="000000"/>
              </w:rPr>
              <w:t>0</w:t>
            </w:r>
          </w:p>
        </w:tc>
      </w:tr>
      <w:tr w:rsidR="00653CA9" w:rsidRPr="004E439F" w14:paraId="15F99F2C" w14:textId="77777777" w:rsidTr="003A09DB">
        <w:trPr>
          <w:trHeight w:val="397"/>
          <w:jc w:val="center"/>
        </w:trPr>
        <w:tc>
          <w:tcPr>
            <w:tcW w:w="3652" w:type="dxa"/>
            <w:vAlign w:val="center"/>
          </w:tcPr>
          <w:p w14:paraId="7D928974" w14:textId="77777777" w:rsidR="00653CA9" w:rsidRPr="004E439F" w:rsidRDefault="00653CA9" w:rsidP="003A09DB">
            <w:pPr>
              <w:rPr>
                <w:color w:val="000000"/>
              </w:rPr>
            </w:pPr>
            <w:proofErr w:type="spellStart"/>
            <w:r w:rsidRPr="004E439F">
              <w:rPr>
                <w:color w:val="000000"/>
              </w:rPr>
              <w:t>dieldrin</w:t>
            </w:r>
            <w:proofErr w:type="spellEnd"/>
          </w:p>
        </w:tc>
        <w:tc>
          <w:tcPr>
            <w:tcW w:w="1116" w:type="dxa"/>
            <w:vAlign w:val="center"/>
          </w:tcPr>
          <w:p w14:paraId="79B01774" w14:textId="77777777" w:rsidR="00653CA9" w:rsidRPr="004E439F" w:rsidRDefault="00653CA9" w:rsidP="003A09DB">
            <w:pPr>
              <w:rPr>
                <w:color w:val="000000"/>
              </w:rPr>
            </w:pPr>
            <w:r w:rsidRPr="004E439F">
              <w:rPr>
                <w:color w:val="000000"/>
              </w:rPr>
              <w:t>0</w:t>
            </w:r>
          </w:p>
        </w:tc>
        <w:tc>
          <w:tcPr>
            <w:tcW w:w="993" w:type="dxa"/>
            <w:vAlign w:val="center"/>
          </w:tcPr>
          <w:p w14:paraId="7380C821" w14:textId="77777777" w:rsidR="00653CA9" w:rsidRPr="004E439F" w:rsidRDefault="00653CA9" w:rsidP="003A09DB">
            <w:pPr>
              <w:rPr>
                <w:color w:val="000000"/>
              </w:rPr>
            </w:pPr>
            <w:r w:rsidRPr="004E439F">
              <w:rPr>
                <w:color w:val="000000"/>
              </w:rPr>
              <w:t>0</w:t>
            </w:r>
          </w:p>
        </w:tc>
        <w:tc>
          <w:tcPr>
            <w:tcW w:w="992" w:type="dxa"/>
            <w:vAlign w:val="center"/>
          </w:tcPr>
          <w:p w14:paraId="2E8A9818" w14:textId="77777777" w:rsidR="00653CA9" w:rsidRPr="004E439F" w:rsidRDefault="00653CA9" w:rsidP="003A09DB">
            <w:pPr>
              <w:rPr>
                <w:color w:val="000000"/>
              </w:rPr>
            </w:pPr>
            <w:r w:rsidRPr="004E439F">
              <w:rPr>
                <w:color w:val="000000"/>
              </w:rPr>
              <w:t>0</w:t>
            </w:r>
          </w:p>
        </w:tc>
      </w:tr>
      <w:tr w:rsidR="00653CA9" w:rsidRPr="004E439F" w14:paraId="4E3A259D" w14:textId="77777777" w:rsidTr="003A09DB">
        <w:trPr>
          <w:trHeight w:val="397"/>
          <w:jc w:val="center"/>
        </w:trPr>
        <w:tc>
          <w:tcPr>
            <w:tcW w:w="3652" w:type="dxa"/>
            <w:vAlign w:val="center"/>
          </w:tcPr>
          <w:p w14:paraId="245C1548" w14:textId="77777777" w:rsidR="00653CA9" w:rsidRPr="004E439F" w:rsidRDefault="00653CA9" w:rsidP="003A09DB">
            <w:pPr>
              <w:rPr>
                <w:color w:val="000000"/>
              </w:rPr>
            </w:pPr>
            <w:proofErr w:type="spellStart"/>
            <w:r w:rsidRPr="004E439F">
              <w:rPr>
                <w:color w:val="000000"/>
              </w:rPr>
              <w:t>endrin</w:t>
            </w:r>
            <w:proofErr w:type="spellEnd"/>
          </w:p>
        </w:tc>
        <w:tc>
          <w:tcPr>
            <w:tcW w:w="1116" w:type="dxa"/>
            <w:vAlign w:val="center"/>
          </w:tcPr>
          <w:p w14:paraId="7BA92AC4" w14:textId="77777777" w:rsidR="00653CA9" w:rsidRPr="004E439F" w:rsidRDefault="00653CA9" w:rsidP="003A09DB">
            <w:pPr>
              <w:rPr>
                <w:color w:val="000000"/>
              </w:rPr>
            </w:pPr>
            <w:r w:rsidRPr="004E439F">
              <w:rPr>
                <w:color w:val="000000"/>
              </w:rPr>
              <w:t>0</w:t>
            </w:r>
          </w:p>
        </w:tc>
        <w:tc>
          <w:tcPr>
            <w:tcW w:w="993" w:type="dxa"/>
            <w:vAlign w:val="center"/>
          </w:tcPr>
          <w:p w14:paraId="23DAA993" w14:textId="77777777" w:rsidR="00653CA9" w:rsidRPr="004E439F" w:rsidRDefault="00653CA9" w:rsidP="003A09DB">
            <w:pPr>
              <w:rPr>
                <w:color w:val="000000"/>
              </w:rPr>
            </w:pPr>
            <w:r w:rsidRPr="004E439F">
              <w:rPr>
                <w:color w:val="000000"/>
              </w:rPr>
              <w:t>0</w:t>
            </w:r>
          </w:p>
        </w:tc>
        <w:tc>
          <w:tcPr>
            <w:tcW w:w="992" w:type="dxa"/>
            <w:vAlign w:val="center"/>
          </w:tcPr>
          <w:p w14:paraId="16A8365C" w14:textId="77777777" w:rsidR="00653CA9" w:rsidRPr="004E439F" w:rsidRDefault="00653CA9" w:rsidP="003A09DB">
            <w:pPr>
              <w:rPr>
                <w:color w:val="000000"/>
              </w:rPr>
            </w:pPr>
            <w:r w:rsidRPr="004E439F">
              <w:rPr>
                <w:color w:val="000000"/>
              </w:rPr>
              <w:t>0</w:t>
            </w:r>
          </w:p>
        </w:tc>
      </w:tr>
      <w:tr w:rsidR="00653CA9" w:rsidRPr="004E439F" w14:paraId="145B238F" w14:textId="77777777" w:rsidTr="003A09DB">
        <w:trPr>
          <w:trHeight w:val="397"/>
          <w:jc w:val="center"/>
        </w:trPr>
        <w:tc>
          <w:tcPr>
            <w:tcW w:w="3652" w:type="dxa"/>
            <w:vAlign w:val="center"/>
          </w:tcPr>
          <w:p w14:paraId="27C1C8BC" w14:textId="77777777" w:rsidR="00653CA9" w:rsidRPr="004E439F" w:rsidRDefault="00653CA9" w:rsidP="003A09DB">
            <w:pPr>
              <w:rPr>
                <w:color w:val="000000"/>
              </w:rPr>
            </w:pPr>
            <w:proofErr w:type="spellStart"/>
            <w:r w:rsidRPr="004E439F">
              <w:rPr>
                <w:color w:val="000000"/>
              </w:rPr>
              <w:t>heptaklor</w:t>
            </w:r>
            <w:proofErr w:type="spellEnd"/>
          </w:p>
        </w:tc>
        <w:tc>
          <w:tcPr>
            <w:tcW w:w="1116" w:type="dxa"/>
            <w:vAlign w:val="center"/>
          </w:tcPr>
          <w:p w14:paraId="503E9FD3" w14:textId="77777777" w:rsidR="00653CA9" w:rsidRPr="004E439F" w:rsidRDefault="00653CA9" w:rsidP="003A09DB">
            <w:pPr>
              <w:rPr>
                <w:color w:val="000000"/>
              </w:rPr>
            </w:pPr>
            <w:r w:rsidRPr="004E439F">
              <w:rPr>
                <w:color w:val="000000"/>
              </w:rPr>
              <w:t>0</w:t>
            </w:r>
          </w:p>
        </w:tc>
        <w:tc>
          <w:tcPr>
            <w:tcW w:w="993" w:type="dxa"/>
            <w:vAlign w:val="center"/>
          </w:tcPr>
          <w:p w14:paraId="0D863F17" w14:textId="77777777" w:rsidR="00653CA9" w:rsidRPr="004E439F" w:rsidRDefault="00653CA9" w:rsidP="003A09DB">
            <w:pPr>
              <w:rPr>
                <w:color w:val="000000"/>
              </w:rPr>
            </w:pPr>
            <w:r w:rsidRPr="004E439F">
              <w:rPr>
                <w:color w:val="000000"/>
              </w:rPr>
              <w:t>0</w:t>
            </w:r>
          </w:p>
        </w:tc>
        <w:tc>
          <w:tcPr>
            <w:tcW w:w="992" w:type="dxa"/>
            <w:vAlign w:val="center"/>
          </w:tcPr>
          <w:p w14:paraId="722F1C3C" w14:textId="77777777" w:rsidR="00653CA9" w:rsidRPr="004E439F" w:rsidRDefault="00653CA9" w:rsidP="003A09DB">
            <w:pPr>
              <w:rPr>
                <w:color w:val="000000"/>
              </w:rPr>
            </w:pPr>
            <w:r w:rsidRPr="004E439F">
              <w:rPr>
                <w:color w:val="000000"/>
              </w:rPr>
              <w:t>0</w:t>
            </w:r>
          </w:p>
        </w:tc>
      </w:tr>
      <w:tr w:rsidR="00653CA9" w:rsidRPr="004E439F" w14:paraId="68E0346B" w14:textId="77777777" w:rsidTr="003A09DB">
        <w:trPr>
          <w:trHeight w:val="397"/>
          <w:jc w:val="center"/>
        </w:trPr>
        <w:tc>
          <w:tcPr>
            <w:tcW w:w="3652" w:type="dxa"/>
            <w:vAlign w:val="center"/>
          </w:tcPr>
          <w:p w14:paraId="076FDEDF" w14:textId="77777777" w:rsidR="00653CA9" w:rsidRPr="004E439F" w:rsidRDefault="00653CA9" w:rsidP="003A09DB">
            <w:pPr>
              <w:rPr>
                <w:color w:val="000000"/>
              </w:rPr>
            </w:pPr>
            <w:proofErr w:type="spellStart"/>
            <w:r w:rsidRPr="004E439F">
              <w:rPr>
                <w:color w:val="000000"/>
              </w:rPr>
              <w:t>heksaklorobenzen</w:t>
            </w:r>
            <w:proofErr w:type="spellEnd"/>
          </w:p>
        </w:tc>
        <w:tc>
          <w:tcPr>
            <w:tcW w:w="1116" w:type="dxa"/>
            <w:vAlign w:val="center"/>
          </w:tcPr>
          <w:p w14:paraId="69C5D425" w14:textId="77777777" w:rsidR="00653CA9" w:rsidRPr="004E439F" w:rsidRDefault="00653CA9" w:rsidP="003A09DB">
            <w:pPr>
              <w:rPr>
                <w:color w:val="000000"/>
              </w:rPr>
            </w:pPr>
            <w:r w:rsidRPr="004E439F">
              <w:rPr>
                <w:color w:val="000000"/>
              </w:rPr>
              <w:t>0</w:t>
            </w:r>
          </w:p>
        </w:tc>
        <w:tc>
          <w:tcPr>
            <w:tcW w:w="993" w:type="dxa"/>
            <w:vAlign w:val="center"/>
          </w:tcPr>
          <w:p w14:paraId="6568860D" w14:textId="77777777" w:rsidR="00653CA9" w:rsidRPr="004E439F" w:rsidRDefault="00653CA9" w:rsidP="003A09DB">
            <w:pPr>
              <w:rPr>
                <w:color w:val="000000"/>
              </w:rPr>
            </w:pPr>
            <w:r w:rsidRPr="004E439F">
              <w:rPr>
                <w:color w:val="000000"/>
              </w:rPr>
              <w:t>0</w:t>
            </w:r>
          </w:p>
        </w:tc>
        <w:tc>
          <w:tcPr>
            <w:tcW w:w="992" w:type="dxa"/>
            <w:vAlign w:val="center"/>
          </w:tcPr>
          <w:p w14:paraId="75EB8F2A" w14:textId="77777777" w:rsidR="00653CA9" w:rsidRPr="004E439F" w:rsidRDefault="00653CA9" w:rsidP="003A09DB">
            <w:pPr>
              <w:rPr>
                <w:color w:val="000000"/>
              </w:rPr>
            </w:pPr>
            <w:r w:rsidRPr="004E439F">
              <w:rPr>
                <w:color w:val="000000"/>
              </w:rPr>
              <w:t>0</w:t>
            </w:r>
          </w:p>
        </w:tc>
      </w:tr>
      <w:tr w:rsidR="00653CA9" w:rsidRPr="004E439F" w14:paraId="2E252206" w14:textId="77777777" w:rsidTr="003A09DB">
        <w:trPr>
          <w:trHeight w:val="397"/>
          <w:jc w:val="center"/>
        </w:trPr>
        <w:tc>
          <w:tcPr>
            <w:tcW w:w="3652" w:type="dxa"/>
            <w:vAlign w:val="center"/>
          </w:tcPr>
          <w:p w14:paraId="7C47D7F1" w14:textId="77777777" w:rsidR="00653CA9" w:rsidRPr="004E439F" w:rsidRDefault="00653CA9" w:rsidP="003A09DB">
            <w:pPr>
              <w:rPr>
                <w:color w:val="000000"/>
              </w:rPr>
            </w:pPr>
            <w:proofErr w:type="spellStart"/>
            <w:r w:rsidRPr="004E439F">
              <w:rPr>
                <w:color w:val="000000"/>
              </w:rPr>
              <w:t>mireks</w:t>
            </w:r>
            <w:proofErr w:type="spellEnd"/>
          </w:p>
        </w:tc>
        <w:tc>
          <w:tcPr>
            <w:tcW w:w="1116" w:type="dxa"/>
            <w:vAlign w:val="center"/>
          </w:tcPr>
          <w:p w14:paraId="6B34280B" w14:textId="77777777" w:rsidR="00653CA9" w:rsidRPr="004E439F" w:rsidRDefault="00653CA9" w:rsidP="003A09DB">
            <w:pPr>
              <w:rPr>
                <w:color w:val="000000"/>
              </w:rPr>
            </w:pPr>
            <w:r w:rsidRPr="004E439F">
              <w:rPr>
                <w:color w:val="000000"/>
              </w:rPr>
              <w:t>0</w:t>
            </w:r>
          </w:p>
        </w:tc>
        <w:tc>
          <w:tcPr>
            <w:tcW w:w="993" w:type="dxa"/>
            <w:vAlign w:val="center"/>
          </w:tcPr>
          <w:p w14:paraId="4AF112A0" w14:textId="77777777" w:rsidR="00653CA9" w:rsidRPr="004E439F" w:rsidRDefault="00653CA9" w:rsidP="003A09DB">
            <w:pPr>
              <w:rPr>
                <w:color w:val="000000"/>
              </w:rPr>
            </w:pPr>
            <w:r w:rsidRPr="004E439F">
              <w:rPr>
                <w:color w:val="000000"/>
              </w:rPr>
              <w:t>0</w:t>
            </w:r>
          </w:p>
        </w:tc>
        <w:tc>
          <w:tcPr>
            <w:tcW w:w="992" w:type="dxa"/>
            <w:vAlign w:val="center"/>
          </w:tcPr>
          <w:p w14:paraId="1D645BDE" w14:textId="77777777" w:rsidR="00653CA9" w:rsidRPr="004E439F" w:rsidRDefault="00653CA9" w:rsidP="003A09DB">
            <w:pPr>
              <w:rPr>
                <w:color w:val="000000"/>
              </w:rPr>
            </w:pPr>
            <w:r w:rsidRPr="004E439F">
              <w:rPr>
                <w:color w:val="000000"/>
              </w:rPr>
              <w:t>0</w:t>
            </w:r>
          </w:p>
        </w:tc>
      </w:tr>
      <w:tr w:rsidR="00653CA9" w:rsidRPr="004E439F" w14:paraId="4609C0EA" w14:textId="77777777" w:rsidTr="003A09DB">
        <w:trPr>
          <w:trHeight w:val="397"/>
          <w:jc w:val="center"/>
        </w:trPr>
        <w:tc>
          <w:tcPr>
            <w:tcW w:w="3652" w:type="dxa"/>
            <w:vAlign w:val="center"/>
          </w:tcPr>
          <w:p w14:paraId="619719DE" w14:textId="77777777" w:rsidR="00653CA9" w:rsidRPr="004E439F" w:rsidRDefault="00653CA9" w:rsidP="003A09DB">
            <w:pPr>
              <w:rPr>
                <w:color w:val="000000"/>
              </w:rPr>
            </w:pPr>
            <w:proofErr w:type="spellStart"/>
            <w:r w:rsidRPr="004E439F">
              <w:rPr>
                <w:color w:val="000000"/>
              </w:rPr>
              <w:t>toksafen</w:t>
            </w:r>
            <w:proofErr w:type="spellEnd"/>
          </w:p>
        </w:tc>
        <w:tc>
          <w:tcPr>
            <w:tcW w:w="1116" w:type="dxa"/>
            <w:vAlign w:val="center"/>
          </w:tcPr>
          <w:p w14:paraId="7CC843BE" w14:textId="77777777" w:rsidR="00653CA9" w:rsidRPr="004E439F" w:rsidRDefault="00653CA9" w:rsidP="003A09DB">
            <w:pPr>
              <w:rPr>
                <w:color w:val="000000"/>
              </w:rPr>
            </w:pPr>
            <w:r w:rsidRPr="004E439F">
              <w:rPr>
                <w:color w:val="000000"/>
              </w:rPr>
              <w:t>0</w:t>
            </w:r>
          </w:p>
        </w:tc>
        <w:tc>
          <w:tcPr>
            <w:tcW w:w="993" w:type="dxa"/>
            <w:vAlign w:val="center"/>
          </w:tcPr>
          <w:p w14:paraId="29DBD805" w14:textId="77777777" w:rsidR="00653CA9" w:rsidRPr="004E439F" w:rsidRDefault="00653CA9" w:rsidP="003A09DB">
            <w:pPr>
              <w:rPr>
                <w:color w:val="000000"/>
              </w:rPr>
            </w:pPr>
            <w:r w:rsidRPr="004E439F">
              <w:rPr>
                <w:color w:val="000000"/>
              </w:rPr>
              <w:t>0</w:t>
            </w:r>
          </w:p>
        </w:tc>
        <w:tc>
          <w:tcPr>
            <w:tcW w:w="992" w:type="dxa"/>
            <w:vAlign w:val="center"/>
          </w:tcPr>
          <w:p w14:paraId="71FB055D" w14:textId="77777777" w:rsidR="00653CA9" w:rsidRPr="004E439F" w:rsidRDefault="00653CA9" w:rsidP="003A09DB">
            <w:pPr>
              <w:rPr>
                <w:color w:val="000000"/>
              </w:rPr>
            </w:pPr>
            <w:r w:rsidRPr="004E439F">
              <w:rPr>
                <w:color w:val="000000"/>
              </w:rPr>
              <w:t>0</w:t>
            </w:r>
          </w:p>
        </w:tc>
      </w:tr>
      <w:tr w:rsidR="00021C31" w:rsidRPr="004E439F" w14:paraId="392EF7D9" w14:textId="77777777" w:rsidTr="003A09DB">
        <w:trPr>
          <w:trHeight w:val="397"/>
          <w:jc w:val="center"/>
        </w:trPr>
        <w:tc>
          <w:tcPr>
            <w:tcW w:w="3652" w:type="dxa"/>
            <w:vAlign w:val="center"/>
          </w:tcPr>
          <w:p w14:paraId="079AD6C5" w14:textId="2823100A" w:rsidR="00021C31" w:rsidRPr="004E439F" w:rsidRDefault="00021C31" w:rsidP="003A09DB">
            <w:pPr>
              <w:rPr>
                <w:color w:val="000000"/>
              </w:rPr>
            </w:pPr>
            <w:proofErr w:type="spellStart"/>
            <w:r>
              <w:rPr>
                <w:color w:val="000000"/>
              </w:rPr>
              <w:t>lindan</w:t>
            </w:r>
            <w:proofErr w:type="spellEnd"/>
          </w:p>
        </w:tc>
        <w:tc>
          <w:tcPr>
            <w:tcW w:w="1116" w:type="dxa"/>
            <w:vAlign w:val="center"/>
          </w:tcPr>
          <w:p w14:paraId="5A2DFD56" w14:textId="6F267C51" w:rsidR="00021C31" w:rsidRPr="004E439F" w:rsidRDefault="00021C31" w:rsidP="003A09DB">
            <w:pPr>
              <w:rPr>
                <w:color w:val="000000"/>
              </w:rPr>
            </w:pPr>
            <w:r>
              <w:rPr>
                <w:color w:val="000000"/>
              </w:rPr>
              <w:t>0</w:t>
            </w:r>
          </w:p>
        </w:tc>
        <w:tc>
          <w:tcPr>
            <w:tcW w:w="993" w:type="dxa"/>
            <w:vAlign w:val="center"/>
          </w:tcPr>
          <w:p w14:paraId="315CA7CE" w14:textId="105E9C82" w:rsidR="00021C31" w:rsidRPr="004E439F" w:rsidRDefault="00021C31" w:rsidP="003A09DB">
            <w:pPr>
              <w:rPr>
                <w:color w:val="000000"/>
              </w:rPr>
            </w:pPr>
            <w:r>
              <w:rPr>
                <w:color w:val="000000"/>
              </w:rPr>
              <w:t>0</w:t>
            </w:r>
          </w:p>
        </w:tc>
        <w:tc>
          <w:tcPr>
            <w:tcW w:w="992" w:type="dxa"/>
            <w:vAlign w:val="center"/>
          </w:tcPr>
          <w:p w14:paraId="4A9E6253" w14:textId="11319243" w:rsidR="00021C31" w:rsidRPr="004E439F" w:rsidRDefault="00021C31" w:rsidP="003A09DB">
            <w:pPr>
              <w:rPr>
                <w:color w:val="000000"/>
              </w:rPr>
            </w:pPr>
            <w:r>
              <w:rPr>
                <w:color w:val="000000"/>
              </w:rPr>
              <w:t>0</w:t>
            </w:r>
          </w:p>
        </w:tc>
      </w:tr>
      <w:tr w:rsidR="00021C31" w:rsidRPr="004E439F" w14:paraId="3B95A1C7" w14:textId="77777777" w:rsidTr="003A09DB">
        <w:trPr>
          <w:trHeight w:val="397"/>
          <w:jc w:val="center"/>
        </w:trPr>
        <w:tc>
          <w:tcPr>
            <w:tcW w:w="3652" w:type="dxa"/>
            <w:vAlign w:val="center"/>
          </w:tcPr>
          <w:p w14:paraId="27CA9ABD" w14:textId="6F0CEA80" w:rsidR="00021C31" w:rsidRPr="004E439F" w:rsidRDefault="00021C31" w:rsidP="003A09DB">
            <w:pPr>
              <w:rPr>
                <w:color w:val="000000"/>
              </w:rPr>
            </w:pPr>
            <w:proofErr w:type="spellStart"/>
            <w:r>
              <w:rPr>
                <w:color w:val="000000"/>
              </w:rPr>
              <w:t>endosulfan</w:t>
            </w:r>
            <w:proofErr w:type="spellEnd"/>
          </w:p>
        </w:tc>
        <w:tc>
          <w:tcPr>
            <w:tcW w:w="1116" w:type="dxa"/>
            <w:vAlign w:val="center"/>
          </w:tcPr>
          <w:p w14:paraId="229F0015" w14:textId="2F516428" w:rsidR="00021C31" w:rsidRPr="004E439F" w:rsidRDefault="00021C31" w:rsidP="003A09DB">
            <w:pPr>
              <w:rPr>
                <w:color w:val="000000"/>
              </w:rPr>
            </w:pPr>
            <w:r>
              <w:rPr>
                <w:color w:val="000000"/>
              </w:rPr>
              <w:t>0</w:t>
            </w:r>
          </w:p>
        </w:tc>
        <w:tc>
          <w:tcPr>
            <w:tcW w:w="993" w:type="dxa"/>
            <w:vAlign w:val="center"/>
          </w:tcPr>
          <w:p w14:paraId="48D2DAAE" w14:textId="34817929" w:rsidR="00021C31" w:rsidRPr="004E439F" w:rsidRDefault="00021C31" w:rsidP="003A09DB">
            <w:pPr>
              <w:rPr>
                <w:color w:val="000000"/>
              </w:rPr>
            </w:pPr>
            <w:r>
              <w:rPr>
                <w:color w:val="000000"/>
              </w:rPr>
              <w:t>0</w:t>
            </w:r>
          </w:p>
        </w:tc>
        <w:tc>
          <w:tcPr>
            <w:tcW w:w="992" w:type="dxa"/>
            <w:vAlign w:val="center"/>
          </w:tcPr>
          <w:p w14:paraId="5C1C0FC3" w14:textId="54705AA8" w:rsidR="00021C31" w:rsidRPr="004E439F" w:rsidRDefault="00021C31" w:rsidP="003A09DB">
            <w:pPr>
              <w:rPr>
                <w:color w:val="000000"/>
              </w:rPr>
            </w:pPr>
            <w:r>
              <w:rPr>
                <w:color w:val="000000"/>
              </w:rPr>
              <w:t>0</w:t>
            </w:r>
          </w:p>
        </w:tc>
      </w:tr>
      <w:tr w:rsidR="00653CA9" w:rsidRPr="004E439F" w14:paraId="7EAD2851" w14:textId="77777777" w:rsidTr="003A09DB">
        <w:trPr>
          <w:trHeight w:val="397"/>
          <w:jc w:val="center"/>
        </w:trPr>
        <w:tc>
          <w:tcPr>
            <w:tcW w:w="3652" w:type="dxa"/>
            <w:shd w:val="clear" w:color="auto" w:fill="D9D9D9" w:themeFill="background1" w:themeFillShade="D9"/>
            <w:vAlign w:val="center"/>
          </w:tcPr>
          <w:p w14:paraId="7F3A9BB5" w14:textId="77777777" w:rsidR="00653CA9" w:rsidRPr="004E439F" w:rsidRDefault="00653CA9" w:rsidP="003A09DB">
            <w:pPr>
              <w:rPr>
                <w:color w:val="000000"/>
              </w:rPr>
            </w:pPr>
            <w:r w:rsidRPr="004E439F">
              <w:rPr>
                <w:color w:val="000000"/>
              </w:rPr>
              <w:t>Uporaba (tona)</w:t>
            </w:r>
          </w:p>
        </w:tc>
        <w:tc>
          <w:tcPr>
            <w:tcW w:w="1116" w:type="dxa"/>
            <w:shd w:val="clear" w:color="auto" w:fill="D9D9D9" w:themeFill="background1" w:themeFillShade="D9"/>
            <w:vAlign w:val="center"/>
          </w:tcPr>
          <w:p w14:paraId="067472A2" w14:textId="77777777" w:rsidR="00653CA9" w:rsidRPr="004E439F" w:rsidRDefault="00653CA9" w:rsidP="003A09DB">
            <w:pPr>
              <w:rPr>
                <w:color w:val="000000"/>
              </w:rPr>
            </w:pPr>
            <w:r w:rsidRPr="004E439F">
              <w:rPr>
                <w:color w:val="000000"/>
              </w:rPr>
              <w:t> </w:t>
            </w:r>
          </w:p>
        </w:tc>
        <w:tc>
          <w:tcPr>
            <w:tcW w:w="993" w:type="dxa"/>
            <w:shd w:val="clear" w:color="auto" w:fill="D9D9D9" w:themeFill="background1" w:themeFillShade="D9"/>
            <w:vAlign w:val="center"/>
          </w:tcPr>
          <w:p w14:paraId="3C5E5857" w14:textId="77777777" w:rsidR="00653CA9" w:rsidRPr="004E439F" w:rsidRDefault="00653CA9" w:rsidP="003A09DB">
            <w:pPr>
              <w:rPr>
                <w:color w:val="000000"/>
              </w:rPr>
            </w:pPr>
            <w:r w:rsidRPr="004E439F">
              <w:rPr>
                <w:color w:val="000000"/>
              </w:rPr>
              <w:t> </w:t>
            </w:r>
          </w:p>
        </w:tc>
        <w:tc>
          <w:tcPr>
            <w:tcW w:w="992" w:type="dxa"/>
            <w:shd w:val="clear" w:color="auto" w:fill="D9D9D9" w:themeFill="background1" w:themeFillShade="D9"/>
            <w:vAlign w:val="center"/>
          </w:tcPr>
          <w:p w14:paraId="0A6FD0E2" w14:textId="77777777" w:rsidR="00653CA9" w:rsidRPr="004E439F" w:rsidRDefault="00653CA9" w:rsidP="003A09DB">
            <w:pPr>
              <w:rPr>
                <w:color w:val="000000"/>
              </w:rPr>
            </w:pPr>
            <w:r w:rsidRPr="004E439F">
              <w:rPr>
                <w:color w:val="000000"/>
              </w:rPr>
              <w:t> </w:t>
            </w:r>
          </w:p>
        </w:tc>
      </w:tr>
      <w:tr w:rsidR="00653CA9" w:rsidRPr="004E439F" w14:paraId="22D8409A" w14:textId="77777777" w:rsidTr="003A09DB">
        <w:trPr>
          <w:trHeight w:val="397"/>
          <w:jc w:val="center"/>
        </w:trPr>
        <w:tc>
          <w:tcPr>
            <w:tcW w:w="3652" w:type="dxa"/>
            <w:vAlign w:val="center"/>
          </w:tcPr>
          <w:p w14:paraId="53F0B0CC" w14:textId="77777777" w:rsidR="00653CA9" w:rsidRPr="004E439F" w:rsidRDefault="00653CA9" w:rsidP="003A09DB">
            <w:pPr>
              <w:rPr>
                <w:color w:val="000000"/>
              </w:rPr>
            </w:pPr>
            <w:proofErr w:type="spellStart"/>
            <w:r w:rsidRPr="004E439F">
              <w:rPr>
                <w:color w:val="000000"/>
              </w:rPr>
              <w:t>aldrin</w:t>
            </w:r>
            <w:proofErr w:type="spellEnd"/>
          </w:p>
        </w:tc>
        <w:tc>
          <w:tcPr>
            <w:tcW w:w="1116" w:type="dxa"/>
            <w:vAlign w:val="center"/>
          </w:tcPr>
          <w:p w14:paraId="53BB683C" w14:textId="77777777" w:rsidR="00653CA9" w:rsidRPr="004E439F" w:rsidRDefault="00653CA9" w:rsidP="003A09DB">
            <w:pPr>
              <w:rPr>
                <w:color w:val="000000"/>
              </w:rPr>
            </w:pPr>
            <w:r w:rsidRPr="004E439F">
              <w:rPr>
                <w:color w:val="000000"/>
              </w:rPr>
              <w:t>0</w:t>
            </w:r>
          </w:p>
        </w:tc>
        <w:tc>
          <w:tcPr>
            <w:tcW w:w="993" w:type="dxa"/>
            <w:vAlign w:val="center"/>
          </w:tcPr>
          <w:p w14:paraId="579AB5BD" w14:textId="77777777" w:rsidR="00653CA9" w:rsidRPr="004E439F" w:rsidRDefault="00653CA9" w:rsidP="003A09DB">
            <w:pPr>
              <w:rPr>
                <w:color w:val="000000"/>
              </w:rPr>
            </w:pPr>
            <w:r w:rsidRPr="004E439F">
              <w:rPr>
                <w:color w:val="000000"/>
              </w:rPr>
              <w:t>0</w:t>
            </w:r>
          </w:p>
        </w:tc>
        <w:tc>
          <w:tcPr>
            <w:tcW w:w="992" w:type="dxa"/>
            <w:vAlign w:val="center"/>
          </w:tcPr>
          <w:p w14:paraId="653AFBBC" w14:textId="77777777" w:rsidR="00653CA9" w:rsidRPr="004E439F" w:rsidRDefault="00653CA9" w:rsidP="003A09DB">
            <w:pPr>
              <w:rPr>
                <w:color w:val="000000"/>
              </w:rPr>
            </w:pPr>
            <w:r w:rsidRPr="004E439F">
              <w:rPr>
                <w:color w:val="000000"/>
              </w:rPr>
              <w:t>0</w:t>
            </w:r>
          </w:p>
        </w:tc>
      </w:tr>
      <w:tr w:rsidR="00653CA9" w:rsidRPr="004E439F" w14:paraId="2C72D718" w14:textId="77777777" w:rsidTr="003A09DB">
        <w:trPr>
          <w:trHeight w:val="397"/>
          <w:jc w:val="center"/>
        </w:trPr>
        <w:tc>
          <w:tcPr>
            <w:tcW w:w="3652" w:type="dxa"/>
            <w:vAlign w:val="center"/>
          </w:tcPr>
          <w:p w14:paraId="5D331D99" w14:textId="77777777" w:rsidR="00653CA9" w:rsidRPr="004E439F" w:rsidRDefault="00653CA9" w:rsidP="003A09DB">
            <w:pPr>
              <w:rPr>
                <w:color w:val="000000"/>
              </w:rPr>
            </w:pPr>
            <w:proofErr w:type="spellStart"/>
            <w:r w:rsidRPr="004E439F">
              <w:rPr>
                <w:color w:val="000000"/>
              </w:rPr>
              <w:t>klordan</w:t>
            </w:r>
            <w:proofErr w:type="spellEnd"/>
          </w:p>
        </w:tc>
        <w:tc>
          <w:tcPr>
            <w:tcW w:w="1116" w:type="dxa"/>
            <w:vAlign w:val="center"/>
          </w:tcPr>
          <w:p w14:paraId="0D0365A1" w14:textId="77777777" w:rsidR="00653CA9" w:rsidRPr="004E439F" w:rsidRDefault="00653CA9" w:rsidP="003A09DB">
            <w:pPr>
              <w:rPr>
                <w:color w:val="000000"/>
              </w:rPr>
            </w:pPr>
            <w:r w:rsidRPr="004E439F">
              <w:rPr>
                <w:color w:val="000000"/>
              </w:rPr>
              <w:t>0</w:t>
            </w:r>
          </w:p>
        </w:tc>
        <w:tc>
          <w:tcPr>
            <w:tcW w:w="993" w:type="dxa"/>
            <w:vAlign w:val="center"/>
          </w:tcPr>
          <w:p w14:paraId="565E8C4E" w14:textId="77777777" w:rsidR="00653CA9" w:rsidRPr="004E439F" w:rsidRDefault="00653CA9" w:rsidP="003A09DB">
            <w:pPr>
              <w:rPr>
                <w:color w:val="000000"/>
              </w:rPr>
            </w:pPr>
            <w:r w:rsidRPr="004E439F">
              <w:rPr>
                <w:color w:val="000000"/>
              </w:rPr>
              <w:t>0</w:t>
            </w:r>
          </w:p>
        </w:tc>
        <w:tc>
          <w:tcPr>
            <w:tcW w:w="992" w:type="dxa"/>
            <w:vAlign w:val="center"/>
          </w:tcPr>
          <w:p w14:paraId="04397CBB" w14:textId="77777777" w:rsidR="00653CA9" w:rsidRPr="004E439F" w:rsidRDefault="00653CA9" w:rsidP="003A09DB">
            <w:pPr>
              <w:rPr>
                <w:color w:val="000000"/>
              </w:rPr>
            </w:pPr>
            <w:r w:rsidRPr="004E439F">
              <w:rPr>
                <w:color w:val="000000"/>
              </w:rPr>
              <w:t>0</w:t>
            </w:r>
          </w:p>
        </w:tc>
      </w:tr>
      <w:tr w:rsidR="00653CA9" w:rsidRPr="004E439F" w14:paraId="61398121" w14:textId="77777777" w:rsidTr="003A09DB">
        <w:trPr>
          <w:trHeight w:val="397"/>
          <w:jc w:val="center"/>
        </w:trPr>
        <w:tc>
          <w:tcPr>
            <w:tcW w:w="3652" w:type="dxa"/>
            <w:vAlign w:val="center"/>
          </w:tcPr>
          <w:p w14:paraId="4CB2804C" w14:textId="77777777" w:rsidR="00653CA9" w:rsidRPr="004E439F" w:rsidRDefault="00653CA9" w:rsidP="003A09DB">
            <w:pPr>
              <w:rPr>
                <w:color w:val="000000"/>
              </w:rPr>
            </w:pPr>
            <w:proofErr w:type="spellStart"/>
            <w:r w:rsidRPr="004E439F">
              <w:rPr>
                <w:color w:val="000000"/>
              </w:rPr>
              <w:t>dieldrin</w:t>
            </w:r>
            <w:proofErr w:type="spellEnd"/>
          </w:p>
        </w:tc>
        <w:tc>
          <w:tcPr>
            <w:tcW w:w="1116" w:type="dxa"/>
            <w:vAlign w:val="center"/>
          </w:tcPr>
          <w:p w14:paraId="76F0AF82" w14:textId="77777777" w:rsidR="00653CA9" w:rsidRPr="004E439F" w:rsidRDefault="00653CA9" w:rsidP="003A09DB">
            <w:pPr>
              <w:rPr>
                <w:color w:val="000000"/>
              </w:rPr>
            </w:pPr>
            <w:r w:rsidRPr="004E439F">
              <w:rPr>
                <w:color w:val="000000"/>
              </w:rPr>
              <w:t>0</w:t>
            </w:r>
          </w:p>
        </w:tc>
        <w:tc>
          <w:tcPr>
            <w:tcW w:w="993" w:type="dxa"/>
            <w:vAlign w:val="center"/>
          </w:tcPr>
          <w:p w14:paraId="0A8A0E82" w14:textId="77777777" w:rsidR="00653CA9" w:rsidRPr="004E439F" w:rsidRDefault="00653CA9" w:rsidP="003A09DB">
            <w:pPr>
              <w:rPr>
                <w:color w:val="000000"/>
              </w:rPr>
            </w:pPr>
            <w:r w:rsidRPr="004E439F">
              <w:rPr>
                <w:color w:val="000000"/>
              </w:rPr>
              <w:t>0</w:t>
            </w:r>
          </w:p>
        </w:tc>
        <w:tc>
          <w:tcPr>
            <w:tcW w:w="992" w:type="dxa"/>
            <w:vAlign w:val="center"/>
          </w:tcPr>
          <w:p w14:paraId="6D5B4380" w14:textId="77777777" w:rsidR="00653CA9" w:rsidRPr="004E439F" w:rsidRDefault="00653CA9" w:rsidP="003A09DB">
            <w:pPr>
              <w:rPr>
                <w:color w:val="000000"/>
              </w:rPr>
            </w:pPr>
            <w:r w:rsidRPr="004E439F">
              <w:rPr>
                <w:color w:val="000000"/>
              </w:rPr>
              <w:t>0</w:t>
            </w:r>
          </w:p>
        </w:tc>
      </w:tr>
      <w:tr w:rsidR="00653CA9" w:rsidRPr="004E439F" w14:paraId="71C6FB5A" w14:textId="77777777" w:rsidTr="003A09DB">
        <w:trPr>
          <w:trHeight w:val="397"/>
          <w:jc w:val="center"/>
        </w:trPr>
        <w:tc>
          <w:tcPr>
            <w:tcW w:w="3652" w:type="dxa"/>
            <w:vAlign w:val="center"/>
          </w:tcPr>
          <w:p w14:paraId="761BC3F3" w14:textId="77777777" w:rsidR="00653CA9" w:rsidRPr="004E439F" w:rsidRDefault="00653CA9" w:rsidP="003A09DB">
            <w:pPr>
              <w:rPr>
                <w:color w:val="000000"/>
              </w:rPr>
            </w:pPr>
            <w:proofErr w:type="spellStart"/>
            <w:r w:rsidRPr="004E439F">
              <w:rPr>
                <w:color w:val="000000"/>
              </w:rPr>
              <w:t>endrin</w:t>
            </w:r>
            <w:proofErr w:type="spellEnd"/>
          </w:p>
        </w:tc>
        <w:tc>
          <w:tcPr>
            <w:tcW w:w="1116" w:type="dxa"/>
            <w:vAlign w:val="center"/>
          </w:tcPr>
          <w:p w14:paraId="22392FE0" w14:textId="77777777" w:rsidR="00653CA9" w:rsidRPr="004E439F" w:rsidRDefault="00653CA9" w:rsidP="003A09DB">
            <w:pPr>
              <w:rPr>
                <w:color w:val="000000"/>
              </w:rPr>
            </w:pPr>
            <w:r w:rsidRPr="004E439F">
              <w:rPr>
                <w:color w:val="000000"/>
              </w:rPr>
              <w:t>0</w:t>
            </w:r>
          </w:p>
        </w:tc>
        <w:tc>
          <w:tcPr>
            <w:tcW w:w="993" w:type="dxa"/>
            <w:vAlign w:val="center"/>
          </w:tcPr>
          <w:p w14:paraId="06EE5BC0" w14:textId="77777777" w:rsidR="00653CA9" w:rsidRPr="004E439F" w:rsidRDefault="00653CA9" w:rsidP="003A09DB">
            <w:pPr>
              <w:rPr>
                <w:color w:val="000000"/>
              </w:rPr>
            </w:pPr>
            <w:r w:rsidRPr="004E439F">
              <w:rPr>
                <w:color w:val="000000"/>
              </w:rPr>
              <w:t>0</w:t>
            </w:r>
          </w:p>
        </w:tc>
        <w:tc>
          <w:tcPr>
            <w:tcW w:w="992" w:type="dxa"/>
            <w:vAlign w:val="center"/>
          </w:tcPr>
          <w:p w14:paraId="01429125" w14:textId="77777777" w:rsidR="00653CA9" w:rsidRPr="004E439F" w:rsidRDefault="00653CA9" w:rsidP="003A09DB">
            <w:pPr>
              <w:rPr>
                <w:color w:val="000000"/>
              </w:rPr>
            </w:pPr>
            <w:r w:rsidRPr="004E439F">
              <w:rPr>
                <w:color w:val="000000"/>
              </w:rPr>
              <w:t>0</w:t>
            </w:r>
          </w:p>
        </w:tc>
      </w:tr>
      <w:tr w:rsidR="00653CA9" w:rsidRPr="004E439F" w14:paraId="78F77167" w14:textId="77777777" w:rsidTr="003A09DB">
        <w:trPr>
          <w:trHeight w:val="397"/>
          <w:jc w:val="center"/>
        </w:trPr>
        <w:tc>
          <w:tcPr>
            <w:tcW w:w="3652" w:type="dxa"/>
            <w:vAlign w:val="center"/>
          </w:tcPr>
          <w:p w14:paraId="79A58D66" w14:textId="77777777" w:rsidR="00653CA9" w:rsidRPr="004E439F" w:rsidRDefault="00653CA9" w:rsidP="003A09DB">
            <w:pPr>
              <w:rPr>
                <w:color w:val="000000"/>
              </w:rPr>
            </w:pPr>
            <w:proofErr w:type="spellStart"/>
            <w:r w:rsidRPr="004E439F">
              <w:rPr>
                <w:color w:val="000000"/>
              </w:rPr>
              <w:t>heptaklor</w:t>
            </w:r>
            <w:proofErr w:type="spellEnd"/>
          </w:p>
        </w:tc>
        <w:tc>
          <w:tcPr>
            <w:tcW w:w="1116" w:type="dxa"/>
            <w:vAlign w:val="center"/>
          </w:tcPr>
          <w:p w14:paraId="5F2E8866" w14:textId="77777777" w:rsidR="00653CA9" w:rsidRPr="004E439F" w:rsidRDefault="00653CA9" w:rsidP="003A09DB">
            <w:pPr>
              <w:rPr>
                <w:color w:val="000000"/>
              </w:rPr>
            </w:pPr>
            <w:r w:rsidRPr="004E439F">
              <w:rPr>
                <w:color w:val="000000"/>
              </w:rPr>
              <w:t>0</w:t>
            </w:r>
          </w:p>
        </w:tc>
        <w:tc>
          <w:tcPr>
            <w:tcW w:w="993" w:type="dxa"/>
            <w:vAlign w:val="center"/>
          </w:tcPr>
          <w:p w14:paraId="1733A51F" w14:textId="77777777" w:rsidR="00653CA9" w:rsidRPr="004E439F" w:rsidRDefault="00653CA9" w:rsidP="003A09DB">
            <w:pPr>
              <w:rPr>
                <w:color w:val="000000"/>
              </w:rPr>
            </w:pPr>
            <w:r w:rsidRPr="004E439F">
              <w:rPr>
                <w:color w:val="000000"/>
              </w:rPr>
              <w:t>0</w:t>
            </w:r>
          </w:p>
        </w:tc>
        <w:tc>
          <w:tcPr>
            <w:tcW w:w="992" w:type="dxa"/>
            <w:vAlign w:val="center"/>
          </w:tcPr>
          <w:p w14:paraId="3352579A" w14:textId="77777777" w:rsidR="00653CA9" w:rsidRPr="004E439F" w:rsidRDefault="00653CA9" w:rsidP="003A09DB">
            <w:pPr>
              <w:rPr>
                <w:color w:val="000000"/>
              </w:rPr>
            </w:pPr>
            <w:r w:rsidRPr="004E439F">
              <w:rPr>
                <w:color w:val="000000"/>
              </w:rPr>
              <w:t>0</w:t>
            </w:r>
          </w:p>
        </w:tc>
      </w:tr>
      <w:tr w:rsidR="00653CA9" w:rsidRPr="004E439F" w14:paraId="67F5A846" w14:textId="77777777" w:rsidTr="003A09DB">
        <w:trPr>
          <w:trHeight w:val="397"/>
          <w:jc w:val="center"/>
        </w:trPr>
        <w:tc>
          <w:tcPr>
            <w:tcW w:w="3652" w:type="dxa"/>
            <w:vAlign w:val="center"/>
          </w:tcPr>
          <w:p w14:paraId="47C6810A" w14:textId="77777777" w:rsidR="00653CA9" w:rsidRPr="004E439F" w:rsidRDefault="00653CA9" w:rsidP="003A09DB">
            <w:pPr>
              <w:rPr>
                <w:color w:val="000000"/>
              </w:rPr>
            </w:pPr>
            <w:proofErr w:type="spellStart"/>
            <w:r w:rsidRPr="004E439F">
              <w:rPr>
                <w:color w:val="000000"/>
              </w:rPr>
              <w:t>heksaklorobenzen</w:t>
            </w:r>
            <w:proofErr w:type="spellEnd"/>
          </w:p>
        </w:tc>
        <w:tc>
          <w:tcPr>
            <w:tcW w:w="1116" w:type="dxa"/>
            <w:vAlign w:val="center"/>
          </w:tcPr>
          <w:p w14:paraId="255149CE" w14:textId="77777777" w:rsidR="00653CA9" w:rsidRPr="004E439F" w:rsidRDefault="00653CA9" w:rsidP="003A09DB">
            <w:pPr>
              <w:rPr>
                <w:color w:val="000000"/>
              </w:rPr>
            </w:pPr>
            <w:r w:rsidRPr="004E439F">
              <w:rPr>
                <w:color w:val="000000"/>
              </w:rPr>
              <w:t>0</w:t>
            </w:r>
          </w:p>
        </w:tc>
        <w:tc>
          <w:tcPr>
            <w:tcW w:w="993" w:type="dxa"/>
            <w:vAlign w:val="center"/>
          </w:tcPr>
          <w:p w14:paraId="3A893043" w14:textId="77777777" w:rsidR="00653CA9" w:rsidRPr="004E439F" w:rsidRDefault="00653CA9" w:rsidP="003A09DB">
            <w:pPr>
              <w:rPr>
                <w:color w:val="000000"/>
              </w:rPr>
            </w:pPr>
            <w:r w:rsidRPr="004E439F">
              <w:rPr>
                <w:color w:val="000000"/>
              </w:rPr>
              <w:t>0</w:t>
            </w:r>
          </w:p>
        </w:tc>
        <w:tc>
          <w:tcPr>
            <w:tcW w:w="992" w:type="dxa"/>
            <w:vAlign w:val="center"/>
          </w:tcPr>
          <w:p w14:paraId="3C0D5EAB" w14:textId="77777777" w:rsidR="00653CA9" w:rsidRPr="004E439F" w:rsidRDefault="00653CA9" w:rsidP="003A09DB">
            <w:pPr>
              <w:rPr>
                <w:color w:val="000000"/>
              </w:rPr>
            </w:pPr>
            <w:r w:rsidRPr="004E439F">
              <w:rPr>
                <w:color w:val="000000"/>
              </w:rPr>
              <w:t>0</w:t>
            </w:r>
          </w:p>
        </w:tc>
      </w:tr>
      <w:tr w:rsidR="00653CA9" w:rsidRPr="004E439F" w14:paraId="10C4B65D" w14:textId="77777777" w:rsidTr="003A09DB">
        <w:trPr>
          <w:trHeight w:val="397"/>
          <w:jc w:val="center"/>
        </w:trPr>
        <w:tc>
          <w:tcPr>
            <w:tcW w:w="3652" w:type="dxa"/>
            <w:vAlign w:val="center"/>
          </w:tcPr>
          <w:p w14:paraId="564583AF" w14:textId="77777777" w:rsidR="00653CA9" w:rsidRPr="004E439F" w:rsidRDefault="00653CA9" w:rsidP="003A09DB">
            <w:pPr>
              <w:rPr>
                <w:color w:val="000000"/>
              </w:rPr>
            </w:pPr>
            <w:proofErr w:type="spellStart"/>
            <w:r w:rsidRPr="004E439F">
              <w:rPr>
                <w:color w:val="000000"/>
              </w:rPr>
              <w:t>mireks</w:t>
            </w:r>
            <w:proofErr w:type="spellEnd"/>
          </w:p>
        </w:tc>
        <w:tc>
          <w:tcPr>
            <w:tcW w:w="1116" w:type="dxa"/>
            <w:vAlign w:val="center"/>
          </w:tcPr>
          <w:p w14:paraId="43D9ACE3" w14:textId="77777777" w:rsidR="00653CA9" w:rsidRPr="004E439F" w:rsidRDefault="00653CA9" w:rsidP="003A09DB">
            <w:pPr>
              <w:rPr>
                <w:color w:val="000000"/>
              </w:rPr>
            </w:pPr>
            <w:r w:rsidRPr="004E439F">
              <w:rPr>
                <w:color w:val="000000"/>
              </w:rPr>
              <w:t>0</w:t>
            </w:r>
          </w:p>
        </w:tc>
        <w:tc>
          <w:tcPr>
            <w:tcW w:w="993" w:type="dxa"/>
            <w:vAlign w:val="center"/>
          </w:tcPr>
          <w:p w14:paraId="10CA51EA" w14:textId="77777777" w:rsidR="00653CA9" w:rsidRPr="004E439F" w:rsidRDefault="00653CA9" w:rsidP="003A09DB">
            <w:pPr>
              <w:rPr>
                <w:color w:val="000000"/>
              </w:rPr>
            </w:pPr>
            <w:r w:rsidRPr="004E439F">
              <w:rPr>
                <w:color w:val="000000"/>
              </w:rPr>
              <w:t>0</w:t>
            </w:r>
          </w:p>
        </w:tc>
        <w:tc>
          <w:tcPr>
            <w:tcW w:w="992" w:type="dxa"/>
            <w:vAlign w:val="center"/>
          </w:tcPr>
          <w:p w14:paraId="3CB5427E" w14:textId="77777777" w:rsidR="00653CA9" w:rsidRPr="004E439F" w:rsidRDefault="00653CA9" w:rsidP="003A09DB">
            <w:pPr>
              <w:rPr>
                <w:color w:val="000000"/>
              </w:rPr>
            </w:pPr>
            <w:r w:rsidRPr="004E439F">
              <w:rPr>
                <w:color w:val="000000"/>
              </w:rPr>
              <w:t>0</w:t>
            </w:r>
          </w:p>
        </w:tc>
      </w:tr>
      <w:tr w:rsidR="00653CA9" w:rsidRPr="004E439F" w14:paraId="7A8C006A" w14:textId="77777777" w:rsidTr="003A09DB">
        <w:trPr>
          <w:trHeight w:val="397"/>
          <w:jc w:val="center"/>
        </w:trPr>
        <w:tc>
          <w:tcPr>
            <w:tcW w:w="3652" w:type="dxa"/>
            <w:vAlign w:val="center"/>
          </w:tcPr>
          <w:p w14:paraId="6594D869" w14:textId="77777777" w:rsidR="00653CA9" w:rsidRPr="004E439F" w:rsidRDefault="00653CA9" w:rsidP="003A09DB">
            <w:pPr>
              <w:rPr>
                <w:color w:val="000000"/>
              </w:rPr>
            </w:pPr>
            <w:proofErr w:type="spellStart"/>
            <w:r w:rsidRPr="004E439F">
              <w:rPr>
                <w:color w:val="000000"/>
              </w:rPr>
              <w:t>toksafen</w:t>
            </w:r>
            <w:proofErr w:type="spellEnd"/>
          </w:p>
        </w:tc>
        <w:tc>
          <w:tcPr>
            <w:tcW w:w="1116" w:type="dxa"/>
            <w:vAlign w:val="center"/>
          </w:tcPr>
          <w:p w14:paraId="1A3F310D" w14:textId="77777777" w:rsidR="00653CA9" w:rsidRPr="004E439F" w:rsidRDefault="00653CA9" w:rsidP="003A09DB">
            <w:pPr>
              <w:rPr>
                <w:color w:val="000000"/>
              </w:rPr>
            </w:pPr>
            <w:r w:rsidRPr="004E439F">
              <w:rPr>
                <w:color w:val="000000"/>
              </w:rPr>
              <w:t>0</w:t>
            </w:r>
          </w:p>
        </w:tc>
        <w:tc>
          <w:tcPr>
            <w:tcW w:w="993" w:type="dxa"/>
            <w:vAlign w:val="center"/>
          </w:tcPr>
          <w:p w14:paraId="054991B3" w14:textId="77777777" w:rsidR="00653CA9" w:rsidRPr="004E439F" w:rsidRDefault="00653CA9" w:rsidP="003A09DB">
            <w:pPr>
              <w:rPr>
                <w:color w:val="000000"/>
              </w:rPr>
            </w:pPr>
            <w:r w:rsidRPr="004E439F">
              <w:rPr>
                <w:color w:val="000000"/>
              </w:rPr>
              <w:t>0</w:t>
            </w:r>
          </w:p>
        </w:tc>
        <w:tc>
          <w:tcPr>
            <w:tcW w:w="992" w:type="dxa"/>
            <w:vAlign w:val="center"/>
          </w:tcPr>
          <w:p w14:paraId="72672890" w14:textId="77777777" w:rsidR="00653CA9" w:rsidRPr="004E439F" w:rsidRDefault="00653CA9" w:rsidP="003A09DB">
            <w:pPr>
              <w:rPr>
                <w:color w:val="000000"/>
              </w:rPr>
            </w:pPr>
            <w:r w:rsidRPr="004E439F">
              <w:rPr>
                <w:color w:val="000000"/>
              </w:rPr>
              <w:t>0</w:t>
            </w:r>
          </w:p>
        </w:tc>
      </w:tr>
      <w:tr w:rsidR="00021C31" w:rsidRPr="004E439F" w14:paraId="5825EF5C" w14:textId="77777777" w:rsidTr="003A09DB">
        <w:trPr>
          <w:trHeight w:val="397"/>
          <w:jc w:val="center"/>
        </w:trPr>
        <w:tc>
          <w:tcPr>
            <w:tcW w:w="3652" w:type="dxa"/>
            <w:vAlign w:val="center"/>
          </w:tcPr>
          <w:p w14:paraId="1296595D" w14:textId="5794DEFF" w:rsidR="00021C31" w:rsidRPr="004E439F" w:rsidRDefault="00021C31" w:rsidP="00021C31">
            <w:pPr>
              <w:rPr>
                <w:color w:val="000000"/>
              </w:rPr>
            </w:pPr>
            <w:proofErr w:type="spellStart"/>
            <w:r>
              <w:rPr>
                <w:color w:val="000000"/>
              </w:rPr>
              <w:t>lindan</w:t>
            </w:r>
            <w:proofErr w:type="spellEnd"/>
          </w:p>
        </w:tc>
        <w:tc>
          <w:tcPr>
            <w:tcW w:w="1116" w:type="dxa"/>
            <w:vAlign w:val="center"/>
          </w:tcPr>
          <w:p w14:paraId="2CEEFF15" w14:textId="053BBAFA" w:rsidR="00021C31" w:rsidRPr="004E439F" w:rsidRDefault="00021C31" w:rsidP="00021C31">
            <w:pPr>
              <w:rPr>
                <w:color w:val="000000"/>
              </w:rPr>
            </w:pPr>
            <w:r>
              <w:rPr>
                <w:color w:val="000000"/>
              </w:rPr>
              <w:t>0</w:t>
            </w:r>
          </w:p>
        </w:tc>
        <w:tc>
          <w:tcPr>
            <w:tcW w:w="993" w:type="dxa"/>
            <w:vAlign w:val="center"/>
          </w:tcPr>
          <w:p w14:paraId="67BC883E" w14:textId="5F80B03B" w:rsidR="00021C31" w:rsidRPr="004E439F" w:rsidRDefault="00021C31" w:rsidP="00021C31">
            <w:pPr>
              <w:rPr>
                <w:color w:val="000000"/>
              </w:rPr>
            </w:pPr>
            <w:r>
              <w:rPr>
                <w:color w:val="000000"/>
              </w:rPr>
              <w:t>0</w:t>
            </w:r>
          </w:p>
        </w:tc>
        <w:tc>
          <w:tcPr>
            <w:tcW w:w="992" w:type="dxa"/>
            <w:vAlign w:val="center"/>
          </w:tcPr>
          <w:p w14:paraId="46C39488" w14:textId="66F5B61A" w:rsidR="00021C31" w:rsidRPr="004E439F" w:rsidRDefault="00021C31" w:rsidP="00021C31">
            <w:pPr>
              <w:rPr>
                <w:color w:val="000000"/>
              </w:rPr>
            </w:pPr>
            <w:r>
              <w:rPr>
                <w:color w:val="000000"/>
              </w:rPr>
              <w:t>0</w:t>
            </w:r>
          </w:p>
        </w:tc>
      </w:tr>
      <w:tr w:rsidR="00021C31" w:rsidRPr="004E439F" w14:paraId="552198BA" w14:textId="77777777" w:rsidTr="003A09DB">
        <w:trPr>
          <w:trHeight w:val="397"/>
          <w:jc w:val="center"/>
        </w:trPr>
        <w:tc>
          <w:tcPr>
            <w:tcW w:w="3652" w:type="dxa"/>
            <w:vAlign w:val="center"/>
          </w:tcPr>
          <w:p w14:paraId="0A37E595" w14:textId="7B57E825" w:rsidR="00021C31" w:rsidRPr="004E439F" w:rsidRDefault="00021C31" w:rsidP="00021C31">
            <w:pPr>
              <w:rPr>
                <w:color w:val="000000"/>
              </w:rPr>
            </w:pPr>
            <w:proofErr w:type="spellStart"/>
            <w:r>
              <w:rPr>
                <w:color w:val="000000"/>
              </w:rPr>
              <w:t>endosulfan</w:t>
            </w:r>
            <w:proofErr w:type="spellEnd"/>
          </w:p>
        </w:tc>
        <w:tc>
          <w:tcPr>
            <w:tcW w:w="1116" w:type="dxa"/>
            <w:vAlign w:val="center"/>
          </w:tcPr>
          <w:p w14:paraId="1D6F3084" w14:textId="7671D870" w:rsidR="00021C31" w:rsidRPr="004E439F" w:rsidRDefault="00021C31" w:rsidP="00021C31">
            <w:pPr>
              <w:rPr>
                <w:color w:val="000000"/>
              </w:rPr>
            </w:pPr>
            <w:r>
              <w:rPr>
                <w:color w:val="000000"/>
              </w:rPr>
              <w:t>0</w:t>
            </w:r>
          </w:p>
        </w:tc>
        <w:tc>
          <w:tcPr>
            <w:tcW w:w="993" w:type="dxa"/>
            <w:vAlign w:val="center"/>
          </w:tcPr>
          <w:p w14:paraId="4DA4F1F2" w14:textId="08892A6A" w:rsidR="00021C31" w:rsidRPr="004E439F" w:rsidRDefault="00021C31" w:rsidP="00021C31">
            <w:pPr>
              <w:rPr>
                <w:color w:val="000000"/>
              </w:rPr>
            </w:pPr>
            <w:r>
              <w:rPr>
                <w:color w:val="000000"/>
              </w:rPr>
              <w:t>0</w:t>
            </w:r>
          </w:p>
        </w:tc>
        <w:tc>
          <w:tcPr>
            <w:tcW w:w="992" w:type="dxa"/>
            <w:vAlign w:val="center"/>
          </w:tcPr>
          <w:p w14:paraId="4BE2C162" w14:textId="112CE360" w:rsidR="00021C31" w:rsidRPr="004E439F" w:rsidRDefault="00021C31" w:rsidP="00021C31">
            <w:pPr>
              <w:rPr>
                <w:color w:val="000000"/>
              </w:rPr>
            </w:pPr>
            <w:r>
              <w:rPr>
                <w:color w:val="000000"/>
              </w:rPr>
              <w:t>0</w:t>
            </w:r>
          </w:p>
        </w:tc>
      </w:tr>
      <w:tr w:rsidR="00653CA9" w:rsidRPr="004E439F" w14:paraId="113B9980" w14:textId="77777777" w:rsidTr="003A09DB">
        <w:trPr>
          <w:trHeight w:val="397"/>
          <w:jc w:val="center"/>
        </w:trPr>
        <w:tc>
          <w:tcPr>
            <w:tcW w:w="3652" w:type="dxa"/>
            <w:shd w:val="clear" w:color="auto" w:fill="D9D9D9" w:themeFill="background1" w:themeFillShade="D9"/>
            <w:vAlign w:val="center"/>
          </w:tcPr>
          <w:p w14:paraId="67F8D61F" w14:textId="77777777" w:rsidR="00653CA9" w:rsidRPr="004E439F" w:rsidRDefault="00653CA9" w:rsidP="003A09DB">
            <w:pPr>
              <w:rPr>
                <w:color w:val="000000"/>
              </w:rPr>
            </w:pPr>
            <w:r w:rsidRPr="004E439F">
              <w:rPr>
                <w:color w:val="000000"/>
              </w:rPr>
              <w:t>DDT</w:t>
            </w:r>
          </w:p>
        </w:tc>
        <w:tc>
          <w:tcPr>
            <w:tcW w:w="1116" w:type="dxa"/>
            <w:shd w:val="clear" w:color="auto" w:fill="D9D9D9" w:themeFill="background1" w:themeFillShade="D9"/>
            <w:vAlign w:val="center"/>
          </w:tcPr>
          <w:p w14:paraId="503B4797" w14:textId="77777777" w:rsidR="00653CA9" w:rsidRPr="004E439F" w:rsidRDefault="00653CA9" w:rsidP="003A09DB">
            <w:pPr>
              <w:rPr>
                <w:color w:val="000000"/>
              </w:rPr>
            </w:pPr>
            <w:r w:rsidRPr="004E439F">
              <w:rPr>
                <w:color w:val="000000"/>
              </w:rPr>
              <w:t> </w:t>
            </w:r>
          </w:p>
        </w:tc>
        <w:tc>
          <w:tcPr>
            <w:tcW w:w="993" w:type="dxa"/>
            <w:shd w:val="clear" w:color="auto" w:fill="D9D9D9" w:themeFill="background1" w:themeFillShade="D9"/>
            <w:vAlign w:val="center"/>
          </w:tcPr>
          <w:p w14:paraId="0D364E04" w14:textId="77777777" w:rsidR="00653CA9" w:rsidRPr="004E439F" w:rsidRDefault="00653CA9" w:rsidP="003A09DB">
            <w:pPr>
              <w:rPr>
                <w:color w:val="000000"/>
              </w:rPr>
            </w:pPr>
            <w:r w:rsidRPr="004E439F">
              <w:rPr>
                <w:color w:val="000000"/>
              </w:rPr>
              <w:t> </w:t>
            </w:r>
          </w:p>
        </w:tc>
        <w:tc>
          <w:tcPr>
            <w:tcW w:w="992" w:type="dxa"/>
            <w:shd w:val="clear" w:color="auto" w:fill="D9D9D9" w:themeFill="background1" w:themeFillShade="D9"/>
            <w:vAlign w:val="center"/>
          </w:tcPr>
          <w:p w14:paraId="775BA0FA" w14:textId="77777777" w:rsidR="00653CA9" w:rsidRPr="004E439F" w:rsidRDefault="00653CA9" w:rsidP="003A09DB">
            <w:pPr>
              <w:rPr>
                <w:color w:val="000000"/>
              </w:rPr>
            </w:pPr>
            <w:r w:rsidRPr="004E439F">
              <w:rPr>
                <w:color w:val="000000"/>
              </w:rPr>
              <w:t> </w:t>
            </w:r>
          </w:p>
        </w:tc>
      </w:tr>
      <w:tr w:rsidR="00653CA9" w:rsidRPr="004E439F" w14:paraId="15B1CD7A" w14:textId="77777777" w:rsidTr="003A09DB">
        <w:trPr>
          <w:trHeight w:val="397"/>
          <w:jc w:val="center"/>
        </w:trPr>
        <w:tc>
          <w:tcPr>
            <w:tcW w:w="3652" w:type="dxa"/>
            <w:vAlign w:val="center"/>
          </w:tcPr>
          <w:p w14:paraId="367C6E96" w14:textId="77777777" w:rsidR="00653CA9" w:rsidRPr="004E439F" w:rsidRDefault="00653CA9" w:rsidP="003A09DB">
            <w:pPr>
              <w:rPr>
                <w:color w:val="000000"/>
              </w:rPr>
            </w:pPr>
            <w:r w:rsidRPr="004E439F">
              <w:rPr>
                <w:color w:val="000000"/>
              </w:rPr>
              <w:t>Proizvodnja (tona)</w:t>
            </w:r>
          </w:p>
        </w:tc>
        <w:tc>
          <w:tcPr>
            <w:tcW w:w="1116" w:type="dxa"/>
            <w:vAlign w:val="center"/>
          </w:tcPr>
          <w:p w14:paraId="5EAB34FA" w14:textId="77777777" w:rsidR="00653CA9" w:rsidRPr="004E439F" w:rsidRDefault="00653CA9" w:rsidP="003A09DB">
            <w:pPr>
              <w:rPr>
                <w:color w:val="000000"/>
              </w:rPr>
            </w:pPr>
            <w:r w:rsidRPr="004E439F">
              <w:rPr>
                <w:color w:val="000000"/>
              </w:rPr>
              <w:t>0</w:t>
            </w:r>
          </w:p>
        </w:tc>
        <w:tc>
          <w:tcPr>
            <w:tcW w:w="993" w:type="dxa"/>
            <w:vAlign w:val="center"/>
          </w:tcPr>
          <w:p w14:paraId="691C3568" w14:textId="77777777" w:rsidR="00653CA9" w:rsidRPr="004E439F" w:rsidRDefault="00653CA9" w:rsidP="003A09DB">
            <w:pPr>
              <w:rPr>
                <w:color w:val="000000"/>
              </w:rPr>
            </w:pPr>
            <w:r w:rsidRPr="004E439F">
              <w:rPr>
                <w:color w:val="000000"/>
              </w:rPr>
              <w:t>0</w:t>
            </w:r>
          </w:p>
        </w:tc>
        <w:tc>
          <w:tcPr>
            <w:tcW w:w="992" w:type="dxa"/>
            <w:vAlign w:val="center"/>
          </w:tcPr>
          <w:p w14:paraId="7A39C7C5" w14:textId="77777777" w:rsidR="00653CA9" w:rsidRPr="004E439F" w:rsidRDefault="00653CA9" w:rsidP="003A09DB">
            <w:pPr>
              <w:rPr>
                <w:color w:val="000000"/>
              </w:rPr>
            </w:pPr>
            <w:r w:rsidRPr="004E439F">
              <w:rPr>
                <w:color w:val="000000"/>
              </w:rPr>
              <w:t>0</w:t>
            </w:r>
          </w:p>
        </w:tc>
      </w:tr>
      <w:tr w:rsidR="00653CA9" w:rsidRPr="004E439F" w14:paraId="083E3EDF" w14:textId="77777777" w:rsidTr="003A09DB">
        <w:trPr>
          <w:trHeight w:val="397"/>
          <w:jc w:val="center"/>
        </w:trPr>
        <w:tc>
          <w:tcPr>
            <w:tcW w:w="3652" w:type="dxa"/>
            <w:vAlign w:val="center"/>
          </w:tcPr>
          <w:p w14:paraId="61246D00" w14:textId="77777777" w:rsidR="00653CA9" w:rsidRPr="004E439F" w:rsidRDefault="00653CA9" w:rsidP="003A09DB">
            <w:pPr>
              <w:rPr>
                <w:color w:val="000000"/>
              </w:rPr>
            </w:pPr>
            <w:r w:rsidRPr="004E439F">
              <w:rPr>
                <w:color w:val="000000"/>
              </w:rPr>
              <w:t>Uporaba (tona)</w:t>
            </w:r>
          </w:p>
        </w:tc>
        <w:tc>
          <w:tcPr>
            <w:tcW w:w="1116" w:type="dxa"/>
            <w:vAlign w:val="center"/>
          </w:tcPr>
          <w:p w14:paraId="4D76953B" w14:textId="77777777" w:rsidR="00653CA9" w:rsidRPr="004E439F" w:rsidRDefault="00653CA9" w:rsidP="003A09DB">
            <w:pPr>
              <w:rPr>
                <w:color w:val="000000"/>
              </w:rPr>
            </w:pPr>
            <w:r w:rsidRPr="004E439F">
              <w:rPr>
                <w:color w:val="000000"/>
              </w:rPr>
              <w:t>0</w:t>
            </w:r>
          </w:p>
        </w:tc>
        <w:tc>
          <w:tcPr>
            <w:tcW w:w="993" w:type="dxa"/>
            <w:vAlign w:val="center"/>
          </w:tcPr>
          <w:p w14:paraId="5947D86A" w14:textId="77777777" w:rsidR="00653CA9" w:rsidRPr="004E439F" w:rsidRDefault="00653CA9" w:rsidP="003A09DB">
            <w:pPr>
              <w:rPr>
                <w:color w:val="000000"/>
              </w:rPr>
            </w:pPr>
            <w:r w:rsidRPr="004E439F">
              <w:rPr>
                <w:color w:val="000000"/>
              </w:rPr>
              <w:t>0</w:t>
            </w:r>
          </w:p>
        </w:tc>
        <w:tc>
          <w:tcPr>
            <w:tcW w:w="992" w:type="dxa"/>
            <w:vAlign w:val="center"/>
          </w:tcPr>
          <w:p w14:paraId="34464E7F" w14:textId="77777777" w:rsidR="00653CA9" w:rsidRPr="004E439F" w:rsidRDefault="00653CA9" w:rsidP="003A09DB">
            <w:pPr>
              <w:rPr>
                <w:color w:val="000000"/>
              </w:rPr>
            </w:pPr>
            <w:r w:rsidRPr="004E439F">
              <w:rPr>
                <w:color w:val="000000"/>
              </w:rPr>
              <w:t>0</w:t>
            </w:r>
          </w:p>
        </w:tc>
      </w:tr>
      <w:tr w:rsidR="00021C31" w:rsidRPr="004E439F" w14:paraId="6D04090F" w14:textId="77777777" w:rsidTr="003A09DB">
        <w:trPr>
          <w:trHeight w:val="397"/>
          <w:jc w:val="center"/>
        </w:trPr>
        <w:tc>
          <w:tcPr>
            <w:tcW w:w="3652" w:type="dxa"/>
            <w:shd w:val="clear" w:color="auto" w:fill="D9D9D9" w:themeFill="background1" w:themeFillShade="D9"/>
            <w:vAlign w:val="center"/>
          </w:tcPr>
          <w:p w14:paraId="1843FD19" w14:textId="3121CF16" w:rsidR="00021C31" w:rsidRPr="004E439F" w:rsidRDefault="00021C31" w:rsidP="003A09DB">
            <w:pPr>
              <w:rPr>
                <w:color w:val="000000"/>
              </w:rPr>
            </w:pPr>
            <w:r>
              <w:rPr>
                <w:color w:val="000000"/>
              </w:rPr>
              <w:t>Industrijske kemikalije</w:t>
            </w:r>
          </w:p>
        </w:tc>
        <w:tc>
          <w:tcPr>
            <w:tcW w:w="1116" w:type="dxa"/>
            <w:shd w:val="clear" w:color="auto" w:fill="D9D9D9" w:themeFill="background1" w:themeFillShade="D9"/>
            <w:vAlign w:val="center"/>
          </w:tcPr>
          <w:p w14:paraId="03515D49" w14:textId="77777777" w:rsidR="00021C31" w:rsidRPr="004E439F" w:rsidRDefault="00021C31" w:rsidP="003A09DB">
            <w:pPr>
              <w:rPr>
                <w:color w:val="000000"/>
              </w:rPr>
            </w:pPr>
          </w:p>
        </w:tc>
        <w:tc>
          <w:tcPr>
            <w:tcW w:w="993" w:type="dxa"/>
            <w:shd w:val="clear" w:color="auto" w:fill="D9D9D9" w:themeFill="background1" w:themeFillShade="D9"/>
            <w:vAlign w:val="center"/>
          </w:tcPr>
          <w:p w14:paraId="63746BA5" w14:textId="77777777" w:rsidR="00021C31" w:rsidRPr="004E439F" w:rsidRDefault="00021C31" w:rsidP="003A09DB">
            <w:pPr>
              <w:rPr>
                <w:color w:val="000000"/>
              </w:rPr>
            </w:pPr>
          </w:p>
        </w:tc>
        <w:tc>
          <w:tcPr>
            <w:tcW w:w="992" w:type="dxa"/>
            <w:shd w:val="clear" w:color="auto" w:fill="D9D9D9" w:themeFill="background1" w:themeFillShade="D9"/>
            <w:vAlign w:val="center"/>
          </w:tcPr>
          <w:p w14:paraId="045286A5" w14:textId="77777777" w:rsidR="00021C31" w:rsidRPr="004E439F" w:rsidRDefault="00021C31" w:rsidP="003A09DB">
            <w:pPr>
              <w:rPr>
                <w:color w:val="000000"/>
              </w:rPr>
            </w:pPr>
          </w:p>
        </w:tc>
      </w:tr>
      <w:tr w:rsidR="00021C31" w:rsidRPr="004E439F" w14:paraId="0BC2FCF0" w14:textId="77777777" w:rsidTr="003A09DB">
        <w:trPr>
          <w:trHeight w:val="397"/>
          <w:jc w:val="center"/>
        </w:trPr>
        <w:tc>
          <w:tcPr>
            <w:tcW w:w="3652" w:type="dxa"/>
            <w:shd w:val="clear" w:color="auto" w:fill="D9D9D9" w:themeFill="background1" w:themeFillShade="D9"/>
            <w:vAlign w:val="center"/>
          </w:tcPr>
          <w:p w14:paraId="2CD64E44" w14:textId="07EFA520" w:rsidR="00021C31" w:rsidRDefault="00021C31" w:rsidP="003A09DB">
            <w:pPr>
              <w:rPr>
                <w:color w:val="000000"/>
              </w:rPr>
            </w:pPr>
            <w:r w:rsidRPr="00021C31">
              <w:rPr>
                <w:color w:val="000000"/>
              </w:rPr>
              <w:t>Proizvodnja (tona)</w:t>
            </w:r>
          </w:p>
        </w:tc>
        <w:tc>
          <w:tcPr>
            <w:tcW w:w="1116" w:type="dxa"/>
            <w:shd w:val="clear" w:color="auto" w:fill="D9D9D9" w:themeFill="background1" w:themeFillShade="D9"/>
            <w:vAlign w:val="center"/>
          </w:tcPr>
          <w:p w14:paraId="34855D06" w14:textId="560BCEA8" w:rsidR="00021C31" w:rsidRPr="004E439F" w:rsidRDefault="00021C31" w:rsidP="003A09DB">
            <w:pPr>
              <w:rPr>
                <w:color w:val="000000"/>
              </w:rPr>
            </w:pPr>
            <w:r>
              <w:rPr>
                <w:color w:val="000000"/>
              </w:rPr>
              <w:t>0</w:t>
            </w:r>
          </w:p>
        </w:tc>
        <w:tc>
          <w:tcPr>
            <w:tcW w:w="993" w:type="dxa"/>
            <w:shd w:val="clear" w:color="auto" w:fill="D9D9D9" w:themeFill="background1" w:themeFillShade="D9"/>
            <w:vAlign w:val="center"/>
          </w:tcPr>
          <w:p w14:paraId="7B4E6C3E" w14:textId="2B5F98EA" w:rsidR="00021C31" w:rsidRPr="004E439F" w:rsidRDefault="00021C31" w:rsidP="003A09DB">
            <w:pPr>
              <w:rPr>
                <w:color w:val="000000"/>
              </w:rPr>
            </w:pPr>
            <w:r>
              <w:rPr>
                <w:color w:val="000000"/>
              </w:rPr>
              <w:t>0</w:t>
            </w:r>
          </w:p>
        </w:tc>
        <w:tc>
          <w:tcPr>
            <w:tcW w:w="992" w:type="dxa"/>
            <w:shd w:val="clear" w:color="auto" w:fill="D9D9D9" w:themeFill="background1" w:themeFillShade="D9"/>
            <w:vAlign w:val="center"/>
          </w:tcPr>
          <w:p w14:paraId="0A9B8827" w14:textId="00CE9BC0" w:rsidR="00021C31" w:rsidRPr="004E439F" w:rsidRDefault="00021C31" w:rsidP="003A09DB">
            <w:pPr>
              <w:rPr>
                <w:color w:val="000000"/>
              </w:rPr>
            </w:pPr>
            <w:r>
              <w:rPr>
                <w:color w:val="000000"/>
              </w:rPr>
              <w:t>0</w:t>
            </w:r>
          </w:p>
        </w:tc>
      </w:tr>
      <w:tr w:rsidR="00021C31" w:rsidRPr="004E439F" w14:paraId="2FAC5BD8" w14:textId="77777777" w:rsidTr="003A09DB">
        <w:trPr>
          <w:trHeight w:val="397"/>
          <w:jc w:val="center"/>
        </w:trPr>
        <w:tc>
          <w:tcPr>
            <w:tcW w:w="3652" w:type="dxa"/>
            <w:shd w:val="clear" w:color="auto" w:fill="D9D9D9" w:themeFill="background1" w:themeFillShade="D9"/>
            <w:vAlign w:val="center"/>
          </w:tcPr>
          <w:p w14:paraId="3C01EC7F" w14:textId="433BE422" w:rsidR="00021C31" w:rsidRDefault="00021C31" w:rsidP="003A09DB">
            <w:pPr>
              <w:rPr>
                <w:color w:val="000000"/>
              </w:rPr>
            </w:pPr>
            <w:r>
              <w:rPr>
                <w:color w:val="000000"/>
              </w:rPr>
              <w:t>Zalihe/</w:t>
            </w:r>
            <w:r w:rsidRPr="00021C31">
              <w:rPr>
                <w:color w:val="000000"/>
              </w:rPr>
              <w:t>Uporaba (tona)</w:t>
            </w:r>
          </w:p>
        </w:tc>
        <w:tc>
          <w:tcPr>
            <w:tcW w:w="1116" w:type="dxa"/>
            <w:shd w:val="clear" w:color="auto" w:fill="D9D9D9" w:themeFill="background1" w:themeFillShade="D9"/>
            <w:vAlign w:val="center"/>
          </w:tcPr>
          <w:p w14:paraId="30DAA7B8" w14:textId="77777777" w:rsidR="00021C31" w:rsidRPr="004E439F" w:rsidRDefault="00021C31" w:rsidP="003A09DB">
            <w:pPr>
              <w:rPr>
                <w:color w:val="000000"/>
              </w:rPr>
            </w:pPr>
          </w:p>
        </w:tc>
        <w:tc>
          <w:tcPr>
            <w:tcW w:w="993" w:type="dxa"/>
            <w:shd w:val="clear" w:color="auto" w:fill="D9D9D9" w:themeFill="background1" w:themeFillShade="D9"/>
            <w:vAlign w:val="center"/>
          </w:tcPr>
          <w:p w14:paraId="4F6100AE" w14:textId="77777777" w:rsidR="00021C31" w:rsidRPr="004E439F" w:rsidRDefault="00021C31" w:rsidP="003A09DB">
            <w:pPr>
              <w:rPr>
                <w:color w:val="000000"/>
              </w:rPr>
            </w:pPr>
          </w:p>
        </w:tc>
        <w:tc>
          <w:tcPr>
            <w:tcW w:w="992" w:type="dxa"/>
            <w:shd w:val="clear" w:color="auto" w:fill="D9D9D9" w:themeFill="background1" w:themeFillShade="D9"/>
            <w:vAlign w:val="center"/>
          </w:tcPr>
          <w:p w14:paraId="5763EDF3" w14:textId="77777777" w:rsidR="00021C31" w:rsidRPr="004E439F" w:rsidRDefault="00021C31" w:rsidP="003A09DB">
            <w:pPr>
              <w:rPr>
                <w:color w:val="000000"/>
              </w:rPr>
            </w:pPr>
          </w:p>
        </w:tc>
      </w:tr>
      <w:tr w:rsidR="00653CA9" w:rsidRPr="004E439F" w14:paraId="1D0E9E56" w14:textId="77777777" w:rsidTr="003A09DB">
        <w:trPr>
          <w:trHeight w:val="397"/>
          <w:jc w:val="center"/>
        </w:trPr>
        <w:tc>
          <w:tcPr>
            <w:tcW w:w="3652" w:type="dxa"/>
            <w:vAlign w:val="center"/>
          </w:tcPr>
          <w:p w14:paraId="529511AC" w14:textId="77777777" w:rsidR="00653CA9" w:rsidRPr="004E439F" w:rsidRDefault="00653CA9" w:rsidP="003A09DB">
            <w:pPr>
              <w:rPr>
                <w:color w:val="000000"/>
              </w:rPr>
            </w:pPr>
            <w:r w:rsidRPr="004E439F">
              <w:rPr>
                <w:color w:val="000000"/>
              </w:rPr>
              <w:t>Ukupna masa opreme koja sadrži PCB (tona)</w:t>
            </w:r>
          </w:p>
        </w:tc>
        <w:tc>
          <w:tcPr>
            <w:tcW w:w="1116" w:type="dxa"/>
            <w:vAlign w:val="center"/>
          </w:tcPr>
          <w:p w14:paraId="3BD3D052" w14:textId="77777777" w:rsidR="00653CA9" w:rsidRPr="004E439F" w:rsidRDefault="00653CA9" w:rsidP="003A09DB">
            <w:pPr>
              <w:rPr>
                <w:color w:val="000000"/>
              </w:rPr>
            </w:pPr>
            <w:r w:rsidRPr="004E439F">
              <w:rPr>
                <w:color w:val="000000"/>
              </w:rPr>
              <w:t>706,89**</w:t>
            </w:r>
          </w:p>
        </w:tc>
        <w:tc>
          <w:tcPr>
            <w:tcW w:w="993" w:type="dxa"/>
            <w:vAlign w:val="center"/>
          </w:tcPr>
          <w:p w14:paraId="47EBB5A7" w14:textId="77777777" w:rsidR="00653CA9" w:rsidRPr="004E439F" w:rsidRDefault="00653CA9" w:rsidP="003A09DB">
            <w:pPr>
              <w:rPr>
                <w:color w:val="000000"/>
              </w:rPr>
            </w:pPr>
            <w:r w:rsidRPr="004E439F">
              <w:rPr>
                <w:color w:val="000000"/>
              </w:rPr>
              <w:t>*</w:t>
            </w:r>
          </w:p>
        </w:tc>
        <w:tc>
          <w:tcPr>
            <w:tcW w:w="992" w:type="dxa"/>
            <w:vAlign w:val="center"/>
          </w:tcPr>
          <w:p w14:paraId="38A495AB" w14:textId="77777777" w:rsidR="00653CA9" w:rsidRPr="004E439F" w:rsidRDefault="00653CA9" w:rsidP="003A09DB">
            <w:pPr>
              <w:rPr>
                <w:color w:val="000000"/>
              </w:rPr>
            </w:pPr>
            <w:r w:rsidRPr="004E439F">
              <w:rPr>
                <w:color w:val="000000"/>
              </w:rPr>
              <w:t>*</w:t>
            </w:r>
          </w:p>
        </w:tc>
      </w:tr>
      <w:tr w:rsidR="009D0C43" w:rsidRPr="004E439F" w14:paraId="2EA997E3" w14:textId="77777777" w:rsidTr="003A09DB">
        <w:trPr>
          <w:trHeight w:val="397"/>
          <w:jc w:val="center"/>
        </w:trPr>
        <w:tc>
          <w:tcPr>
            <w:tcW w:w="3652" w:type="dxa"/>
            <w:vAlign w:val="center"/>
          </w:tcPr>
          <w:p w14:paraId="76D51972" w14:textId="1297CD07" w:rsidR="009D0C43" w:rsidRPr="004E439F" w:rsidRDefault="009D0C43" w:rsidP="003A09DB">
            <w:pPr>
              <w:rPr>
                <w:color w:val="000000"/>
              </w:rPr>
            </w:pPr>
            <w:r w:rsidRPr="009D0C43">
              <w:rPr>
                <w:color w:val="000000"/>
              </w:rPr>
              <w:lastRenderedPageBreak/>
              <w:t>HBCD/HBCDD</w:t>
            </w:r>
          </w:p>
        </w:tc>
        <w:tc>
          <w:tcPr>
            <w:tcW w:w="1116" w:type="dxa"/>
            <w:vAlign w:val="center"/>
          </w:tcPr>
          <w:p w14:paraId="683E17E2" w14:textId="5873F8B0" w:rsidR="009D0C43" w:rsidRPr="004E439F" w:rsidRDefault="009D0C43" w:rsidP="003A09DB">
            <w:pPr>
              <w:rPr>
                <w:color w:val="000000"/>
              </w:rPr>
            </w:pPr>
            <w:r>
              <w:rPr>
                <w:color w:val="000000"/>
              </w:rPr>
              <w:t>6,5</w:t>
            </w:r>
          </w:p>
        </w:tc>
        <w:tc>
          <w:tcPr>
            <w:tcW w:w="993" w:type="dxa"/>
            <w:vAlign w:val="center"/>
          </w:tcPr>
          <w:p w14:paraId="3127217A" w14:textId="771AC970" w:rsidR="009D0C43" w:rsidRPr="004E439F" w:rsidRDefault="009D0C43" w:rsidP="003A09DB">
            <w:pPr>
              <w:rPr>
                <w:color w:val="000000"/>
              </w:rPr>
            </w:pPr>
            <w:r>
              <w:rPr>
                <w:color w:val="000000"/>
              </w:rPr>
              <w:t>*</w:t>
            </w:r>
          </w:p>
        </w:tc>
        <w:tc>
          <w:tcPr>
            <w:tcW w:w="992" w:type="dxa"/>
            <w:vAlign w:val="center"/>
          </w:tcPr>
          <w:p w14:paraId="453C2022" w14:textId="046787B3" w:rsidR="009D0C43" w:rsidRPr="004E439F" w:rsidRDefault="009D0C43" w:rsidP="003A09DB">
            <w:pPr>
              <w:rPr>
                <w:color w:val="000000"/>
              </w:rPr>
            </w:pPr>
            <w:r>
              <w:rPr>
                <w:color w:val="000000"/>
              </w:rPr>
              <w:t>*</w:t>
            </w:r>
          </w:p>
        </w:tc>
      </w:tr>
      <w:tr w:rsidR="009D0C43" w:rsidRPr="004E439F" w14:paraId="5E541AD8" w14:textId="77777777" w:rsidTr="003A09DB">
        <w:trPr>
          <w:trHeight w:val="397"/>
          <w:jc w:val="center"/>
        </w:trPr>
        <w:tc>
          <w:tcPr>
            <w:tcW w:w="3652" w:type="dxa"/>
            <w:vAlign w:val="center"/>
          </w:tcPr>
          <w:p w14:paraId="7F16B565" w14:textId="7B04264C" w:rsidR="009D0C43" w:rsidRPr="004E439F" w:rsidRDefault="009D0C43" w:rsidP="003A09DB">
            <w:pPr>
              <w:rPr>
                <w:color w:val="000000"/>
              </w:rPr>
            </w:pPr>
            <w:r w:rsidRPr="009D0C43">
              <w:rPr>
                <w:color w:val="000000"/>
              </w:rPr>
              <w:t>PFOS, PBDE</w:t>
            </w:r>
          </w:p>
        </w:tc>
        <w:tc>
          <w:tcPr>
            <w:tcW w:w="1116" w:type="dxa"/>
            <w:vAlign w:val="center"/>
          </w:tcPr>
          <w:p w14:paraId="2539D5CF" w14:textId="6E1363E1" w:rsidR="009D0C43" w:rsidRPr="004E439F" w:rsidRDefault="009D0C43" w:rsidP="003A09DB">
            <w:pPr>
              <w:rPr>
                <w:color w:val="000000"/>
              </w:rPr>
            </w:pPr>
            <w:r>
              <w:rPr>
                <w:color w:val="000000"/>
              </w:rPr>
              <w:t>Preliminarni inventar</w:t>
            </w:r>
          </w:p>
        </w:tc>
        <w:tc>
          <w:tcPr>
            <w:tcW w:w="993" w:type="dxa"/>
            <w:vAlign w:val="center"/>
          </w:tcPr>
          <w:p w14:paraId="36CC3241" w14:textId="39110DAC" w:rsidR="009D0C43" w:rsidRPr="004E439F" w:rsidRDefault="009D0C43" w:rsidP="003A09DB">
            <w:pPr>
              <w:rPr>
                <w:color w:val="000000"/>
              </w:rPr>
            </w:pPr>
            <w:r>
              <w:rPr>
                <w:color w:val="000000"/>
              </w:rPr>
              <w:t>0</w:t>
            </w:r>
          </w:p>
        </w:tc>
        <w:tc>
          <w:tcPr>
            <w:tcW w:w="992" w:type="dxa"/>
            <w:vAlign w:val="center"/>
          </w:tcPr>
          <w:p w14:paraId="52B0A91A" w14:textId="6DFA78BF" w:rsidR="009D0C43" w:rsidRPr="004E439F" w:rsidRDefault="009D0C43" w:rsidP="003A09DB">
            <w:pPr>
              <w:rPr>
                <w:color w:val="000000"/>
              </w:rPr>
            </w:pPr>
            <w:r>
              <w:rPr>
                <w:color w:val="000000"/>
              </w:rPr>
              <w:t>0</w:t>
            </w:r>
          </w:p>
        </w:tc>
      </w:tr>
      <w:tr w:rsidR="00653CA9" w:rsidRPr="004E439F" w14:paraId="00DBD58A" w14:textId="77777777" w:rsidTr="003A09DB">
        <w:trPr>
          <w:trHeight w:val="397"/>
          <w:jc w:val="center"/>
        </w:trPr>
        <w:tc>
          <w:tcPr>
            <w:tcW w:w="3652" w:type="dxa"/>
            <w:shd w:val="clear" w:color="auto" w:fill="D9D9D9" w:themeFill="background1" w:themeFillShade="D9"/>
            <w:vAlign w:val="center"/>
          </w:tcPr>
          <w:p w14:paraId="54DCFB38" w14:textId="77777777" w:rsidR="00653CA9" w:rsidRPr="004E439F" w:rsidRDefault="00653CA9" w:rsidP="003A09DB">
            <w:pPr>
              <w:rPr>
                <w:color w:val="000000"/>
              </w:rPr>
            </w:pPr>
            <w:r w:rsidRPr="004E439F">
              <w:rPr>
                <w:color w:val="000000"/>
              </w:rPr>
              <w:t>Ispuštanje iz nenamjerne proizvodnje</w:t>
            </w:r>
          </w:p>
        </w:tc>
        <w:tc>
          <w:tcPr>
            <w:tcW w:w="1116" w:type="dxa"/>
            <w:shd w:val="clear" w:color="auto" w:fill="D9D9D9" w:themeFill="background1" w:themeFillShade="D9"/>
            <w:vAlign w:val="center"/>
          </w:tcPr>
          <w:p w14:paraId="3C9E731A" w14:textId="77777777" w:rsidR="00653CA9" w:rsidRPr="004E439F" w:rsidRDefault="00653CA9" w:rsidP="003A09DB">
            <w:pPr>
              <w:rPr>
                <w:color w:val="000000"/>
              </w:rPr>
            </w:pPr>
          </w:p>
        </w:tc>
        <w:tc>
          <w:tcPr>
            <w:tcW w:w="993" w:type="dxa"/>
            <w:shd w:val="clear" w:color="auto" w:fill="D9D9D9" w:themeFill="background1" w:themeFillShade="D9"/>
            <w:vAlign w:val="center"/>
          </w:tcPr>
          <w:p w14:paraId="25B28B88" w14:textId="77777777" w:rsidR="00653CA9" w:rsidRPr="004E439F" w:rsidRDefault="00653CA9" w:rsidP="003A09DB">
            <w:pPr>
              <w:rPr>
                <w:color w:val="000000"/>
              </w:rPr>
            </w:pPr>
            <w:r w:rsidRPr="004E439F">
              <w:rPr>
                <w:color w:val="000000"/>
              </w:rPr>
              <w:t> </w:t>
            </w:r>
          </w:p>
        </w:tc>
        <w:tc>
          <w:tcPr>
            <w:tcW w:w="992" w:type="dxa"/>
            <w:shd w:val="clear" w:color="auto" w:fill="D9D9D9" w:themeFill="background1" w:themeFillShade="D9"/>
            <w:vAlign w:val="center"/>
          </w:tcPr>
          <w:p w14:paraId="4D9FA723" w14:textId="77777777" w:rsidR="00653CA9" w:rsidRPr="004E439F" w:rsidRDefault="00653CA9" w:rsidP="003A09DB">
            <w:pPr>
              <w:rPr>
                <w:color w:val="000000"/>
              </w:rPr>
            </w:pPr>
            <w:r w:rsidRPr="004E439F">
              <w:rPr>
                <w:color w:val="000000"/>
              </w:rPr>
              <w:t> </w:t>
            </w:r>
          </w:p>
        </w:tc>
      </w:tr>
      <w:tr w:rsidR="00653CA9" w:rsidRPr="004E439F" w14:paraId="0408EF3E" w14:textId="77777777" w:rsidTr="003A09DB">
        <w:trPr>
          <w:trHeight w:val="397"/>
          <w:jc w:val="center"/>
        </w:trPr>
        <w:tc>
          <w:tcPr>
            <w:tcW w:w="3652" w:type="dxa"/>
            <w:shd w:val="clear" w:color="auto" w:fill="D9D9D9" w:themeFill="background1" w:themeFillShade="D9"/>
            <w:vAlign w:val="center"/>
          </w:tcPr>
          <w:p w14:paraId="0C9BD139" w14:textId="77777777" w:rsidR="00653CA9" w:rsidRPr="004E439F" w:rsidRDefault="00653CA9" w:rsidP="003A09DB">
            <w:pPr>
              <w:rPr>
                <w:color w:val="000000"/>
              </w:rPr>
            </w:pPr>
            <w:r w:rsidRPr="004E439F">
              <w:rPr>
                <w:color w:val="000000"/>
              </w:rPr>
              <w:t>PCDD/PCDF (g TEQ godina</w:t>
            </w:r>
            <w:r w:rsidRPr="004E439F">
              <w:rPr>
                <w:color w:val="000000"/>
                <w:vertAlign w:val="superscript"/>
              </w:rPr>
              <w:t>-1</w:t>
            </w:r>
            <w:r w:rsidRPr="004E439F">
              <w:rPr>
                <w:color w:val="000000"/>
              </w:rPr>
              <w:t>)</w:t>
            </w:r>
          </w:p>
        </w:tc>
        <w:tc>
          <w:tcPr>
            <w:tcW w:w="1116" w:type="dxa"/>
            <w:shd w:val="clear" w:color="auto" w:fill="D9D9D9" w:themeFill="background1" w:themeFillShade="D9"/>
            <w:vAlign w:val="center"/>
          </w:tcPr>
          <w:p w14:paraId="50B63320" w14:textId="77777777" w:rsidR="00653CA9" w:rsidRPr="004E439F" w:rsidRDefault="00653CA9" w:rsidP="003A09DB">
            <w:pPr>
              <w:rPr>
                <w:color w:val="000000"/>
              </w:rPr>
            </w:pPr>
            <w:r w:rsidRPr="004E439F">
              <w:rPr>
                <w:color w:val="000000"/>
              </w:rPr>
              <w:t> </w:t>
            </w:r>
          </w:p>
        </w:tc>
        <w:tc>
          <w:tcPr>
            <w:tcW w:w="993" w:type="dxa"/>
            <w:shd w:val="clear" w:color="auto" w:fill="D9D9D9" w:themeFill="background1" w:themeFillShade="D9"/>
            <w:vAlign w:val="center"/>
          </w:tcPr>
          <w:p w14:paraId="78D43989" w14:textId="77777777" w:rsidR="00653CA9" w:rsidRPr="004E439F" w:rsidRDefault="00653CA9" w:rsidP="003A09DB">
            <w:pPr>
              <w:rPr>
                <w:color w:val="000000"/>
              </w:rPr>
            </w:pPr>
            <w:r w:rsidRPr="004E439F">
              <w:rPr>
                <w:color w:val="000000"/>
              </w:rPr>
              <w:t> </w:t>
            </w:r>
          </w:p>
        </w:tc>
        <w:tc>
          <w:tcPr>
            <w:tcW w:w="992" w:type="dxa"/>
            <w:shd w:val="clear" w:color="auto" w:fill="D9D9D9" w:themeFill="background1" w:themeFillShade="D9"/>
            <w:vAlign w:val="center"/>
          </w:tcPr>
          <w:p w14:paraId="00B03C60" w14:textId="77777777" w:rsidR="00653CA9" w:rsidRPr="004E439F" w:rsidRDefault="00653CA9" w:rsidP="003A09DB">
            <w:pPr>
              <w:rPr>
                <w:color w:val="000000"/>
              </w:rPr>
            </w:pPr>
            <w:r w:rsidRPr="004E439F">
              <w:rPr>
                <w:color w:val="000000"/>
              </w:rPr>
              <w:t> </w:t>
            </w:r>
          </w:p>
        </w:tc>
      </w:tr>
      <w:tr w:rsidR="00653CA9" w:rsidRPr="004E439F" w14:paraId="6915DA4D" w14:textId="77777777" w:rsidTr="003A09DB">
        <w:trPr>
          <w:trHeight w:val="397"/>
          <w:jc w:val="center"/>
        </w:trPr>
        <w:tc>
          <w:tcPr>
            <w:tcW w:w="3652" w:type="dxa"/>
            <w:vAlign w:val="center"/>
          </w:tcPr>
          <w:p w14:paraId="65CED21F" w14:textId="77777777" w:rsidR="00653CA9" w:rsidRPr="004E439F" w:rsidRDefault="00653CA9" w:rsidP="003A09DB">
            <w:pPr>
              <w:rPr>
                <w:color w:val="000000"/>
              </w:rPr>
            </w:pPr>
            <w:r w:rsidRPr="004E439F">
              <w:rPr>
                <w:color w:val="000000"/>
              </w:rPr>
              <w:t>Spalionice otpada</w:t>
            </w:r>
          </w:p>
        </w:tc>
        <w:tc>
          <w:tcPr>
            <w:tcW w:w="1116" w:type="dxa"/>
            <w:vAlign w:val="center"/>
          </w:tcPr>
          <w:p w14:paraId="4A5FE83C" w14:textId="77777777" w:rsidR="00653CA9" w:rsidRPr="004E439F" w:rsidRDefault="00653CA9" w:rsidP="003A09DB">
            <w:pPr>
              <w:rPr>
                <w:color w:val="000000"/>
              </w:rPr>
            </w:pPr>
            <w:r w:rsidRPr="004E439F">
              <w:rPr>
                <w:color w:val="000000"/>
              </w:rPr>
              <w:t>0,07</w:t>
            </w:r>
          </w:p>
        </w:tc>
        <w:tc>
          <w:tcPr>
            <w:tcW w:w="993" w:type="dxa"/>
            <w:vAlign w:val="center"/>
          </w:tcPr>
          <w:p w14:paraId="5C5D166B" w14:textId="77777777" w:rsidR="00653CA9" w:rsidRPr="004E439F" w:rsidRDefault="00653CA9" w:rsidP="003A09DB">
            <w:pPr>
              <w:rPr>
                <w:color w:val="000000"/>
              </w:rPr>
            </w:pPr>
            <w:r w:rsidRPr="004E439F">
              <w:rPr>
                <w:color w:val="000000"/>
              </w:rPr>
              <w:t>*</w:t>
            </w:r>
          </w:p>
        </w:tc>
        <w:tc>
          <w:tcPr>
            <w:tcW w:w="992" w:type="dxa"/>
            <w:vAlign w:val="center"/>
          </w:tcPr>
          <w:p w14:paraId="7A31F1CA" w14:textId="77777777" w:rsidR="00653CA9" w:rsidRPr="004E439F" w:rsidRDefault="00653CA9" w:rsidP="003A09DB">
            <w:pPr>
              <w:rPr>
                <w:color w:val="000000"/>
              </w:rPr>
            </w:pPr>
            <w:r w:rsidRPr="004E439F">
              <w:rPr>
                <w:color w:val="000000"/>
              </w:rPr>
              <w:t>*</w:t>
            </w:r>
          </w:p>
        </w:tc>
      </w:tr>
      <w:tr w:rsidR="00653CA9" w:rsidRPr="004E439F" w14:paraId="064EFD3D" w14:textId="77777777" w:rsidTr="003A09DB">
        <w:trPr>
          <w:trHeight w:val="397"/>
          <w:jc w:val="center"/>
        </w:trPr>
        <w:tc>
          <w:tcPr>
            <w:tcW w:w="3652" w:type="dxa"/>
            <w:vAlign w:val="center"/>
          </w:tcPr>
          <w:p w14:paraId="0664A8D9" w14:textId="77777777" w:rsidR="00653CA9" w:rsidRPr="004E439F" w:rsidRDefault="00653CA9" w:rsidP="003A09DB">
            <w:pPr>
              <w:rPr>
                <w:color w:val="000000"/>
              </w:rPr>
            </w:pPr>
            <w:r w:rsidRPr="004E439F">
              <w:rPr>
                <w:color w:val="000000"/>
              </w:rPr>
              <w:t>Proizvodnja željeza i obojenih metala</w:t>
            </w:r>
          </w:p>
        </w:tc>
        <w:tc>
          <w:tcPr>
            <w:tcW w:w="1116" w:type="dxa"/>
            <w:vAlign w:val="center"/>
          </w:tcPr>
          <w:p w14:paraId="5EAE3D62" w14:textId="77777777" w:rsidR="00653CA9" w:rsidRPr="004E439F" w:rsidRDefault="00653CA9" w:rsidP="003A09DB">
            <w:pPr>
              <w:rPr>
                <w:color w:val="000000"/>
              </w:rPr>
            </w:pPr>
            <w:r w:rsidRPr="004E439F">
              <w:rPr>
                <w:color w:val="000000"/>
              </w:rPr>
              <w:t>0,38</w:t>
            </w:r>
          </w:p>
        </w:tc>
        <w:tc>
          <w:tcPr>
            <w:tcW w:w="993" w:type="dxa"/>
            <w:vAlign w:val="center"/>
          </w:tcPr>
          <w:p w14:paraId="5D75CD6A" w14:textId="77777777" w:rsidR="00653CA9" w:rsidRPr="004E439F" w:rsidRDefault="00653CA9" w:rsidP="003A09DB">
            <w:pPr>
              <w:rPr>
                <w:color w:val="000000"/>
              </w:rPr>
            </w:pPr>
            <w:r w:rsidRPr="004E439F">
              <w:rPr>
                <w:color w:val="000000"/>
              </w:rPr>
              <w:t>*</w:t>
            </w:r>
          </w:p>
        </w:tc>
        <w:tc>
          <w:tcPr>
            <w:tcW w:w="992" w:type="dxa"/>
            <w:vAlign w:val="center"/>
          </w:tcPr>
          <w:p w14:paraId="0B563C2B" w14:textId="77777777" w:rsidR="00653CA9" w:rsidRPr="004E439F" w:rsidRDefault="00653CA9" w:rsidP="003A09DB">
            <w:pPr>
              <w:rPr>
                <w:color w:val="000000"/>
              </w:rPr>
            </w:pPr>
            <w:r w:rsidRPr="004E439F">
              <w:rPr>
                <w:color w:val="000000"/>
              </w:rPr>
              <w:t>*</w:t>
            </w:r>
          </w:p>
        </w:tc>
      </w:tr>
      <w:tr w:rsidR="00653CA9" w:rsidRPr="004E439F" w14:paraId="3633DBFE" w14:textId="77777777" w:rsidTr="003A09DB">
        <w:trPr>
          <w:trHeight w:val="397"/>
          <w:jc w:val="center"/>
        </w:trPr>
        <w:tc>
          <w:tcPr>
            <w:tcW w:w="3652" w:type="dxa"/>
            <w:vAlign w:val="center"/>
          </w:tcPr>
          <w:p w14:paraId="1F55C8CE" w14:textId="77777777" w:rsidR="00653CA9" w:rsidRPr="004E439F" w:rsidRDefault="00653CA9" w:rsidP="003A09DB">
            <w:pPr>
              <w:rPr>
                <w:color w:val="000000"/>
              </w:rPr>
            </w:pPr>
            <w:r w:rsidRPr="004E439F">
              <w:rPr>
                <w:color w:val="000000"/>
              </w:rPr>
              <w:t>Proizvodnja energije i topline</w:t>
            </w:r>
          </w:p>
        </w:tc>
        <w:tc>
          <w:tcPr>
            <w:tcW w:w="1116" w:type="dxa"/>
            <w:vAlign w:val="center"/>
          </w:tcPr>
          <w:p w14:paraId="390550CA" w14:textId="77777777" w:rsidR="00653CA9" w:rsidRPr="004E439F" w:rsidRDefault="00653CA9" w:rsidP="003A09DB">
            <w:pPr>
              <w:rPr>
                <w:color w:val="000000"/>
              </w:rPr>
            </w:pPr>
            <w:r w:rsidRPr="004E439F">
              <w:rPr>
                <w:color w:val="000000"/>
              </w:rPr>
              <w:t>20.054,4</w:t>
            </w:r>
          </w:p>
        </w:tc>
        <w:tc>
          <w:tcPr>
            <w:tcW w:w="993" w:type="dxa"/>
            <w:vAlign w:val="center"/>
          </w:tcPr>
          <w:p w14:paraId="1BF939F0" w14:textId="77777777" w:rsidR="00653CA9" w:rsidRPr="004E439F" w:rsidRDefault="00653CA9" w:rsidP="003A09DB">
            <w:pPr>
              <w:rPr>
                <w:color w:val="000000"/>
              </w:rPr>
            </w:pPr>
            <w:r w:rsidRPr="004E439F">
              <w:rPr>
                <w:color w:val="000000"/>
              </w:rPr>
              <w:t>*</w:t>
            </w:r>
          </w:p>
        </w:tc>
        <w:tc>
          <w:tcPr>
            <w:tcW w:w="992" w:type="dxa"/>
            <w:vAlign w:val="center"/>
          </w:tcPr>
          <w:p w14:paraId="43307CE3" w14:textId="77777777" w:rsidR="00653CA9" w:rsidRPr="004E439F" w:rsidRDefault="00653CA9" w:rsidP="003A09DB">
            <w:pPr>
              <w:rPr>
                <w:color w:val="000000"/>
              </w:rPr>
            </w:pPr>
            <w:r w:rsidRPr="004E439F">
              <w:rPr>
                <w:color w:val="000000"/>
              </w:rPr>
              <w:t>*</w:t>
            </w:r>
          </w:p>
        </w:tc>
      </w:tr>
      <w:tr w:rsidR="00653CA9" w:rsidRPr="004E439F" w14:paraId="36353C16" w14:textId="77777777" w:rsidTr="003A09DB">
        <w:trPr>
          <w:trHeight w:val="397"/>
          <w:jc w:val="center"/>
        </w:trPr>
        <w:tc>
          <w:tcPr>
            <w:tcW w:w="3652" w:type="dxa"/>
            <w:vAlign w:val="center"/>
          </w:tcPr>
          <w:p w14:paraId="7E8B7CB5" w14:textId="77777777" w:rsidR="00653CA9" w:rsidRPr="004E439F" w:rsidRDefault="00653CA9" w:rsidP="003A09DB">
            <w:pPr>
              <w:rPr>
                <w:color w:val="000000"/>
              </w:rPr>
            </w:pPr>
            <w:r w:rsidRPr="004E439F">
              <w:rPr>
                <w:color w:val="000000"/>
              </w:rPr>
              <w:t>Proizvodnja mineralnih proizvoda</w:t>
            </w:r>
          </w:p>
        </w:tc>
        <w:tc>
          <w:tcPr>
            <w:tcW w:w="1116" w:type="dxa"/>
            <w:vAlign w:val="center"/>
          </w:tcPr>
          <w:p w14:paraId="483C1900" w14:textId="77777777" w:rsidR="00653CA9" w:rsidRPr="004E439F" w:rsidRDefault="00653CA9" w:rsidP="003A09DB">
            <w:pPr>
              <w:rPr>
                <w:color w:val="000000"/>
              </w:rPr>
            </w:pPr>
            <w:r w:rsidRPr="004E439F">
              <w:rPr>
                <w:color w:val="000000"/>
              </w:rPr>
              <w:t>0,20</w:t>
            </w:r>
          </w:p>
        </w:tc>
        <w:tc>
          <w:tcPr>
            <w:tcW w:w="993" w:type="dxa"/>
            <w:vAlign w:val="center"/>
          </w:tcPr>
          <w:p w14:paraId="4497E865" w14:textId="77777777" w:rsidR="00653CA9" w:rsidRPr="004E439F" w:rsidRDefault="00653CA9" w:rsidP="003A09DB">
            <w:pPr>
              <w:rPr>
                <w:color w:val="000000"/>
              </w:rPr>
            </w:pPr>
            <w:r w:rsidRPr="004E439F">
              <w:rPr>
                <w:color w:val="000000"/>
              </w:rPr>
              <w:t>*</w:t>
            </w:r>
          </w:p>
        </w:tc>
        <w:tc>
          <w:tcPr>
            <w:tcW w:w="992" w:type="dxa"/>
            <w:vAlign w:val="center"/>
          </w:tcPr>
          <w:p w14:paraId="12BB4AE7" w14:textId="77777777" w:rsidR="00653CA9" w:rsidRPr="004E439F" w:rsidRDefault="00653CA9" w:rsidP="003A09DB">
            <w:pPr>
              <w:rPr>
                <w:color w:val="000000"/>
              </w:rPr>
            </w:pPr>
            <w:r w:rsidRPr="004E439F">
              <w:rPr>
                <w:color w:val="000000"/>
              </w:rPr>
              <w:t>*</w:t>
            </w:r>
          </w:p>
        </w:tc>
      </w:tr>
      <w:tr w:rsidR="00653CA9" w:rsidRPr="004E439F" w14:paraId="005706A9" w14:textId="77777777" w:rsidTr="003A09DB">
        <w:trPr>
          <w:trHeight w:val="397"/>
          <w:jc w:val="center"/>
        </w:trPr>
        <w:tc>
          <w:tcPr>
            <w:tcW w:w="3652" w:type="dxa"/>
            <w:vAlign w:val="center"/>
          </w:tcPr>
          <w:p w14:paraId="334EEC5D" w14:textId="77777777" w:rsidR="00653CA9" w:rsidRPr="004E439F" w:rsidRDefault="00653CA9" w:rsidP="003A09DB">
            <w:pPr>
              <w:rPr>
                <w:color w:val="000000"/>
              </w:rPr>
            </w:pPr>
            <w:r w:rsidRPr="004E439F">
              <w:rPr>
                <w:color w:val="000000"/>
              </w:rPr>
              <w:t>Promet</w:t>
            </w:r>
          </w:p>
        </w:tc>
        <w:tc>
          <w:tcPr>
            <w:tcW w:w="1116" w:type="dxa"/>
            <w:vAlign w:val="center"/>
          </w:tcPr>
          <w:p w14:paraId="75CE737D" w14:textId="77777777" w:rsidR="00653CA9" w:rsidRPr="004E439F" w:rsidRDefault="00653CA9" w:rsidP="003A09DB">
            <w:pPr>
              <w:rPr>
                <w:color w:val="000000"/>
              </w:rPr>
            </w:pPr>
            <w:r w:rsidRPr="004E439F">
              <w:rPr>
                <w:color w:val="000000"/>
              </w:rPr>
              <w:t>0,22</w:t>
            </w:r>
          </w:p>
        </w:tc>
        <w:tc>
          <w:tcPr>
            <w:tcW w:w="993" w:type="dxa"/>
            <w:vAlign w:val="center"/>
          </w:tcPr>
          <w:p w14:paraId="0C317C19" w14:textId="77777777" w:rsidR="00653CA9" w:rsidRPr="004E439F" w:rsidRDefault="00653CA9" w:rsidP="003A09DB">
            <w:pPr>
              <w:rPr>
                <w:color w:val="000000"/>
              </w:rPr>
            </w:pPr>
            <w:r w:rsidRPr="004E439F">
              <w:rPr>
                <w:color w:val="000000"/>
              </w:rPr>
              <w:t>*</w:t>
            </w:r>
          </w:p>
        </w:tc>
        <w:tc>
          <w:tcPr>
            <w:tcW w:w="992" w:type="dxa"/>
            <w:vAlign w:val="center"/>
          </w:tcPr>
          <w:p w14:paraId="61727DF5" w14:textId="77777777" w:rsidR="00653CA9" w:rsidRPr="004E439F" w:rsidRDefault="00653CA9" w:rsidP="003A09DB">
            <w:pPr>
              <w:rPr>
                <w:color w:val="000000"/>
              </w:rPr>
            </w:pPr>
            <w:r w:rsidRPr="004E439F">
              <w:rPr>
                <w:color w:val="000000"/>
              </w:rPr>
              <w:t>*</w:t>
            </w:r>
          </w:p>
        </w:tc>
      </w:tr>
      <w:tr w:rsidR="00653CA9" w:rsidRPr="004E439F" w14:paraId="4749FDFB" w14:textId="77777777" w:rsidTr="003A09DB">
        <w:trPr>
          <w:trHeight w:val="397"/>
          <w:jc w:val="center"/>
        </w:trPr>
        <w:tc>
          <w:tcPr>
            <w:tcW w:w="3652" w:type="dxa"/>
            <w:vAlign w:val="center"/>
          </w:tcPr>
          <w:p w14:paraId="25A72F07" w14:textId="77777777" w:rsidR="00653CA9" w:rsidRPr="004E439F" w:rsidRDefault="00653CA9" w:rsidP="003A09DB">
            <w:pPr>
              <w:rPr>
                <w:color w:val="000000"/>
              </w:rPr>
            </w:pPr>
            <w:r w:rsidRPr="004E439F">
              <w:rPr>
                <w:color w:val="000000"/>
              </w:rPr>
              <w:t>Nekontrolirani procesi izgaranja</w:t>
            </w:r>
          </w:p>
        </w:tc>
        <w:tc>
          <w:tcPr>
            <w:tcW w:w="1116" w:type="dxa"/>
            <w:vAlign w:val="center"/>
          </w:tcPr>
          <w:p w14:paraId="19C3EAC6" w14:textId="77777777" w:rsidR="00653CA9" w:rsidRPr="004E439F" w:rsidRDefault="00653CA9" w:rsidP="003A09DB">
            <w:pPr>
              <w:rPr>
                <w:color w:val="000000"/>
              </w:rPr>
            </w:pPr>
            <w:r w:rsidRPr="004E439F">
              <w:rPr>
                <w:color w:val="000000"/>
              </w:rPr>
              <w:t>0,02</w:t>
            </w:r>
          </w:p>
        </w:tc>
        <w:tc>
          <w:tcPr>
            <w:tcW w:w="993" w:type="dxa"/>
            <w:vAlign w:val="center"/>
          </w:tcPr>
          <w:p w14:paraId="0C127DE2" w14:textId="77777777" w:rsidR="00653CA9" w:rsidRPr="004E439F" w:rsidRDefault="00653CA9" w:rsidP="003A09DB">
            <w:pPr>
              <w:rPr>
                <w:color w:val="000000"/>
              </w:rPr>
            </w:pPr>
            <w:r w:rsidRPr="004E439F">
              <w:rPr>
                <w:color w:val="000000"/>
              </w:rPr>
              <w:t>*</w:t>
            </w:r>
          </w:p>
        </w:tc>
        <w:tc>
          <w:tcPr>
            <w:tcW w:w="992" w:type="dxa"/>
            <w:vAlign w:val="center"/>
          </w:tcPr>
          <w:p w14:paraId="3C73F34F" w14:textId="77777777" w:rsidR="00653CA9" w:rsidRPr="004E439F" w:rsidRDefault="00653CA9" w:rsidP="003A09DB">
            <w:pPr>
              <w:rPr>
                <w:color w:val="000000"/>
              </w:rPr>
            </w:pPr>
            <w:r w:rsidRPr="004E439F">
              <w:rPr>
                <w:color w:val="000000"/>
              </w:rPr>
              <w:t>*</w:t>
            </w:r>
          </w:p>
        </w:tc>
      </w:tr>
      <w:tr w:rsidR="00653CA9" w:rsidRPr="004E439F" w14:paraId="390C5B9C" w14:textId="77777777" w:rsidTr="003A09DB">
        <w:trPr>
          <w:trHeight w:val="397"/>
          <w:jc w:val="center"/>
        </w:trPr>
        <w:tc>
          <w:tcPr>
            <w:tcW w:w="3652" w:type="dxa"/>
            <w:vAlign w:val="center"/>
          </w:tcPr>
          <w:p w14:paraId="7CA16FAE" w14:textId="77777777" w:rsidR="00653CA9" w:rsidRPr="004E439F" w:rsidRDefault="00653CA9" w:rsidP="003A09DB">
            <w:pPr>
              <w:rPr>
                <w:color w:val="000000"/>
              </w:rPr>
            </w:pPr>
            <w:r w:rsidRPr="004E439F">
              <w:rPr>
                <w:color w:val="000000"/>
              </w:rPr>
              <w:t>Proizvodnja i uporaba kemikalija i potrošačke robe</w:t>
            </w:r>
          </w:p>
        </w:tc>
        <w:tc>
          <w:tcPr>
            <w:tcW w:w="1116" w:type="dxa"/>
            <w:vAlign w:val="center"/>
          </w:tcPr>
          <w:p w14:paraId="58465CD2" w14:textId="77777777" w:rsidR="00653CA9" w:rsidRPr="004E439F" w:rsidRDefault="00653CA9" w:rsidP="003A09DB">
            <w:pPr>
              <w:rPr>
                <w:color w:val="000000"/>
              </w:rPr>
            </w:pPr>
            <w:r w:rsidRPr="004E439F">
              <w:rPr>
                <w:color w:val="000000"/>
              </w:rPr>
              <w:t>0,66</w:t>
            </w:r>
          </w:p>
        </w:tc>
        <w:tc>
          <w:tcPr>
            <w:tcW w:w="993" w:type="dxa"/>
            <w:vAlign w:val="center"/>
          </w:tcPr>
          <w:p w14:paraId="1E63D2D0" w14:textId="77777777" w:rsidR="00653CA9" w:rsidRPr="004E439F" w:rsidRDefault="00653CA9" w:rsidP="003A09DB">
            <w:pPr>
              <w:rPr>
                <w:color w:val="000000"/>
              </w:rPr>
            </w:pPr>
            <w:r w:rsidRPr="004E439F">
              <w:rPr>
                <w:color w:val="000000"/>
              </w:rPr>
              <w:t>*</w:t>
            </w:r>
          </w:p>
        </w:tc>
        <w:tc>
          <w:tcPr>
            <w:tcW w:w="992" w:type="dxa"/>
            <w:vAlign w:val="center"/>
          </w:tcPr>
          <w:p w14:paraId="769B25F7" w14:textId="77777777" w:rsidR="00653CA9" w:rsidRPr="004E439F" w:rsidRDefault="00653CA9" w:rsidP="003A09DB">
            <w:pPr>
              <w:rPr>
                <w:color w:val="000000"/>
              </w:rPr>
            </w:pPr>
            <w:r w:rsidRPr="004E439F">
              <w:rPr>
                <w:color w:val="000000"/>
              </w:rPr>
              <w:t>*</w:t>
            </w:r>
          </w:p>
        </w:tc>
      </w:tr>
      <w:tr w:rsidR="00653CA9" w:rsidRPr="004E439F" w14:paraId="6CD23B42" w14:textId="77777777" w:rsidTr="003A09DB">
        <w:trPr>
          <w:trHeight w:val="397"/>
          <w:jc w:val="center"/>
        </w:trPr>
        <w:tc>
          <w:tcPr>
            <w:tcW w:w="3652" w:type="dxa"/>
            <w:vAlign w:val="center"/>
          </w:tcPr>
          <w:p w14:paraId="2A233249" w14:textId="77777777" w:rsidR="00653CA9" w:rsidRPr="004E439F" w:rsidRDefault="00653CA9" w:rsidP="003A09DB">
            <w:pPr>
              <w:rPr>
                <w:color w:val="000000"/>
              </w:rPr>
            </w:pPr>
            <w:r w:rsidRPr="004E439F">
              <w:rPr>
                <w:color w:val="000000"/>
              </w:rPr>
              <w:t>Zbrinjavanje/odlaganje otpada</w:t>
            </w:r>
          </w:p>
        </w:tc>
        <w:tc>
          <w:tcPr>
            <w:tcW w:w="1116" w:type="dxa"/>
            <w:vAlign w:val="center"/>
          </w:tcPr>
          <w:p w14:paraId="234CE05B" w14:textId="77777777" w:rsidR="00653CA9" w:rsidRPr="004E439F" w:rsidRDefault="00653CA9" w:rsidP="003A09DB">
            <w:pPr>
              <w:rPr>
                <w:color w:val="000000"/>
              </w:rPr>
            </w:pPr>
            <w:r w:rsidRPr="004E439F">
              <w:rPr>
                <w:color w:val="000000"/>
              </w:rPr>
              <w:t>7.066,5</w:t>
            </w:r>
          </w:p>
        </w:tc>
        <w:tc>
          <w:tcPr>
            <w:tcW w:w="993" w:type="dxa"/>
            <w:vAlign w:val="center"/>
          </w:tcPr>
          <w:p w14:paraId="5747C19F" w14:textId="77777777" w:rsidR="00653CA9" w:rsidRPr="004E439F" w:rsidRDefault="00653CA9" w:rsidP="003A09DB">
            <w:pPr>
              <w:rPr>
                <w:color w:val="000000"/>
              </w:rPr>
            </w:pPr>
            <w:r w:rsidRPr="004E439F">
              <w:rPr>
                <w:color w:val="000000"/>
              </w:rPr>
              <w:t>*</w:t>
            </w:r>
          </w:p>
        </w:tc>
        <w:tc>
          <w:tcPr>
            <w:tcW w:w="992" w:type="dxa"/>
            <w:vAlign w:val="center"/>
          </w:tcPr>
          <w:p w14:paraId="76DBE44C" w14:textId="77777777" w:rsidR="00653CA9" w:rsidRPr="004E439F" w:rsidRDefault="00653CA9" w:rsidP="003A09DB">
            <w:pPr>
              <w:rPr>
                <w:color w:val="000000"/>
              </w:rPr>
            </w:pPr>
            <w:r w:rsidRPr="004E439F">
              <w:rPr>
                <w:color w:val="000000"/>
              </w:rPr>
              <w:t>*</w:t>
            </w:r>
          </w:p>
        </w:tc>
      </w:tr>
      <w:tr w:rsidR="00653CA9" w:rsidRPr="004E439F" w14:paraId="48A38DE9" w14:textId="77777777" w:rsidTr="003A09DB">
        <w:trPr>
          <w:trHeight w:val="397"/>
          <w:jc w:val="center"/>
        </w:trPr>
        <w:tc>
          <w:tcPr>
            <w:tcW w:w="3652" w:type="dxa"/>
            <w:vAlign w:val="center"/>
          </w:tcPr>
          <w:p w14:paraId="5838325C" w14:textId="77777777" w:rsidR="00653CA9" w:rsidRPr="004E439F" w:rsidRDefault="00653CA9" w:rsidP="003A09DB">
            <w:pPr>
              <w:rPr>
                <w:color w:val="000000"/>
              </w:rPr>
            </w:pPr>
            <w:r w:rsidRPr="004E439F">
              <w:rPr>
                <w:color w:val="000000"/>
              </w:rPr>
              <w:t>Razno</w:t>
            </w:r>
          </w:p>
        </w:tc>
        <w:tc>
          <w:tcPr>
            <w:tcW w:w="1116" w:type="dxa"/>
            <w:vAlign w:val="center"/>
          </w:tcPr>
          <w:p w14:paraId="7EF0D619" w14:textId="77777777" w:rsidR="00653CA9" w:rsidRPr="004E439F" w:rsidRDefault="00653CA9" w:rsidP="003A09DB">
            <w:pPr>
              <w:rPr>
                <w:color w:val="000000"/>
              </w:rPr>
            </w:pPr>
            <w:r w:rsidRPr="004E439F">
              <w:rPr>
                <w:color w:val="000000"/>
              </w:rPr>
              <w:t>0,02</w:t>
            </w:r>
          </w:p>
        </w:tc>
        <w:tc>
          <w:tcPr>
            <w:tcW w:w="993" w:type="dxa"/>
            <w:vAlign w:val="center"/>
          </w:tcPr>
          <w:p w14:paraId="785285C0" w14:textId="77777777" w:rsidR="00653CA9" w:rsidRPr="004E439F" w:rsidRDefault="00653CA9" w:rsidP="003A09DB">
            <w:pPr>
              <w:rPr>
                <w:color w:val="000000"/>
              </w:rPr>
            </w:pPr>
            <w:r w:rsidRPr="004E439F">
              <w:rPr>
                <w:color w:val="000000"/>
              </w:rPr>
              <w:t>*</w:t>
            </w:r>
          </w:p>
        </w:tc>
        <w:tc>
          <w:tcPr>
            <w:tcW w:w="992" w:type="dxa"/>
            <w:vAlign w:val="center"/>
          </w:tcPr>
          <w:p w14:paraId="10E1FC95" w14:textId="77777777" w:rsidR="00653CA9" w:rsidRPr="004E439F" w:rsidRDefault="00653CA9" w:rsidP="003A09DB">
            <w:pPr>
              <w:rPr>
                <w:color w:val="000000"/>
              </w:rPr>
            </w:pPr>
            <w:r w:rsidRPr="004E439F">
              <w:rPr>
                <w:color w:val="000000"/>
              </w:rPr>
              <w:t>*</w:t>
            </w:r>
          </w:p>
        </w:tc>
      </w:tr>
      <w:tr w:rsidR="00653CA9" w:rsidRPr="004E439F" w14:paraId="6D2F92AF" w14:textId="77777777" w:rsidTr="003A09DB">
        <w:trPr>
          <w:trHeight w:val="397"/>
          <w:jc w:val="center"/>
        </w:trPr>
        <w:tc>
          <w:tcPr>
            <w:tcW w:w="3652" w:type="dxa"/>
            <w:vAlign w:val="center"/>
          </w:tcPr>
          <w:p w14:paraId="4587FCCF" w14:textId="77777777" w:rsidR="00653CA9" w:rsidRPr="004E439F" w:rsidRDefault="00653CA9" w:rsidP="003A09DB">
            <w:pPr>
              <w:rPr>
                <w:color w:val="000000"/>
              </w:rPr>
            </w:pPr>
            <w:r w:rsidRPr="004E439F">
              <w:rPr>
                <w:color w:val="000000"/>
              </w:rPr>
              <w:t>HCB (kg)</w:t>
            </w:r>
          </w:p>
        </w:tc>
        <w:tc>
          <w:tcPr>
            <w:tcW w:w="1116" w:type="dxa"/>
            <w:vAlign w:val="center"/>
          </w:tcPr>
          <w:p w14:paraId="0CFA70E3" w14:textId="77777777" w:rsidR="00653CA9" w:rsidRPr="004E439F" w:rsidRDefault="00653CA9" w:rsidP="003A09DB">
            <w:pPr>
              <w:rPr>
                <w:color w:val="000000"/>
              </w:rPr>
            </w:pPr>
            <w:r w:rsidRPr="004E439F">
              <w:rPr>
                <w:color w:val="000000"/>
              </w:rPr>
              <w:t>0,13</w:t>
            </w:r>
          </w:p>
        </w:tc>
        <w:tc>
          <w:tcPr>
            <w:tcW w:w="993" w:type="dxa"/>
            <w:vAlign w:val="center"/>
          </w:tcPr>
          <w:p w14:paraId="7EC96637" w14:textId="77777777" w:rsidR="00653CA9" w:rsidRPr="004E439F" w:rsidRDefault="00653CA9" w:rsidP="003A09DB">
            <w:pPr>
              <w:rPr>
                <w:color w:val="000000"/>
              </w:rPr>
            </w:pPr>
            <w:r w:rsidRPr="004E439F">
              <w:rPr>
                <w:color w:val="000000"/>
              </w:rPr>
              <w:t>*</w:t>
            </w:r>
          </w:p>
        </w:tc>
        <w:tc>
          <w:tcPr>
            <w:tcW w:w="992" w:type="dxa"/>
            <w:vAlign w:val="center"/>
          </w:tcPr>
          <w:p w14:paraId="0F633D33" w14:textId="77777777" w:rsidR="00653CA9" w:rsidRPr="004E439F" w:rsidRDefault="00653CA9" w:rsidP="003A09DB">
            <w:pPr>
              <w:rPr>
                <w:color w:val="000000"/>
              </w:rPr>
            </w:pPr>
            <w:r w:rsidRPr="004E439F">
              <w:rPr>
                <w:color w:val="000000"/>
              </w:rPr>
              <w:t>*</w:t>
            </w:r>
          </w:p>
        </w:tc>
      </w:tr>
      <w:tr w:rsidR="00653CA9" w:rsidRPr="004E439F" w14:paraId="0306CCEE" w14:textId="77777777" w:rsidTr="003A09DB">
        <w:trPr>
          <w:trHeight w:val="397"/>
          <w:jc w:val="center"/>
        </w:trPr>
        <w:tc>
          <w:tcPr>
            <w:tcW w:w="3652" w:type="dxa"/>
            <w:vAlign w:val="center"/>
          </w:tcPr>
          <w:p w14:paraId="551B3683" w14:textId="77777777" w:rsidR="00653CA9" w:rsidRPr="004E439F" w:rsidRDefault="00653CA9" w:rsidP="003A09DB">
            <w:pPr>
              <w:rPr>
                <w:color w:val="000000"/>
              </w:rPr>
            </w:pPr>
            <w:r w:rsidRPr="004E439F">
              <w:rPr>
                <w:color w:val="000000"/>
              </w:rPr>
              <w:t>PCB (kg)</w:t>
            </w:r>
          </w:p>
        </w:tc>
        <w:tc>
          <w:tcPr>
            <w:tcW w:w="1116" w:type="dxa"/>
            <w:vAlign w:val="center"/>
          </w:tcPr>
          <w:p w14:paraId="100731DC" w14:textId="77777777" w:rsidR="00653CA9" w:rsidRPr="004E439F" w:rsidRDefault="00653CA9" w:rsidP="003A09DB">
            <w:pPr>
              <w:rPr>
                <w:color w:val="000000"/>
              </w:rPr>
            </w:pPr>
            <w:r w:rsidRPr="004E439F">
              <w:rPr>
                <w:color w:val="000000"/>
              </w:rPr>
              <w:t>430,40</w:t>
            </w:r>
          </w:p>
        </w:tc>
        <w:tc>
          <w:tcPr>
            <w:tcW w:w="993" w:type="dxa"/>
            <w:vAlign w:val="center"/>
          </w:tcPr>
          <w:p w14:paraId="7F107878" w14:textId="77777777" w:rsidR="00653CA9" w:rsidRPr="004E439F" w:rsidRDefault="00653CA9" w:rsidP="003A09DB">
            <w:pPr>
              <w:rPr>
                <w:color w:val="000000"/>
              </w:rPr>
            </w:pPr>
            <w:r w:rsidRPr="004E439F">
              <w:rPr>
                <w:color w:val="000000"/>
              </w:rPr>
              <w:t>*</w:t>
            </w:r>
          </w:p>
        </w:tc>
        <w:tc>
          <w:tcPr>
            <w:tcW w:w="992" w:type="dxa"/>
            <w:vAlign w:val="center"/>
          </w:tcPr>
          <w:p w14:paraId="35EA9299" w14:textId="77777777" w:rsidR="00653CA9" w:rsidRPr="004E439F" w:rsidRDefault="00653CA9" w:rsidP="003A09DB">
            <w:pPr>
              <w:rPr>
                <w:color w:val="000000"/>
              </w:rPr>
            </w:pPr>
            <w:r w:rsidRPr="004E439F">
              <w:rPr>
                <w:color w:val="000000"/>
              </w:rPr>
              <w:t>*</w:t>
            </w:r>
          </w:p>
        </w:tc>
      </w:tr>
      <w:tr w:rsidR="009D0C43" w:rsidRPr="004E439F" w14:paraId="3135B2BC" w14:textId="77777777" w:rsidTr="003A09DB">
        <w:trPr>
          <w:trHeight w:val="397"/>
          <w:jc w:val="center"/>
        </w:trPr>
        <w:tc>
          <w:tcPr>
            <w:tcW w:w="3652" w:type="dxa"/>
            <w:vAlign w:val="center"/>
          </w:tcPr>
          <w:p w14:paraId="50C2AE3E" w14:textId="62B61878" w:rsidR="009D0C43" w:rsidRPr="004E439F" w:rsidRDefault="009D0C43" w:rsidP="003A09DB">
            <w:pPr>
              <w:rPr>
                <w:color w:val="000000"/>
              </w:rPr>
            </w:pPr>
            <w:proofErr w:type="spellStart"/>
            <w:r w:rsidRPr="009D0C43">
              <w:rPr>
                <w:color w:val="000000"/>
              </w:rPr>
              <w:t>PeCB</w:t>
            </w:r>
            <w:proofErr w:type="spellEnd"/>
            <w:r w:rsidRPr="009D0C43">
              <w:rPr>
                <w:color w:val="000000"/>
              </w:rPr>
              <w:t xml:space="preserve"> (kg)</w:t>
            </w:r>
          </w:p>
        </w:tc>
        <w:tc>
          <w:tcPr>
            <w:tcW w:w="1116" w:type="dxa"/>
            <w:vAlign w:val="center"/>
          </w:tcPr>
          <w:p w14:paraId="57A352B8" w14:textId="6F012012" w:rsidR="009D0C43" w:rsidRPr="004E439F" w:rsidRDefault="009D0C43" w:rsidP="003A09DB">
            <w:pPr>
              <w:rPr>
                <w:color w:val="000000"/>
              </w:rPr>
            </w:pPr>
            <w:r>
              <w:rPr>
                <w:color w:val="000000"/>
              </w:rPr>
              <w:t>0</w:t>
            </w:r>
          </w:p>
        </w:tc>
        <w:tc>
          <w:tcPr>
            <w:tcW w:w="993" w:type="dxa"/>
            <w:vAlign w:val="center"/>
          </w:tcPr>
          <w:p w14:paraId="2FA940A6" w14:textId="61F57A4B" w:rsidR="009D0C43" w:rsidRPr="004E439F" w:rsidRDefault="009D0C43" w:rsidP="003A09DB">
            <w:pPr>
              <w:rPr>
                <w:color w:val="000000"/>
              </w:rPr>
            </w:pPr>
            <w:r>
              <w:rPr>
                <w:color w:val="000000"/>
              </w:rPr>
              <w:t>*</w:t>
            </w:r>
          </w:p>
        </w:tc>
        <w:tc>
          <w:tcPr>
            <w:tcW w:w="992" w:type="dxa"/>
            <w:vAlign w:val="center"/>
          </w:tcPr>
          <w:p w14:paraId="0B21F80D" w14:textId="5908C6C2" w:rsidR="009D0C43" w:rsidRPr="004E439F" w:rsidRDefault="009D0C43" w:rsidP="003A09DB">
            <w:pPr>
              <w:rPr>
                <w:color w:val="000000"/>
              </w:rPr>
            </w:pPr>
            <w:r>
              <w:rPr>
                <w:color w:val="000000"/>
              </w:rPr>
              <w:t>*</w:t>
            </w:r>
          </w:p>
        </w:tc>
      </w:tr>
    </w:tbl>
    <w:p w14:paraId="26262164" w14:textId="1757DC47" w:rsidR="00317EE7" w:rsidRPr="004B44BB" w:rsidRDefault="00317EE7" w:rsidP="00055DE9">
      <w:r w:rsidRPr="004B44BB">
        <w:t xml:space="preserve">* </w:t>
      </w:r>
      <w:r w:rsidR="00D24702">
        <w:t xml:space="preserve">  </w:t>
      </w:r>
      <w:r w:rsidRPr="004B44BB">
        <w:t>potrebno odrediti</w:t>
      </w:r>
    </w:p>
    <w:p w14:paraId="1FDBB57F" w14:textId="18D49750" w:rsidR="00317EE7" w:rsidRDefault="00317EE7" w:rsidP="00055DE9">
      <w:r w:rsidRPr="004B44BB">
        <w:t>** ukupna masa evidentirane opreme koja sadrži PCB od čega je zbrinuto oko 55%</w:t>
      </w:r>
      <w:r w:rsidR="009D0C43">
        <w:t xml:space="preserve"> u 2013. godini (a u 2015. godini 70%)</w:t>
      </w:r>
    </w:p>
    <w:p w14:paraId="168A196C" w14:textId="77777777" w:rsidR="00112EDC" w:rsidRDefault="00112EDC" w:rsidP="002D2EE9">
      <w:pPr>
        <w:spacing w:after="120"/>
        <w:jc w:val="right"/>
        <w:rPr>
          <w:i/>
          <w:sz w:val="20"/>
          <w:szCs w:val="20"/>
        </w:rPr>
      </w:pPr>
    </w:p>
    <w:p w14:paraId="2A0868F2" w14:textId="0A698FA9" w:rsidR="003E3CB3" w:rsidRDefault="002D2EE9" w:rsidP="003E3CB3">
      <w:pPr>
        <w:rPr>
          <w:i/>
          <w:sz w:val="20"/>
          <w:szCs w:val="20"/>
        </w:rPr>
      </w:pPr>
      <w:r>
        <w:rPr>
          <w:i/>
          <w:sz w:val="20"/>
          <w:szCs w:val="20"/>
        </w:rPr>
        <w:t xml:space="preserve">Izvor: </w:t>
      </w:r>
      <w:r w:rsidRPr="002D2EE9">
        <w:rPr>
          <w:i/>
          <w:sz w:val="20"/>
          <w:szCs w:val="20"/>
        </w:rPr>
        <w:t>Odluka o prihvaćanju Drugog nacionalnog plana za provedbu Stockholmske ko</w:t>
      </w:r>
      <w:r w:rsidR="003E3CB3">
        <w:rPr>
          <w:i/>
          <w:sz w:val="20"/>
          <w:szCs w:val="20"/>
        </w:rPr>
        <w:t>nvencije o postojanim organskim</w:t>
      </w:r>
    </w:p>
    <w:p w14:paraId="3F9DD007" w14:textId="65F2ADF4" w:rsidR="002D2EE9" w:rsidRPr="00CB4024" w:rsidRDefault="002D2EE9" w:rsidP="003E3CB3">
      <w:r w:rsidRPr="002D2EE9">
        <w:rPr>
          <w:i/>
          <w:sz w:val="20"/>
          <w:szCs w:val="20"/>
        </w:rPr>
        <w:t>onečišćujućim tvarima u Republici Hrvatskoj</w:t>
      </w:r>
      <w:r w:rsidR="00112EDC">
        <w:rPr>
          <w:i/>
          <w:sz w:val="20"/>
          <w:szCs w:val="20"/>
        </w:rPr>
        <w:t xml:space="preserve"> (Narodne novine, broj 62/16)</w:t>
      </w:r>
    </w:p>
    <w:p w14:paraId="1B2ED535" w14:textId="77777777" w:rsidR="003E3CB3" w:rsidRDefault="003E3CB3" w:rsidP="00112EDC">
      <w:pPr>
        <w:jc w:val="both"/>
      </w:pPr>
    </w:p>
    <w:p w14:paraId="2EBDA743" w14:textId="2F8E7936" w:rsidR="000A4E49" w:rsidRDefault="00112EDC" w:rsidP="00112EDC">
      <w:pPr>
        <w:jc w:val="both"/>
      </w:pPr>
      <w:r>
        <w:t xml:space="preserve">Prema najnovijim dostupnim podacima </w:t>
      </w:r>
      <w:r w:rsidRPr="00112EDC">
        <w:t>od ukupne količine (716 t) evidentirane opreme koja sadrži PCB, do prosinca 2015. godine zbrinuto je 459 t (preostalo je za zbrinuti 257 t), do prosinca 2016. godine zbrinuta je 471 t (preostalo je za zbrinuti 245 t), a do prosinca 2017. godine zbrinute su 533 t (preostale su za zbrinuti 183 t u posjedu ukupno 36 posjednika)</w:t>
      </w:r>
      <w:r w:rsidR="003E3CB3">
        <w:t>.</w:t>
      </w:r>
    </w:p>
    <w:p w14:paraId="737D4BEE" w14:textId="19C5DCBE" w:rsidR="00317EE7" w:rsidRPr="007E5335" w:rsidRDefault="004F0853" w:rsidP="002664D6">
      <w:pPr>
        <w:pStyle w:val="Naslov2"/>
        <w:numPr>
          <w:ilvl w:val="1"/>
          <w:numId w:val="9"/>
        </w:numPr>
        <w:spacing w:before="100" w:beforeAutospacing="1" w:after="120"/>
        <w:rPr>
          <w:b w:val="0"/>
        </w:rPr>
      </w:pPr>
      <w:bookmarkStart w:id="19" w:name="_Toc8637310"/>
      <w:r>
        <w:rPr>
          <w:b w:val="0"/>
        </w:rPr>
        <w:t xml:space="preserve">PRIJAVLJENE </w:t>
      </w:r>
      <w:r w:rsidR="007E5335" w:rsidRPr="007E5335">
        <w:rPr>
          <w:b w:val="0"/>
        </w:rPr>
        <w:t>EMISIJ</w:t>
      </w:r>
      <w:r>
        <w:rPr>
          <w:b w:val="0"/>
        </w:rPr>
        <w:t>E</w:t>
      </w:r>
      <w:r w:rsidR="007E5335" w:rsidRPr="007E5335">
        <w:rPr>
          <w:b w:val="0"/>
        </w:rPr>
        <w:t xml:space="preserve"> POP</w:t>
      </w:r>
      <w:r>
        <w:rPr>
          <w:b w:val="0"/>
        </w:rPr>
        <w:t>s</w:t>
      </w:r>
      <w:r w:rsidR="007E5335" w:rsidRPr="007E5335">
        <w:rPr>
          <w:b w:val="0"/>
        </w:rPr>
        <w:t xml:space="preserve">-OVA </w:t>
      </w:r>
      <w:r>
        <w:rPr>
          <w:b w:val="0"/>
        </w:rPr>
        <w:t>U</w:t>
      </w:r>
      <w:r w:rsidR="007E5335" w:rsidRPr="007E5335">
        <w:rPr>
          <w:b w:val="0"/>
        </w:rPr>
        <w:t xml:space="preserve"> BAZ</w:t>
      </w:r>
      <w:r>
        <w:rPr>
          <w:b w:val="0"/>
        </w:rPr>
        <w:t>U</w:t>
      </w:r>
      <w:r w:rsidR="007E5335" w:rsidRPr="007E5335">
        <w:rPr>
          <w:b w:val="0"/>
        </w:rPr>
        <w:t xml:space="preserve"> </w:t>
      </w:r>
      <w:r>
        <w:rPr>
          <w:b w:val="0"/>
        </w:rPr>
        <w:t>REGISTAR ONEČIŠĆAVANJA OKOLIŠA (ROO)</w:t>
      </w:r>
      <w:r w:rsidR="007E5335" w:rsidRPr="007E5335">
        <w:rPr>
          <w:b w:val="0"/>
        </w:rPr>
        <w:t xml:space="preserve"> I </w:t>
      </w:r>
      <w:r>
        <w:rPr>
          <w:b w:val="0"/>
        </w:rPr>
        <w:t>PRIJAVLJENE KOLIČINE U BAZU REGISTAR</w:t>
      </w:r>
      <w:r w:rsidR="007E5335" w:rsidRPr="007E5335">
        <w:rPr>
          <w:b w:val="0"/>
        </w:rPr>
        <w:t xml:space="preserve"> POSTROJENJA U KOJIMA </w:t>
      </w:r>
      <w:r>
        <w:rPr>
          <w:b w:val="0"/>
        </w:rPr>
        <w:t>SU</w:t>
      </w:r>
      <w:r w:rsidR="007E5335" w:rsidRPr="007E5335">
        <w:rPr>
          <w:b w:val="0"/>
        </w:rPr>
        <w:t xml:space="preserve"> PRISUTN</w:t>
      </w:r>
      <w:r>
        <w:rPr>
          <w:b w:val="0"/>
        </w:rPr>
        <w:t>E</w:t>
      </w:r>
      <w:r w:rsidR="007E5335" w:rsidRPr="007E5335">
        <w:rPr>
          <w:b w:val="0"/>
        </w:rPr>
        <w:t xml:space="preserve"> OPAS</w:t>
      </w:r>
      <w:r>
        <w:rPr>
          <w:b w:val="0"/>
        </w:rPr>
        <w:t>NE</w:t>
      </w:r>
      <w:r w:rsidR="007E5335" w:rsidRPr="007E5335">
        <w:rPr>
          <w:b w:val="0"/>
        </w:rPr>
        <w:t xml:space="preserve"> TVARI</w:t>
      </w:r>
      <w:r>
        <w:rPr>
          <w:b w:val="0"/>
        </w:rPr>
        <w:t>/OČEVIDNIK PRIJAVLJENIH BELIKIH NESREĆA</w:t>
      </w:r>
      <w:r w:rsidR="007E5335" w:rsidRPr="007E5335">
        <w:rPr>
          <w:b w:val="0"/>
        </w:rPr>
        <w:t xml:space="preserve"> (RPOT</w:t>
      </w:r>
      <w:r>
        <w:rPr>
          <w:b w:val="0"/>
        </w:rPr>
        <w:t>/OPVN</w:t>
      </w:r>
      <w:r w:rsidR="007E5335" w:rsidRPr="007E5335">
        <w:rPr>
          <w:b w:val="0"/>
        </w:rPr>
        <w:t>)</w:t>
      </w:r>
      <w:bookmarkEnd w:id="19"/>
    </w:p>
    <w:p w14:paraId="56D4DBAE" w14:textId="2D6A7D23" w:rsidR="00317EE7" w:rsidRPr="00CB4024" w:rsidRDefault="00224421" w:rsidP="00317EE7">
      <w:pPr>
        <w:spacing w:after="120"/>
        <w:jc w:val="both"/>
      </w:pPr>
      <w:r>
        <w:t>S</w:t>
      </w:r>
      <w:r w:rsidR="00317EE7" w:rsidRPr="00CB4024">
        <w:t xml:space="preserve">ukladno Pravilniku o registru onečišćavanja okoliša (Narodne novine, broj </w:t>
      </w:r>
      <w:r>
        <w:t>87/15</w:t>
      </w:r>
      <w:r w:rsidR="00317EE7" w:rsidRPr="00CB4024">
        <w:t>),</w:t>
      </w:r>
      <w:r>
        <w:t xml:space="preserve"> p</w:t>
      </w:r>
      <w:r w:rsidRPr="00CB4024">
        <w:t xml:space="preserve">odaci o </w:t>
      </w:r>
      <w:r>
        <w:t>emisijama</w:t>
      </w:r>
      <w:r w:rsidRPr="00CB4024">
        <w:t xml:space="preserve"> </w:t>
      </w:r>
      <w:proofErr w:type="spellStart"/>
      <w:r>
        <w:t>POPs</w:t>
      </w:r>
      <w:proofErr w:type="spellEnd"/>
      <w:r>
        <w:t>-ova</w:t>
      </w:r>
      <w:r w:rsidRPr="00CB4024">
        <w:t xml:space="preserve"> </w:t>
      </w:r>
      <w:r>
        <w:t xml:space="preserve">u zrak, vodu i/ili more i tlo </w:t>
      </w:r>
      <w:r w:rsidRPr="00CB4024">
        <w:t xml:space="preserve">iz pojedinačnih </w:t>
      </w:r>
      <w:r>
        <w:t>izvora te nastanak</w:t>
      </w:r>
      <w:r w:rsidRPr="00CB4024">
        <w:t xml:space="preserve"> otpada koji sadrži PCB, </w:t>
      </w:r>
      <w:r w:rsidR="00317EE7" w:rsidRPr="00CB4024">
        <w:t xml:space="preserve"> prikupljaju se u bazu ROO.</w:t>
      </w:r>
    </w:p>
    <w:p w14:paraId="12590A0B" w14:textId="0DBDDA6B" w:rsidR="00317EE7" w:rsidRPr="007E5335" w:rsidRDefault="00317EE7" w:rsidP="002664D6">
      <w:pPr>
        <w:pStyle w:val="Naslov3"/>
        <w:numPr>
          <w:ilvl w:val="2"/>
          <w:numId w:val="9"/>
        </w:numPr>
        <w:spacing w:before="100" w:beforeAutospacing="1" w:after="120"/>
        <w:jc w:val="center"/>
        <w:rPr>
          <w:b w:val="0"/>
          <w:i/>
        </w:rPr>
      </w:pPr>
      <w:bookmarkStart w:id="20" w:name="_Toc8637311"/>
      <w:r w:rsidRPr="007E5335">
        <w:rPr>
          <w:b w:val="0"/>
          <w:i/>
        </w:rPr>
        <w:t xml:space="preserve">Količine ispuštanja POPs-ova u zrak </w:t>
      </w:r>
      <w:r w:rsidR="00F56A44" w:rsidRPr="007E5335">
        <w:rPr>
          <w:b w:val="0"/>
          <w:i/>
        </w:rPr>
        <w:t>prema podacima baze ROO</w:t>
      </w:r>
      <w:bookmarkEnd w:id="20"/>
    </w:p>
    <w:p w14:paraId="2DE6DF53" w14:textId="29975CDB" w:rsidR="00317EE7" w:rsidRPr="00CB4024" w:rsidRDefault="00317EE7" w:rsidP="00317EE7">
      <w:pPr>
        <w:spacing w:after="120"/>
        <w:jc w:val="both"/>
      </w:pPr>
      <w:r w:rsidRPr="00CB4024">
        <w:t>Za 201</w:t>
      </w:r>
      <w:r w:rsidR="0075094C">
        <w:t>5</w:t>
      </w:r>
      <w:r w:rsidRPr="00CB4024">
        <w:t xml:space="preserve">. godinu u bazi ROO prikupljeni su podaci o emisijama u zrak iz nepokretnih izvora ispuštanja za PCDD+PCDF i za PAU  u ukupno </w:t>
      </w:r>
      <w:r w:rsidR="00A062DA">
        <w:t>četiri</w:t>
      </w:r>
      <w:r w:rsidR="00A062DA" w:rsidRPr="00CB4024">
        <w:t xml:space="preserve"> </w:t>
      </w:r>
      <w:r w:rsidRPr="00CB4024">
        <w:t>županije.</w:t>
      </w:r>
      <w:r w:rsidR="00A062DA">
        <w:t xml:space="preserve"> U 2016. i 2017. godini prikupljeni su podaci o emisijama PAU u samo jednoj županiji.</w:t>
      </w:r>
    </w:p>
    <w:p w14:paraId="0D12401B" w14:textId="603CDE6B" w:rsidR="00317EE7" w:rsidRPr="00CB4024" w:rsidRDefault="00317EE7" w:rsidP="00317EE7">
      <w:pPr>
        <w:spacing w:after="120"/>
        <w:jc w:val="both"/>
      </w:pPr>
      <w:r w:rsidRPr="00CB4024">
        <w:lastRenderedPageBreak/>
        <w:t>U 201</w:t>
      </w:r>
      <w:r w:rsidR="00A062DA">
        <w:t>5</w:t>
      </w:r>
      <w:r w:rsidRPr="00CB4024">
        <w:t>. godini prijavljeno je ukupno 0,</w:t>
      </w:r>
      <w:r w:rsidR="00442A38" w:rsidRPr="00442A38">
        <w:t>00003555</w:t>
      </w:r>
      <w:r w:rsidR="00442A38">
        <w:t xml:space="preserve"> </w:t>
      </w:r>
      <w:r w:rsidRPr="00CB4024">
        <w:t xml:space="preserve">kg PCDD+PCDF (kao TEQ) od čega je najveća količina ove onečišćujuće tvari prijavljena u </w:t>
      </w:r>
      <w:r w:rsidR="00442A38">
        <w:t>Sisačko-moslavačkoj</w:t>
      </w:r>
      <w:r w:rsidRPr="00CB4024">
        <w:t xml:space="preserve"> županiji (oko 8</w:t>
      </w:r>
      <w:r w:rsidR="00BA1297">
        <w:t>1</w:t>
      </w:r>
      <w:r w:rsidRPr="00CB4024">
        <w:t>% ukupnih ispuštanja). Za ispuštanja PAU u 201</w:t>
      </w:r>
      <w:r w:rsidR="00BA1297">
        <w:t>5</w:t>
      </w:r>
      <w:r w:rsidRPr="00CB4024">
        <w:t xml:space="preserve">. godini ukupno je prijavljeno </w:t>
      </w:r>
      <w:r w:rsidR="00BA1297">
        <w:t>32,69</w:t>
      </w:r>
      <w:r w:rsidRPr="00CB4024">
        <w:t xml:space="preserve"> kg </w:t>
      </w:r>
      <w:r w:rsidR="00BA1297">
        <w:t xml:space="preserve"> u Splitsko-dalmatinskoj županiji</w:t>
      </w:r>
      <w:r w:rsidRPr="00CB4024">
        <w:t xml:space="preserve">. </w:t>
      </w:r>
    </w:p>
    <w:p w14:paraId="10321431" w14:textId="1CD1082A" w:rsidR="00317EE7" w:rsidRDefault="00317EE7" w:rsidP="00317EE7">
      <w:pPr>
        <w:spacing w:after="120"/>
        <w:jc w:val="both"/>
      </w:pPr>
      <w:r w:rsidRPr="00CB4024">
        <w:t>U 201</w:t>
      </w:r>
      <w:r w:rsidR="00BA1297">
        <w:t>6</w:t>
      </w:r>
      <w:r w:rsidRPr="00CB4024">
        <w:t xml:space="preserve">. godini prijavljeno je ukupno </w:t>
      </w:r>
      <w:r w:rsidR="00BA1297">
        <w:t>29,77</w:t>
      </w:r>
      <w:r w:rsidRPr="00CB4024">
        <w:t xml:space="preserve"> kg PAU </w:t>
      </w:r>
      <w:r w:rsidR="00BA1297">
        <w:t xml:space="preserve"> dok je </w:t>
      </w:r>
      <w:r w:rsidRPr="00CB4024">
        <w:t xml:space="preserve">u </w:t>
      </w:r>
      <w:r w:rsidR="00BA1297">
        <w:t>2017.</w:t>
      </w:r>
      <w:r w:rsidRPr="00CB4024">
        <w:t xml:space="preserve"> godini ukupno prijavljeno </w:t>
      </w:r>
      <w:r w:rsidR="00FD520D">
        <w:t>36,68</w:t>
      </w:r>
      <w:r w:rsidRPr="00CB4024">
        <w:t xml:space="preserve"> kg</w:t>
      </w:r>
      <w:r w:rsidR="00FD520D">
        <w:t xml:space="preserve"> u Splitsko-dalmatinskoj županiji. </w:t>
      </w:r>
      <w:r w:rsidR="00B23789">
        <w:t>E</w:t>
      </w:r>
      <w:r w:rsidR="00B23789" w:rsidRPr="00B23789">
        <w:t xml:space="preserve">misije PCDD+PCDF </w:t>
      </w:r>
      <w:r w:rsidR="00B23789">
        <w:t xml:space="preserve">za </w:t>
      </w:r>
      <w:r w:rsidR="00FD520D">
        <w:t>2016. i 2017. godin</w:t>
      </w:r>
      <w:r w:rsidR="00B23789">
        <w:t>u</w:t>
      </w:r>
      <w:r w:rsidR="00FD520D">
        <w:t xml:space="preserve"> </w:t>
      </w:r>
      <w:r w:rsidR="00B23789">
        <w:t>nisu prijavljene u bazi ROO</w:t>
      </w:r>
      <w:r w:rsidRPr="00CB4024">
        <w:t>.</w:t>
      </w:r>
    </w:p>
    <w:p w14:paraId="6C3D611B" w14:textId="767A8574" w:rsidR="00317EE7" w:rsidRDefault="00317EE7" w:rsidP="00055DE9">
      <w:pPr>
        <w:jc w:val="both"/>
      </w:pPr>
      <w:r>
        <w:t xml:space="preserve">U tablici </w:t>
      </w:r>
      <w:r w:rsidR="00DE5CBC">
        <w:t>2.</w:t>
      </w:r>
      <w:r w:rsidR="003E3CB3">
        <w:t>5</w:t>
      </w:r>
      <w:r w:rsidR="00DE5CBC">
        <w:t>-</w:t>
      </w:r>
      <w:r w:rsidR="003E3CB3">
        <w:t>1</w:t>
      </w:r>
      <w:r>
        <w:t xml:space="preserve"> su prikazani podaci o emisijama u zrak </w:t>
      </w:r>
      <w:r w:rsidR="00FD520D" w:rsidRPr="00CB4024">
        <w:t xml:space="preserve">PCDD+PCDF </w:t>
      </w:r>
      <w:r w:rsidR="00FD520D">
        <w:t xml:space="preserve">i PAU </w:t>
      </w:r>
      <w:r>
        <w:t xml:space="preserve">za </w:t>
      </w:r>
      <w:r w:rsidR="00FD520D">
        <w:t xml:space="preserve">razdoblje od 2015. do 2017. godine. </w:t>
      </w:r>
    </w:p>
    <w:p w14:paraId="23EEA89A" w14:textId="518F77FE" w:rsidR="00317EE7" w:rsidRPr="00DE5CBC" w:rsidRDefault="00DE5CBC" w:rsidP="007E5335">
      <w:pPr>
        <w:spacing w:before="120" w:after="120"/>
        <w:rPr>
          <w:i/>
        </w:rPr>
      </w:pPr>
      <w:r w:rsidRPr="00DE5CBC">
        <w:rPr>
          <w:i/>
          <w:color w:val="000000"/>
        </w:rPr>
        <w:t>Tablica 2.</w:t>
      </w:r>
      <w:r w:rsidR="003E3CB3">
        <w:rPr>
          <w:i/>
          <w:color w:val="000000"/>
        </w:rPr>
        <w:t>5</w:t>
      </w:r>
      <w:r w:rsidRPr="00DE5CBC">
        <w:rPr>
          <w:i/>
          <w:color w:val="000000"/>
        </w:rPr>
        <w:t>-</w:t>
      </w:r>
      <w:r w:rsidR="003E3CB3">
        <w:rPr>
          <w:i/>
          <w:color w:val="000000"/>
        </w:rPr>
        <w:t>1</w:t>
      </w:r>
      <w:r w:rsidRPr="00DE5CBC">
        <w:rPr>
          <w:i/>
          <w:color w:val="000000"/>
        </w:rPr>
        <w:t xml:space="preserve">: </w:t>
      </w:r>
      <w:r w:rsidR="00F90632" w:rsidRPr="0014716B">
        <w:rPr>
          <w:i/>
        </w:rPr>
        <w:t xml:space="preserve">Prikaz emisija </w:t>
      </w:r>
      <w:proofErr w:type="spellStart"/>
      <w:r w:rsidR="00F90632" w:rsidRPr="0014716B">
        <w:rPr>
          <w:i/>
        </w:rPr>
        <w:t>POPs</w:t>
      </w:r>
      <w:proofErr w:type="spellEnd"/>
      <w:r w:rsidR="00F90632" w:rsidRPr="0014716B">
        <w:rPr>
          <w:i/>
        </w:rPr>
        <w:t>-ova u zrak</w:t>
      </w:r>
      <w:r w:rsidR="00F90632" w:rsidRPr="00DE5CBC">
        <w:rPr>
          <w:i/>
        </w:rPr>
        <w:t xml:space="preserve"> </w:t>
      </w:r>
    </w:p>
    <w:tbl>
      <w:tblPr>
        <w:tblW w:w="4946" w:type="pct"/>
        <w:jc w:val="center"/>
        <w:tblLayout w:type="fixed"/>
        <w:tblLook w:val="04A0" w:firstRow="1" w:lastRow="0" w:firstColumn="1" w:lastColumn="0" w:noHBand="0" w:noVBand="1"/>
      </w:tblPr>
      <w:tblGrid>
        <w:gridCol w:w="2324"/>
        <w:gridCol w:w="2067"/>
        <w:gridCol w:w="1533"/>
        <w:gridCol w:w="1869"/>
        <w:gridCol w:w="1731"/>
      </w:tblGrid>
      <w:tr w:rsidR="00D168B7" w:rsidRPr="00CB4024" w14:paraId="00F10072" w14:textId="5777E1CE" w:rsidTr="00DE5CBC">
        <w:trPr>
          <w:trHeight w:val="425"/>
          <w:tblHeader/>
          <w:jc w:val="center"/>
        </w:trPr>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7139B8" w14:textId="34733FC1" w:rsidR="00D168B7" w:rsidRPr="00D168B7" w:rsidRDefault="00D168B7" w:rsidP="000C5BD2">
            <w:pPr>
              <w:jc w:val="center"/>
              <w:rPr>
                <w:b/>
                <w:color w:val="000000"/>
              </w:rPr>
            </w:pPr>
            <w:r w:rsidRPr="001C6342">
              <w:rPr>
                <w:b/>
              </w:rPr>
              <w:t>Godina:</w:t>
            </w:r>
          </w:p>
        </w:tc>
        <w:tc>
          <w:tcPr>
            <w:tcW w:w="1890"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5EC0177E" w14:textId="2FF40183" w:rsidR="00D168B7" w:rsidRPr="00CB4024" w:rsidRDefault="00D168B7" w:rsidP="000C5BD2">
            <w:pPr>
              <w:jc w:val="center"/>
              <w:rPr>
                <w:b/>
                <w:bCs/>
                <w:color w:val="000000"/>
              </w:rPr>
            </w:pPr>
            <w:r>
              <w:rPr>
                <w:b/>
                <w:bCs/>
                <w:color w:val="000000"/>
              </w:rPr>
              <w:t>2015.</w:t>
            </w:r>
          </w:p>
        </w:tc>
        <w:tc>
          <w:tcPr>
            <w:tcW w:w="98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AB5F126" w14:textId="3EEAC2ED" w:rsidR="00D168B7" w:rsidRDefault="00D168B7" w:rsidP="000C5BD2">
            <w:pPr>
              <w:jc w:val="center"/>
              <w:rPr>
                <w:b/>
                <w:bCs/>
                <w:color w:val="000000"/>
              </w:rPr>
            </w:pPr>
            <w:r>
              <w:rPr>
                <w:b/>
                <w:bCs/>
                <w:color w:val="000000"/>
              </w:rPr>
              <w:t>2016.</w:t>
            </w:r>
          </w:p>
        </w:tc>
        <w:tc>
          <w:tcPr>
            <w:tcW w:w="90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D1E815E" w14:textId="4F44CAC0" w:rsidR="00D168B7" w:rsidRDefault="00D168B7" w:rsidP="000C5BD2">
            <w:pPr>
              <w:jc w:val="center"/>
              <w:rPr>
                <w:b/>
                <w:bCs/>
                <w:color w:val="000000"/>
              </w:rPr>
            </w:pPr>
            <w:r>
              <w:rPr>
                <w:b/>
                <w:bCs/>
                <w:color w:val="000000"/>
              </w:rPr>
              <w:t>2017.</w:t>
            </w:r>
          </w:p>
        </w:tc>
      </w:tr>
      <w:tr w:rsidR="00C51A93" w:rsidRPr="00CB4024" w14:paraId="552BA74F" w14:textId="0655AB59" w:rsidTr="00DE5CBC">
        <w:trPr>
          <w:trHeight w:val="300"/>
          <w:tblHeader/>
          <w:jc w:val="center"/>
        </w:trPr>
        <w:tc>
          <w:tcPr>
            <w:tcW w:w="1220"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8AACD63" w14:textId="44619A91" w:rsidR="000C5BD2" w:rsidRPr="00CB4024" w:rsidRDefault="000C5BD2" w:rsidP="000C5BD2">
            <w:pPr>
              <w:jc w:val="center"/>
              <w:rPr>
                <w:b/>
                <w:bCs/>
                <w:color w:val="000000"/>
              </w:rPr>
            </w:pPr>
            <w:r>
              <w:rPr>
                <w:b/>
                <w:bCs/>
                <w:color w:val="000000"/>
              </w:rPr>
              <w:t>Županija</w:t>
            </w:r>
          </w:p>
        </w:tc>
        <w:tc>
          <w:tcPr>
            <w:tcW w:w="1085" w:type="pct"/>
            <w:tcBorders>
              <w:top w:val="nil"/>
              <w:left w:val="nil"/>
              <w:bottom w:val="single" w:sz="4" w:space="0" w:color="auto"/>
              <w:right w:val="single" w:sz="4" w:space="0" w:color="auto"/>
            </w:tcBorders>
            <w:shd w:val="clear" w:color="auto" w:fill="D9D9D9" w:themeFill="background1" w:themeFillShade="D9"/>
            <w:noWrap/>
            <w:vAlign w:val="center"/>
          </w:tcPr>
          <w:p w14:paraId="3C05CA78" w14:textId="77777777" w:rsidR="000C5BD2" w:rsidRPr="00CB4024" w:rsidRDefault="000C5BD2" w:rsidP="000C5BD2">
            <w:pPr>
              <w:jc w:val="center"/>
              <w:rPr>
                <w:b/>
                <w:bCs/>
                <w:color w:val="000000"/>
              </w:rPr>
            </w:pPr>
            <w:proofErr w:type="spellStart"/>
            <w:r w:rsidRPr="00CB4024">
              <w:rPr>
                <w:b/>
                <w:bCs/>
                <w:color w:val="000000"/>
              </w:rPr>
              <w:t>Poliklorirani</w:t>
            </w:r>
            <w:proofErr w:type="spellEnd"/>
            <w:r w:rsidRPr="00CB4024">
              <w:rPr>
                <w:b/>
                <w:bCs/>
                <w:color w:val="000000"/>
              </w:rPr>
              <w:t xml:space="preserve"> </w:t>
            </w:r>
            <w:proofErr w:type="spellStart"/>
            <w:r w:rsidRPr="00CB4024">
              <w:rPr>
                <w:b/>
                <w:bCs/>
                <w:color w:val="000000"/>
              </w:rPr>
              <w:t>dibenzodioksini</w:t>
            </w:r>
            <w:proofErr w:type="spellEnd"/>
            <w:r w:rsidRPr="00CB4024">
              <w:rPr>
                <w:b/>
                <w:bCs/>
                <w:color w:val="000000"/>
              </w:rPr>
              <w:t xml:space="preserve"> i </w:t>
            </w:r>
            <w:proofErr w:type="spellStart"/>
            <w:r w:rsidRPr="00CB4024">
              <w:rPr>
                <w:b/>
                <w:bCs/>
                <w:color w:val="000000"/>
              </w:rPr>
              <w:t>poliklorirani</w:t>
            </w:r>
            <w:proofErr w:type="spellEnd"/>
            <w:r w:rsidRPr="00CB4024">
              <w:rPr>
                <w:b/>
                <w:bCs/>
                <w:color w:val="000000"/>
              </w:rPr>
              <w:t xml:space="preserve"> </w:t>
            </w:r>
            <w:proofErr w:type="spellStart"/>
            <w:r w:rsidRPr="00CB4024">
              <w:rPr>
                <w:b/>
                <w:bCs/>
                <w:color w:val="000000"/>
              </w:rPr>
              <w:t>dibenzofurani</w:t>
            </w:r>
            <w:proofErr w:type="spellEnd"/>
            <w:r w:rsidRPr="00CB4024">
              <w:rPr>
                <w:b/>
                <w:bCs/>
                <w:color w:val="000000"/>
              </w:rPr>
              <w:t xml:space="preserve"> (PCDD+PCDF)</w:t>
            </w:r>
          </w:p>
          <w:p w14:paraId="45354452" w14:textId="77777777" w:rsidR="000C5BD2" w:rsidRPr="00CB4024" w:rsidRDefault="000C5BD2" w:rsidP="000C5BD2">
            <w:pPr>
              <w:jc w:val="center"/>
              <w:rPr>
                <w:b/>
                <w:bCs/>
                <w:color w:val="000000"/>
              </w:rPr>
            </w:pPr>
            <w:r w:rsidRPr="00CB4024">
              <w:rPr>
                <w:b/>
                <w:bCs/>
                <w:color w:val="000000"/>
              </w:rPr>
              <w:t>(kao TEQ)</w:t>
            </w:r>
          </w:p>
          <w:p w14:paraId="0B961CBF" w14:textId="278AD8C1" w:rsidR="000C5BD2" w:rsidRPr="00CB4024" w:rsidRDefault="000C5BD2" w:rsidP="000C5BD2">
            <w:pPr>
              <w:jc w:val="center"/>
              <w:rPr>
                <w:b/>
                <w:bCs/>
                <w:color w:val="000000"/>
              </w:rPr>
            </w:pPr>
            <w:r>
              <w:rPr>
                <w:b/>
                <w:bCs/>
                <w:color w:val="000000"/>
              </w:rPr>
              <w:t xml:space="preserve">kg </w:t>
            </w:r>
            <w:r w:rsidRPr="00CB4024">
              <w:rPr>
                <w:b/>
                <w:bCs/>
                <w:color w:val="000000"/>
              </w:rPr>
              <w:t>god</w:t>
            </w:r>
            <w:r w:rsidRPr="00C1290D">
              <w:rPr>
                <w:b/>
                <w:bCs/>
                <w:color w:val="000000"/>
                <w:vertAlign w:val="superscript"/>
              </w:rPr>
              <w:t>-1</w:t>
            </w:r>
          </w:p>
        </w:tc>
        <w:tc>
          <w:tcPr>
            <w:tcW w:w="805" w:type="pct"/>
            <w:tcBorders>
              <w:top w:val="nil"/>
              <w:left w:val="nil"/>
              <w:bottom w:val="single" w:sz="4" w:space="0" w:color="auto"/>
              <w:right w:val="single" w:sz="4" w:space="0" w:color="auto"/>
            </w:tcBorders>
            <w:shd w:val="clear" w:color="auto" w:fill="D9D9D9" w:themeFill="background1" w:themeFillShade="D9"/>
            <w:noWrap/>
            <w:vAlign w:val="center"/>
          </w:tcPr>
          <w:p w14:paraId="18D978CC" w14:textId="0C6B8AEB" w:rsidR="000C5BD2" w:rsidRPr="00CB4024" w:rsidRDefault="000C5BD2" w:rsidP="000C5BD2">
            <w:pPr>
              <w:jc w:val="center"/>
              <w:rPr>
                <w:b/>
                <w:bCs/>
                <w:color w:val="000000"/>
              </w:rPr>
            </w:pPr>
            <w:r w:rsidRPr="00B65C7C">
              <w:rPr>
                <w:b/>
                <w:bCs/>
                <w:color w:val="000000"/>
              </w:rPr>
              <w:t>Policiklički aromatski ugljikovodici(3) (PAU) ((</w:t>
            </w:r>
            <w:proofErr w:type="spellStart"/>
            <w:r w:rsidRPr="00B65C7C">
              <w:rPr>
                <w:b/>
                <w:bCs/>
                <w:color w:val="000000"/>
              </w:rPr>
              <w:t>PAHs</w:t>
            </w:r>
            <w:proofErr w:type="spellEnd"/>
            <w:r w:rsidRPr="00B65C7C">
              <w:rPr>
                <w:b/>
                <w:bCs/>
                <w:color w:val="000000"/>
              </w:rPr>
              <w:t>))</w:t>
            </w:r>
          </w:p>
        </w:tc>
        <w:tc>
          <w:tcPr>
            <w:tcW w:w="981" w:type="pct"/>
            <w:tcBorders>
              <w:top w:val="nil"/>
              <w:left w:val="nil"/>
              <w:bottom w:val="single" w:sz="4" w:space="0" w:color="auto"/>
              <w:right w:val="single" w:sz="4" w:space="0" w:color="auto"/>
            </w:tcBorders>
            <w:shd w:val="clear" w:color="auto" w:fill="D9D9D9" w:themeFill="background1" w:themeFillShade="D9"/>
            <w:vAlign w:val="center"/>
          </w:tcPr>
          <w:p w14:paraId="1E8AFD7F" w14:textId="14BD116C" w:rsidR="000C5BD2" w:rsidRPr="00CB4024" w:rsidRDefault="000C5BD2" w:rsidP="000C5BD2">
            <w:pPr>
              <w:jc w:val="center"/>
              <w:rPr>
                <w:b/>
                <w:bCs/>
                <w:color w:val="000000"/>
              </w:rPr>
            </w:pPr>
            <w:r w:rsidRPr="00B65C7C">
              <w:rPr>
                <w:b/>
                <w:bCs/>
                <w:color w:val="000000"/>
              </w:rPr>
              <w:t>Policiklički aromatski ugljikovodici(3) (PAU) ((</w:t>
            </w:r>
            <w:proofErr w:type="spellStart"/>
            <w:r w:rsidRPr="00B65C7C">
              <w:rPr>
                <w:b/>
                <w:bCs/>
                <w:color w:val="000000"/>
              </w:rPr>
              <w:t>PAHs</w:t>
            </w:r>
            <w:proofErr w:type="spellEnd"/>
            <w:r w:rsidRPr="00B65C7C">
              <w:rPr>
                <w:b/>
                <w:bCs/>
                <w:color w:val="000000"/>
              </w:rPr>
              <w:t>))</w:t>
            </w:r>
          </w:p>
        </w:tc>
        <w:tc>
          <w:tcPr>
            <w:tcW w:w="909" w:type="pct"/>
            <w:tcBorders>
              <w:top w:val="nil"/>
              <w:left w:val="nil"/>
              <w:bottom w:val="single" w:sz="4" w:space="0" w:color="auto"/>
              <w:right w:val="single" w:sz="4" w:space="0" w:color="auto"/>
            </w:tcBorders>
            <w:shd w:val="clear" w:color="auto" w:fill="D9D9D9" w:themeFill="background1" w:themeFillShade="D9"/>
            <w:vAlign w:val="center"/>
          </w:tcPr>
          <w:p w14:paraId="1F9B31A7" w14:textId="34520A9E" w:rsidR="000C5BD2" w:rsidRPr="00CB4024" w:rsidRDefault="000C5BD2" w:rsidP="000C5BD2">
            <w:pPr>
              <w:jc w:val="center"/>
              <w:rPr>
                <w:b/>
                <w:bCs/>
                <w:color w:val="000000"/>
              </w:rPr>
            </w:pPr>
            <w:r w:rsidRPr="00B65C7C">
              <w:rPr>
                <w:b/>
                <w:bCs/>
                <w:color w:val="000000"/>
              </w:rPr>
              <w:t>Policiklički aromatski ugljikovodici(3) (PAU) ((</w:t>
            </w:r>
            <w:proofErr w:type="spellStart"/>
            <w:r w:rsidRPr="00B65C7C">
              <w:rPr>
                <w:b/>
                <w:bCs/>
                <w:color w:val="000000"/>
              </w:rPr>
              <w:t>PAHs</w:t>
            </w:r>
            <w:proofErr w:type="spellEnd"/>
            <w:r w:rsidRPr="00B65C7C">
              <w:rPr>
                <w:b/>
                <w:bCs/>
                <w:color w:val="000000"/>
              </w:rPr>
              <w:t>))</w:t>
            </w:r>
          </w:p>
        </w:tc>
      </w:tr>
      <w:tr w:rsidR="00C51A93" w:rsidRPr="00CB4024" w14:paraId="50057284" w14:textId="1FCC8F9D" w:rsidTr="00DE5CBC">
        <w:trPr>
          <w:trHeight w:val="300"/>
          <w:jc w:val="center"/>
        </w:trPr>
        <w:tc>
          <w:tcPr>
            <w:tcW w:w="1220" w:type="pct"/>
            <w:tcBorders>
              <w:top w:val="nil"/>
              <w:left w:val="single" w:sz="4" w:space="0" w:color="auto"/>
              <w:bottom w:val="single" w:sz="4" w:space="0" w:color="auto"/>
              <w:right w:val="single" w:sz="4" w:space="0" w:color="auto"/>
            </w:tcBorders>
            <w:shd w:val="clear" w:color="auto" w:fill="auto"/>
            <w:noWrap/>
            <w:vAlign w:val="center"/>
          </w:tcPr>
          <w:p w14:paraId="06BE680E" w14:textId="1D22FAA0" w:rsidR="000C5BD2" w:rsidRPr="00CB4024" w:rsidRDefault="000C5BD2" w:rsidP="000C5BD2">
            <w:pPr>
              <w:rPr>
                <w:color w:val="000000"/>
              </w:rPr>
            </w:pPr>
            <w:r>
              <w:rPr>
                <w:color w:val="000000"/>
              </w:rPr>
              <w:t>Istarska</w:t>
            </w:r>
          </w:p>
        </w:tc>
        <w:tc>
          <w:tcPr>
            <w:tcW w:w="1085" w:type="pct"/>
            <w:tcBorders>
              <w:top w:val="nil"/>
              <w:left w:val="nil"/>
              <w:bottom w:val="single" w:sz="4" w:space="0" w:color="auto"/>
              <w:right w:val="single" w:sz="4" w:space="0" w:color="auto"/>
            </w:tcBorders>
            <w:shd w:val="clear" w:color="auto" w:fill="auto"/>
            <w:noWrap/>
          </w:tcPr>
          <w:p w14:paraId="51AA9935" w14:textId="27B11A28" w:rsidR="000C5BD2" w:rsidRPr="00CB4024" w:rsidRDefault="000C5BD2" w:rsidP="000C5BD2">
            <w:pPr>
              <w:jc w:val="center"/>
              <w:rPr>
                <w:color w:val="000000"/>
              </w:rPr>
            </w:pPr>
            <w:r w:rsidRPr="00F2040D">
              <w:t>0,00000032</w:t>
            </w:r>
          </w:p>
        </w:tc>
        <w:tc>
          <w:tcPr>
            <w:tcW w:w="805" w:type="pct"/>
            <w:tcBorders>
              <w:top w:val="nil"/>
              <w:left w:val="nil"/>
              <w:bottom w:val="single" w:sz="4" w:space="0" w:color="auto"/>
              <w:right w:val="single" w:sz="4" w:space="0" w:color="auto"/>
            </w:tcBorders>
            <w:shd w:val="clear" w:color="auto" w:fill="auto"/>
            <w:noWrap/>
            <w:vAlign w:val="center"/>
          </w:tcPr>
          <w:p w14:paraId="18C461F8" w14:textId="77777777" w:rsidR="000C5BD2" w:rsidRPr="00CB4024" w:rsidRDefault="000C5BD2" w:rsidP="000C5BD2">
            <w:pPr>
              <w:jc w:val="center"/>
              <w:rPr>
                <w:color w:val="000000"/>
              </w:rPr>
            </w:pPr>
          </w:p>
        </w:tc>
        <w:tc>
          <w:tcPr>
            <w:tcW w:w="981" w:type="pct"/>
            <w:tcBorders>
              <w:top w:val="nil"/>
              <w:left w:val="nil"/>
              <w:bottom w:val="single" w:sz="4" w:space="0" w:color="auto"/>
              <w:right w:val="single" w:sz="4" w:space="0" w:color="auto"/>
            </w:tcBorders>
            <w:vAlign w:val="center"/>
          </w:tcPr>
          <w:p w14:paraId="6351B123" w14:textId="77777777" w:rsidR="000C5BD2" w:rsidRPr="00CB4024" w:rsidRDefault="000C5BD2" w:rsidP="000C5BD2">
            <w:pPr>
              <w:jc w:val="center"/>
              <w:rPr>
                <w:color w:val="000000"/>
              </w:rPr>
            </w:pPr>
          </w:p>
        </w:tc>
        <w:tc>
          <w:tcPr>
            <w:tcW w:w="909" w:type="pct"/>
            <w:tcBorders>
              <w:top w:val="nil"/>
              <w:left w:val="nil"/>
              <w:bottom w:val="single" w:sz="4" w:space="0" w:color="auto"/>
              <w:right w:val="single" w:sz="4" w:space="0" w:color="auto"/>
            </w:tcBorders>
            <w:vAlign w:val="center"/>
          </w:tcPr>
          <w:p w14:paraId="05AE3981" w14:textId="77777777" w:rsidR="000C5BD2" w:rsidRPr="00CB4024" w:rsidRDefault="000C5BD2" w:rsidP="000C5BD2">
            <w:pPr>
              <w:jc w:val="center"/>
              <w:rPr>
                <w:color w:val="000000"/>
              </w:rPr>
            </w:pPr>
          </w:p>
        </w:tc>
      </w:tr>
      <w:tr w:rsidR="00C51A93" w:rsidRPr="00CB4024" w14:paraId="6091DE7D" w14:textId="07E0B793" w:rsidTr="00DE5CBC">
        <w:trPr>
          <w:trHeight w:val="300"/>
          <w:jc w:val="center"/>
        </w:trPr>
        <w:tc>
          <w:tcPr>
            <w:tcW w:w="1220" w:type="pct"/>
            <w:tcBorders>
              <w:top w:val="nil"/>
              <w:left w:val="single" w:sz="4" w:space="0" w:color="auto"/>
              <w:bottom w:val="single" w:sz="4" w:space="0" w:color="auto"/>
              <w:right w:val="single" w:sz="4" w:space="0" w:color="auto"/>
            </w:tcBorders>
            <w:shd w:val="clear" w:color="auto" w:fill="auto"/>
            <w:noWrap/>
            <w:vAlign w:val="center"/>
          </w:tcPr>
          <w:p w14:paraId="7C0713E2" w14:textId="61F57B8E" w:rsidR="000C5BD2" w:rsidRPr="00CB4024" w:rsidRDefault="000C5BD2" w:rsidP="000C5BD2">
            <w:pPr>
              <w:rPr>
                <w:color w:val="000000"/>
              </w:rPr>
            </w:pPr>
            <w:r>
              <w:rPr>
                <w:color w:val="000000"/>
              </w:rPr>
              <w:t>Osječko-baranjska</w:t>
            </w:r>
          </w:p>
        </w:tc>
        <w:tc>
          <w:tcPr>
            <w:tcW w:w="1085" w:type="pct"/>
            <w:tcBorders>
              <w:top w:val="nil"/>
              <w:left w:val="nil"/>
              <w:bottom w:val="single" w:sz="4" w:space="0" w:color="auto"/>
              <w:right w:val="single" w:sz="4" w:space="0" w:color="auto"/>
            </w:tcBorders>
            <w:shd w:val="clear" w:color="auto" w:fill="auto"/>
            <w:noWrap/>
          </w:tcPr>
          <w:p w14:paraId="3692AE74" w14:textId="504546C6" w:rsidR="000C5BD2" w:rsidRPr="00CB4024" w:rsidRDefault="000C5BD2" w:rsidP="000C5BD2">
            <w:pPr>
              <w:jc w:val="center"/>
              <w:rPr>
                <w:color w:val="000000"/>
              </w:rPr>
            </w:pPr>
            <w:r w:rsidRPr="00F2040D">
              <w:t>0,00000623</w:t>
            </w:r>
          </w:p>
        </w:tc>
        <w:tc>
          <w:tcPr>
            <w:tcW w:w="805" w:type="pct"/>
            <w:tcBorders>
              <w:top w:val="nil"/>
              <w:left w:val="nil"/>
              <w:bottom w:val="single" w:sz="4" w:space="0" w:color="auto"/>
              <w:right w:val="single" w:sz="4" w:space="0" w:color="auto"/>
            </w:tcBorders>
            <w:shd w:val="clear" w:color="auto" w:fill="auto"/>
            <w:noWrap/>
            <w:vAlign w:val="center"/>
          </w:tcPr>
          <w:p w14:paraId="343B5A9A" w14:textId="77777777" w:rsidR="000C5BD2" w:rsidRPr="00CB4024" w:rsidRDefault="000C5BD2" w:rsidP="000C5BD2">
            <w:pPr>
              <w:jc w:val="center"/>
              <w:rPr>
                <w:color w:val="000000"/>
              </w:rPr>
            </w:pPr>
          </w:p>
        </w:tc>
        <w:tc>
          <w:tcPr>
            <w:tcW w:w="981" w:type="pct"/>
            <w:tcBorders>
              <w:top w:val="nil"/>
              <w:left w:val="nil"/>
              <w:bottom w:val="single" w:sz="4" w:space="0" w:color="auto"/>
              <w:right w:val="single" w:sz="4" w:space="0" w:color="auto"/>
            </w:tcBorders>
            <w:vAlign w:val="center"/>
          </w:tcPr>
          <w:p w14:paraId="7D41CE3C" w14:textId="77777777" w:rsidR="000C5BD2" w:rsidRPr="00CB4024" w:rsidRDefault="000C5BD2" w:rsidP="000C5BD2">
            <w:pPr>
              <w:jc w:val="center"/>
            </w:pPr>
          </w:p>
        </w:tc>
        <w:tc>
          <w:tcPr>
            <w:tcW w:w="909" w:type="pct"/>
            <w:tcBorders>
              <w:top w:val="nil"/>
              <w:left w:val="nil"/>
              <w:bottom w:val="single" w:sz="4" w:space="0" w:color="auto"/>
              <w:right w:val="single" w:sz="4" w:space="0" w:color="auto"/>
            </w:tcBorders>
            <w:vAlign w:val="center"/>
          </w:tcPr>
          <w:p w14:paraId="52EF2E3C" w14:textId="77777777" w:rsidR="000C5BD2" w:rsidRPr="00CB4024" w:rsidRDefault="000C5BD2" w:rsidP="000C5BD2">
            <w:pPr>
              <w:jc w:val="center"/>
            </w:pPr>
          </w:p>
        </w:tc>
      </w:tr>
      <w:tr w:rsidR="00C51A93" w:rsidRPr="00CB4024" w14:paraId="4DF9E2CB" w14:textId="3CCD979A" w:rsidTr="00DE5CBC">
        <w:trPr>
          <w:trHeight w:val="300"/>
          <w:jc w:val="center"/>
        </w:trPr>
        <w:tc>
          <w:tcPr>
            <w:tcW w:w="1220" w:type="pct"/>
            <w:tcBorders>
              <w:top w:val="nil"/>
              <w:left w:val="single" w:sz="4" w:space="0" w:color="auto"/>
              <w:bottom w:val="single" w:sz="4" w:space="0" w:color="auto"/>
              <w:right w:val="single" w:sz="4" w:space="0" w:color="auto"/>
            </w:tcBorders>
            <w:shd w:val="clear" w:color="auto" w:fill="auto"/>
            <w:noWrap/>
            <w:vAlign w:val="center"/>
          </w:tcPr>
          <w:p w14:paraId="571143A4" w14:textId="2191CF9A" w:rsidR="000C5BD2" w:rsidRPr="00CB4024" w:rsidRDefault="000C5BD2" w:rsidP="000C5BD2">
            <w:pPr>
              <w:rPr>
                <w:color w:val="000000"/>
              </w:rPr>
            </w:pPr>
            <w:r>
              <w:rPr>
                <w:color w:val="000000"/>
              </w:rPr>
              <w:t>Sisačko-moslavačka</w:t>
            </w:r>
          </w:p>
        </w:tc>
        <w:tc>
          <w:tcPr>
            <w:tcW w:w="1085" w:type="pct"/>
            <w:tcBorders>
              <w:top w:val="nil"/>
              <w:left w:val="nil"/>
              <w:bottom w:val="single" w:sz="4" w:space="0" w:color="auto"/>
              <w:right w:val="single" w:sz="4" w:space="0" w:color="auto"/>
            </w:tcBorders>
            <w:shd w:val="clear" w:color="auto" w:fill="auto"/>
            <w:noWrap/>
          </w:tcPr>
          <w:p w14:paraId="4C5CC970" w14:textId="0CB8F665" w:rsidR="000C5BD2" w:rsidRPr="00CB4024" w:rsidRDefault="000C5BD2" w:rsidP="000C5BD2">
            <w:pPr>
              <w:jc w:val="center"/>
              <w:rPr>
                <w:color w:val="000000"/>
              </w:rPr>
            </w:pPr>
            <w:r w:rsidRPr="00F2040D">
              <w:t>0,000029</w:t>
            </w:r>
          </w:p>
        </w:tc>
        <w:tc>
          <w:tcPr>
            <w:tcW w:w="805" w:type="pct"/>
            <w:tcBorders>
              <w:top w:val="nil"/>
              <w:left w:val="nil"/>
              <w:bottom w:val="single" w:sz="4" w:space="0" w:color="auto"/>
              <w:right w:val="single" w:sz="4" w:space="0" w:color="auto"/>
            </w:tcBorders>
            <w:shd w:val="clear" w:color="auto" w:fill="auto"/>
            <w:noWrap/>
            <w:vAlign w:val="center"/>
          </w:tcPr>
          <w:p w14:paraId="1EA8A5E1" w14:textId="77777777" w:rsidR="000C5BD2" w:rsidRPr="00CB4024" w:rsidRDefault="000C5BD2" w:rsidP="000C5BD2">
            <w:pPr>
              <w:jc w:val="center"/>
              <w:rPr>
                <w:color w:val="000000"/>
              </w:rPr>
            </w:pPr>
          </w:p>
        </w:tc>
        <w:tc>
          <w:tcPr>
            <w:tcW w:w="981" w:type="pct"/>
            <w:tcBorders>
              <w:top w:val="nil"/>
              <w:left w:val="nil"/>
              <w:bottom w:val="single" w:sz="4" w:space="0" w:color="auto"/>
              <w:right w:val="single" w:sz="4" w:space="0" w:color="auto"/>
            </w:tcBorders>
            <w:vAlign w:val="center"/>
          </w:tcPr>
          <w:p w14:paraId="521014C6" w14:textId="77777777" w:rsidR="000C5BD2" w:rsidRPr="00CB4024" w:rsidRDefault="000C5BD2" w:rsidP="000C5BD2">
            <w:pPr>
              <w:jc w:val="center"/>
            </w:pPr>
          </w:p>
        </w:tc>
        <w:tc>
          <w:tcPr>
            <w:tcW w:w="909" w:type="pct"/>
            <w:tcBorders>
              <w:top w:val="nil"/>
              <w:left w:val="nil"/>
              <w:bottom w:val="single" w:sz="4" w:space="0" w:color="auto"/>
              <w:right w:val="single" w:sz="4" w:space="0" w:color="auto"/>
            </w:tcBorders>
            <w:vAlign w:val="center"/>
          </w:tcPr>
          <w:p w14:paraId="363DC6B0" w14:textId="77777777" w:rsidR="000C5BD2" w:rsidRPr="00CB4024" w:rsidRDefault="000C5BD2" w:rsidP="000C5BD2">
            <w:pPr>
              <w:jc w:val="center"/>
            </w:pPr>
          </w:p>
        </w:tc>
      </w:tr>
      <w:tr w:rsidR="00C51A93" w:rsidRPr="00CB4024" w14:paraId="32A538E3" w14:textId="7AFC1C4F" w:rsidTr="00DE5CBC">
        <w:trPr>
          <w:trHeight w:val="300"/>
          <w:jc w:val="center"/>
        </w:trPr>
        <w:tc>
          <w:tcPr>
            <w:tcW w:w="1220" w:type="pct"/>
            <w:tcBorders>
              <w:top w:val="nil"/>
              <w:left w:val="single" w:sz="4" w:space="0" w:color="auto"/>
              <w:bottom w:val="single" w:sz="4" w:space="0" w:color="auto"/>
              <w:right w:val="single" w:sz="4" w:space="0" w:color="auto"/>
            </w:tcBorders>
            <w:shd w:val="clear" w:color="auto" w:fill="auto"/>
            <w:noWrap/>
            <w:vAlign w:val="center"/>
          </w:tcPr>
          <w:p w14:paraId="067E710C" w14:textId="2A6B03A6" w:rsidR="000C5BD2" w:rsidRPr="001C6342" w:rsidRDefault="000C5BD2" w:rsidP="000C5BD2">
            <w:pPr>
              <w:rPr>
                <w:bCs/>
                <w:color w:val="000000"/>
              </w:rPr>
            </w:pPr>
            <w:r w:rsidRPr="001C6342">
              <w:rPr>
                <w:bCs/>
                <w:color w:val="000000"/>
              </w:rPr>
              <w:t>Splitsko-dalmatinska</w:t>
            </w:r>
          </w:p>
        </w:tc>
        <w:tc>
          <w:tcPr>
            <w:tcW w:w="1085" w:type="pct"/>
            <w:tcBorders>
              <w:top w:val="nil"/>
              <w:left w:val="nil"/>
              <w:bottom w:val="single" w:sz="4" w:space="0" w:color="auto"/>
              <w:right w:val="single" w:sz="4" w:space="0" w:color="auto"/>
            </w:tcBorders>
            <w:shd w:val="clear" w:color="auto" w:fill="auto"/>
            <w:noWrap/>
          </w:tcPr>
          <w:p w14:paraId="3BC39108" w14:textId="79C3F6CC" w:rsidR="000C5BD2" w:rsidRPr="00CB4024" w:rsidRDefault="000C5BD2" w:rsidP="000C5BD2">
            <w:pPr>
              <w:jc w:val="center"/>
              <w:rPr>
                <w:b/>
                <w:bCs/>
                <w:color w:val="000000"/>
              </w:rPr>
            </w:pPr>
            <w:r>
              <w:rPr>
                <w:b/>
                <w:bCs/>
                <w:color w:val="000000"/>
              </w:rPr>
              <w:t>/</w:t>
            </w:r>
          </w:p>
        </w:tc>
        <w:tc>
          <w:tcPr>
            <w:tcW w:w="805" w:type="pct"/>
            <w:tcBorders>
              <w:top w:val="nil"/>
              <w:left w:val="nil"/>
              <w:bottom w:val="single" w:sz="4" w:space="0" w:color="auto"/>
              <w:right w:val="single" w:sz="4" w:space="0" w:color="auto"/>
            </w:tcBorders>
            <w:shd w:val="clear" w:color="auto" w:fill="auto"/>
            <w:noWrap/>
          </w:tcPr>
          <w:p w14:paraId="589FB82C" w14:textId="3728D504" w:rsidR="000C5BD2" w:rsidRPr="00CB4024" w:rsidRDefault="000C5BD2" w:rsidP="000C5BD2">
            <w:pPr>
              <w:jc w:val="center"/>
              <w:rPr>
                <w:b/>
                <w:bCs/>
                <w:color w:val="000000"/>
              </w:rPr>
            </w:pPr>
            <w:r w:rsidRPr="007452FF">
              <w:t>32,69381</w:t>
            </w:r>
          </w:p>
        </w:tc>
        <w:tc>
          <w:tcPr>
            <w:tcW w:w="981" w:type="pct"/>
            <w:tcBorders>
              <w:top w:val="nil"/>
              <w:left w:val="nil"/>
              <w:bottom w:val="single" w:sz="4" w:space="0" w:color="auto"/>
              <w:right w:val="single" w:sz="4" w:space="0" w:color="auto"/>
            </w:tcBorders>
          </w:tcPr>
          <w:p w14:paraId="21938014" w14:textId="3D3D1FCD" w:rsidR="000C5BD2" w:rsidRPr="00CB4024" w:rsidRDefault="000C5BD2" w:rsidP="000C5BD2">
            <w:pPr>
              <w:jc w:val="center"/>
              <w:rPr>
                <w:b/>
                <w:bCs/>
                <w:color w:val="000000"/>
              </w:rPr>
            </w:pPr>
            <w:r w:rsidRPr="0020789C">
              <w:t>29,772</w:t>
            </w:r>
          </w:p>
        </w:tc>
        <w:tc>
          <w:tcPr>
            <w:tcW w:w="909" w:type="pct"/>
            <w:tcBorders>
              <w:top w:val="nil"/>
              <w:left w:val="nil"/>
              <w:bottom w:val="single" w:sz="4" w:space="0" w:color="auto"/>
              <w:right w:val="single" w:sz="4" w:space="0" w:color="auto"/>
            </w:tcBorders>
          </w:tcPr>
          <w:p w14:paraId="34D702C1" w14:textId="0719AAD4" w:rsidR="000C5BD2" w:rsidRPr="00CB4024" w:rsidRDefault="000C5BD2" w:rsidP="000C5BD2">
            <w:pPr>
              <w:jc w:val="center"/>
              <w:rPr>
                <w:b/>
                <w:bCs/>
                <w:color w:val="000000"/>
              </w:rPr>
            </w:pPr>
            <w:r w:rsidRPr="006B61A7">
              <w:t>36,676</w:t>
            </w:r>
          </w:p>
        </w:tc>
      </w:tr>
      <w:tr w:rsidR="00C51A93" w:rsidRPr="00CB4024" w14:paraId="35E03D1B" w14:textId="77777777" w:rsidTr="00DE5CBC">
        <w:trPr>
          <w:trHeight w:val="300"/>
          <w:jc w:val="center"/>
        </w:trPr>
        <w:tc>
          <w:tcPr>
            <w:tcW w:w="1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888FB" w14:textId="396862DC" w:rsidR="000C5BD2" w:rsidRPr="001C6342" w:rsidRDefault="000C5BD2" w:rsidP="000C5BD2">
            <w:pPr>
              <w:rPr>
                <w:b/>
                <w:bCs/>
                <w:color w:val="000000"/>
              </w:rPr>
            </w:pPr>
            <w:r w:rsidRPr="001C6342">
              <w:rPr>
                <w:b/>
                <w:bCs/>
                <w:color w:val="000000"/>
              </w:rPr>
              <w:t>Ukupno:</w:t>
            </w:r>
          </w:p>
        </w:tc>
        <w:tc>
          <w:tcPr>
            <w:tcW w:w="1085" w:type="pct"/>
            <w:tcBorders>
              <w:top w:val="single" w:sz="4" w:space="0" w:color="auto"/>
              <w:left w:val="nil"/>
              <w:bottom w:val="single" w:sz="4" w:space="0" w:color="auto"/>
              <w:right w:val="single" w:sz="4" w:space="0" w:color="auto"/>
            </w:tcBorders>
            <w:shd w:val="clear" w:color="auto" w:fill="auto"/>
            <w:noWrap/>
            <w:vAlign w:val="center"/>
          </w:tcPr>
          <w:p w14:paraId="1CEBC553" w14:textId="658C49EF" w:rsidR="000C5BD2" w:rsidRPr="000C5BD2" w:rsidRDefault="000C5BD2" w:rsidP="000C5BD2">
            <w:pPr>
              <w:jc w:val="center"/>
              <w:rPr>
                <w:b/>
                <w:bCs/>
                <w:color w:val="000000"/>
              </w:rPr>
            </w:pPr>
            <w:r w:rsidRPr="000C5BD2">
              <w:rPr>
                <w:b/>
                <w:bCs/>
                <w:color w:val="000000"/>
              </w:rPr>
              <w:t>0,00003555</w:t>
            </w:r>
          </w:p>
        </w:tc>
        <w:tc>
          <w:tcPr>
            <w:tcW w:w="805" w:type="pct"/>
            <w:tcBorders>
              <w:top w:val="single" w:sz="4" w:space="0" w:color="auto"/>
              <w:left w:val="nil"/>
              <w:bottom w:val="single" w:sz="4" w:space="0" w:color="auto"/>
              <w:right w:val="single" w:sz="4" w:space="0" w:color="auto"/>
            </w:tcBorders>
            <w:shd w:val="clear" w:color="auto" w:fill="auto"/>
            <w:noWrap/>
          </w:tcPr>
          <w:p w14:paraId="1BFDC736" w14:textId="4BA546B4" w:rsidR="000C5BD2" w:rsidRPr="000C5BD2" w:rsidRDefault="000C5BD2" w:rsidP="000C5BD2">
            <w:pPr>
              <w:jc w:val="center"/>
              <w:rPr>
                <w:b/>
                <w:bCs/>
                <w:color w:val="000000"/>
              </w:rPr>
            </w:pPr>
            <w:r w:rsidRPr="001C6342">
              <w:rPr>
                <w:b/>
              </w:rPr>
              <w:t>32,69381</w:t>
            </w:r>
          </w:p>
        </w:tc>
        <w:tc>
          <w:tcPr>
            <w:tcW w:w="981" w:type="pct"/>
            <w:tcBorders>
              <w:top w:val="single" w:sz="4" w:space="0" w:color="auto"/>
              <w:left w:val="nil"/>
              <w:bottom w:val="single" w:sz="4" w:space="0" w:color="auto"/>
              <w:right w:val="single" w:sz="4" w:space="0" w:color="auto"/>
            </w:tcBorders>
          </w:tcPr>
          <w:p w14:paraId="71D03616" w14:textId="6CF9DB14" w:rsidR="000C5BD2" w:rsidRPr="000C5BD2" w:rsidRDefault="000C5BD2" w:rsidP="000C5BD2">
            <w:pPr>
              <w:jc w:val="center"/>
              <w:rPr>
                <w:b/>
                <w:bCs/>
                <w:color w:val="000000"/>
              </w:rPr>
            </w:pPr>
            <w:r w:rsidRPr="001C6342">
              <w:rPr>
                <w:b/>
              </w:rPr>
              <w:t>29,772</w:t>
            </w:r>
          </w:p>
        </w:tc>
        <w:tc>
          <w:tcPr>
            <w:tcW w:w="909" w:type="pct"/>
            <w:tcBorders>
              <w:top w:val="single" w:sz="4" w:space="0" w:color="auto"/>
              <w:left w:val="nil"/>
              <w:bottom w:val="single" w:sz="4" w:space="0" w:color="auto"/>
              <w:right w:val="single" w:sz="4" w:space="0" w:color="auto"/>
            </w:tcBorders>
          </w:tcPr>
          <w:p w14:paraId="5BB7D12B" w14:textId="7EBB3FCF" w:rsidR="000C5BD2" w:rsidRPr="000C5BD2" w:rsidRDefault="000C5BD2" w:rsidP="000C5BD2">
            <w:pPr>
              <w:jc w:val="center"/>
              <w:rPr>
                <w:b/>
                <w:bCs/>
                <w:color w:val="000000"/>
              </w:rPr>
            </w:pPr>
            <w:r w:rsidRPr="001C6342">
              <w:rPr>
                <w:b/>
              </w:rPr>
              <w:t>36,676</w:t>
            </w:r>
          </w:p>
        </w:tc>
      </w:tr>
    </w:tbl>
    <w:p w14:paraId="1E5EF32B" w14:textId="53422CDB" w:rsidR="00D168B7" w:rsidRPr="00CB4024" w:rsidRDefault="0053488F" w:rsidP="00DE5CBC">
      <w:pPr>
        <w:spacing w:after="120"/>
        <w:jc w:val="right"/>
      </w:pPr>
      <w:r>
        <w:rPr>
          <w:i/>
          <w:sz w:val="20"/>
          <w:szCs w:val="20"/>
        </w:rPr>
        <w:t>Izvor: HAOP, baza ROO</w:t>
      </w:r>
    </w:p>
    <w:p w14:paraId="12AC3EE7" w14:textId="738A00CF" w:rsidR="00317EE7" w:rsidRPr="00F02EE8" w:rsidRDefault="00317EE7" w:rsidP="00F02EE8">
      <w:pPr>
        <w:pStyle w:val="Naslov3"/>
        <w:numPr>
          <w:ilvl w:val="2"/>
          <w:numId w:val="9"/>
        </w:numPr>
        <w:spacing w:before="100" w:beforeAutospacing="1" w:after="120"/>
        <w:jc w:val="center"/>
        <w:rPr>
          <w:b w:val="0"/>
          <w:i/>
        </w:rPr>
      </w:pPr>
      <w:r w:rsidRPr="00F02EE8">
        <w:rPr>
          <w:b w:val="0"/>
          <w:i/>
        </w:rPr>
        <w:t xml:space="preserve">Količine </w:t>
      </w:r>
      <w:r w:rsidR="00463487" w:rsidRPr="00F02EE8">
        <w:rPr>
          <w:b w:val="0"/>
          <w:i/>
        </w:rPr>
        <w:t xml:space="preserve">POPs-ova </w:t>
      </w:r>
      <w:r w:rsidR="0032578D" w:rsidRPr="00F02EE8">
        <w:rPr>
          <w:b w:val="0"/>
          <w:i/>
        </w:rPr>
        <w:t>prijavljenih</w:t>
      </w:r>
      <w:r w:rsidR="00463487" w:rsidRPr="00F02EE8">
        <w:rPr>
          <w:b w:val="0"/>
          <w:i/>
        </w:rPr>
        <w:t xml:space="preserve"> </w:t>
      </w:r>
      <w:r w:rsidRPr="00F02EE8">
        <w:rPr>
          <w:b w:val="0"/>
          <w:i/>
        </w:rPr>
        <w:t xml:space="preserve">u </w:t>
      </w:r>
      <w:r w:rsidR="004A64F8" w:rsidRPr="00F02EE8">
        <w:rPr>
          <w:b w:val="0"/>
          <w:i/>
        </w:rPr>
        <w:t xml:space="preserve">bazu </w:t>
      </w:r>
      <w:r w:rsidRPr="00F02EE8">
        <w:rPr>
          <w:b w:val="0"/>
          <w:i/>
        </w:rPr>
        <w:t>RPOT</w:t>
      </w:r>
      <w:r w:rsidR="008E66C7" w:rsidRPr="00F02EE8">
        <w:rPr>
          <w:b w:val="0"/>
          <w:i/>
        </w:rPr>
        <w:t>/OPVN</w:t>
      </w:r>
    </w:p>
    <w:p w14:paraId="190F8FF1" w14:textId="4B72722F" w:rsidR="00317EE7" w:rsidRPr="00CB4024" w:rsidRDefault="004A64F8" w:rsidP="00317EE7">
      <w:pPr>
        <w:spacing w:after="120"/>
        <w:jc w:val="both"/>
      </w:pPr>
      <w:r>
        <w:t>S</w:t>
      </w:r>
      <w:r w:rsidR="00317EE7" w:rsidRPr="00CB4024">
        <w:t>ukladno Uredbi o sprječavanju velikih nesreća koje uključuju op</w:t>
      </w:r>
      <w:r w:rsidR="001B18DF">
        <w:t>asne tvari (Narodne novine, br</w:t>
      </w:r>
      <w:r w:rsidR="00232310">
        <w:t>.</w:t>
      </w:r>
      <w:r w:rsidR="001B18DF">
        <w:t xml:space="preserve"> 44</w:t>
      </w:r>
      <w:r w:rsidR="00317EE7" w:rsidRPr="00CB4024">
        <w:t>/14</w:t>
      </w:r>
      <w:r w:rsidR="002C4B83">
        <w:t xml:space="preserve">, 31/17 i </w:t>
      </w:r>
      <w:r w:rsidR="000168E3">
        <w:t>45/17</w:t>
      </w:r>
      <w:r w:rsidR="00317EE7" w:rsidRPr="00CB4024">
        <w:t>)</w:t>
      </w:r>
      <w:r w:rsidR="001B18DF">
        <w:t xml:space="preserve"> i Pravilniku o registru postrojenja u kojima su prisutne opasne tvari i Očevidniku prijavljenih velikih nesreća (Narodne novine, br</w:t>
      </w:r>
      <w:r w:rsidR="00BC0355">
        <w:t>oj</w:t>
      </w:r>
      <w:r w:rsidR="001B18DF">
        <w:t xml:space="preserve"> 113/08 i 139/14)</w:t>
      </w:r>
      <w:r w:rsidR="00317EE7" w:rsidRPr="00CB4024">
        <w:t>, predviđe</w:t>
      </w:r>
      <w:r w:rsidR="00317EE7">
        <w:t xml:space="preserve">no </w:t>
      </w:r>
      <w:r w:rsidR="00BE5974">
        <w:t>je</w:t>
      </w:r>
      <w:r w:rsidR="00317EE7">
        <w:t xml:space="preserve"> prikupljanje podataka o </w:t>
      </w:r>
      <w:proofErr w:type="spellStart"/>
      <w:r w:rsidR="00317EE7">
        <w:t>POPs</w:t>
      </w:r>
      <w:proofErr w:type="spellEnd"/>
      <w:r w:rsidR="00317EE7">
        <w:t>-</w:t>
      </w:r>
      <w:r w:rsidR="00317EE7" w:rsidRPr="00CB4024">
        <w:t>ovima u bazu RPOT</w:t>
      </w:r>
      <w:r w:rsidR="008E66C7">
        <w:t>/OPVN</w:t>
      </w:r>
      <w:r w:rsidR="00317EE7" w:rsidRPr="00CB4024">
        <w:t xml:space="preserve">. </w:t>
      </w:r>
    </w:p>
    <w:p w14:paraId="0511BFAF" w14:textId="0ADFF58D" w:rsidR="00317EE7" w:rsidRDefault="00317EE7" w:rsidP="00055DE9">
      <w:pPr>
        <w:jc w:val="both"/>
      </w:pPr>
      <w:r w:rsidRPr="00CB4024">
        <w:t xml:space="preserve">U </w:t>
      </w:r>
      <w:r w:rsidR="001B18DF">
        <w:t xml:space="preserve">bazi </w:t>
      </w:r>
      <w:r w:rsidRPr="00CB4024">
        <w:t>RPOT</w:t>
      </w:r>
      <w:r w:rsidR="008E66C7">
        <w:t>/OPVN</w:t>
      </w:r>
      <w:r w:rsidRPr="00CB4024">
        <w:t xml:space="preserve"> se vode podaci o </w:t>
      </w:r>
      <w:r w:rsidR="001B18DF">
        <w:t xml:space="preserve">operatorima i njihovim </w:t>
      </w:r>
      <w:r w:rsidRPr="00CB4024">
        <w:t xml:space="preserve">postrojenjima koja prijavljuju količine sirovina, </w:t>
      </w:r>
      <w:proofErr w:type="spellStart"/>
      <w:r w:rsidRPr="00CB4024">
        <w:t>intermedijera</w:t>
      </w:r>
      <w:proofErr w:type="spellEnd"/>
      <w:r w:rsidRPr="00CB4024">
        <w:t xml:space="preserve"> i produkata (u manjim i većim količinama sukladno Prilogu I. navedene Uredbe) </w:t>
      </w:r>
      <w:r w:rsidRPr="008225FE">
        <w:t>te nema prijavljenih</w:t>
      </w:r>
      <w:r w:rsidRPr="00CB4024">
        <w:t xml:space="preserve"> </w:t>
      </w:r>
      <w:proofErr w:type="spellStart"/>
      <w:r>
        <w:t>POPs</w:t>
      </w:r>
      <w:proofErr w:type="spellEnd"/>
      <w:r>
        <w:t>-ova</w:t>
      </w:r>
      <w:r w:rsidRPr="00CB4024">
        <w:t xml:space="preserve"> za </w:t>
      </w:r>
      <w:r w:rsidR="00232310">
        <w:t>razdoblje</w:t>
      </w:r>
      <w:r w:rsidRPr="00CB4024">
        <w:t xml:space="preserve"> 201</w:t>
      </w:r>
      <w:r w:rsidR="005B179E">
        <w:t>5</w:t>
      </w:r>
      <w:r w:rsidRPr="00CB4024">
        <w:t>.</w:t>
      </w:r>
      <w:r w:rsidR="00EF7F4A">
        <w:t xml:space="preserve"> – </w:t>
      </w:r>
      <w:r w:rsidR="005B179E" w:rsidRPr="00CB4024">
        <w:t>201</w:t>
      </w:r>
      <w:r w:rsidR="005B179E">
        <w:t>7</w:t>
      </w:r>
      <w:r w:rsidRPr="00CB4024">
        <w:t xml:space="preserve">. godine. </w:t>
      </w:r>
    </w:p>
    <w:p w14:paraId="56C5A3B6" w14:textId="0E6B6449" w:rsidR="00317EE7" w:rsidRPr="009C1A64" w:rsidRDefault="007E5335" w:rsidP="007E5335">
      <w:pPr>
        <w:pStyle w:val="Naslov2"/>
        <w:numPr>
          <w:ilvl w:val="1"/>
          <w:numId w:val="10"/>
        </w:numPr>
        <w:tabs>
          <w:tab w:val="left" w:pos="284"/>
        </w:tabs>
        <w:spacing w:before="100" w:beforeAutospacing="1" w:after="120"/>
        <w:ind w:left="357" w:hanging="357"/>
        <w:rPr>
          <w:b w:val="0"/>
        </w:rPr>
      </w:pPr>
      <w:bookmarkStart w:id="21" w:name="_Toc8637312"/>
      <w:r w:rsidRPr="009C1A64">
        <w:rPr>
          <w:b w:val="0"/>
        </w:rPr>
        <w:t>MONITORING</w:t>
      </w:r>
      <w:r w:rsidR="00B23789">
        <w:rPr>
          <w:b w:val="0"/>
        </w:rPr>
        <w:t xml:space="preserve"> OSTATAKA</w:t>
      </w:r>
      <w:r w:rsidRPr="009C1A64">
        <w:rPr>
          <w:b w:val="0"/>
        </w:rPr>
        <w:t xml:space="preserve"> PESTICIDA KOJI SU UJEDNO I POP</w:t>
      </w:r>
      <w:r w:rsidR="00B23789">
        <w:rPr>
          <w:b w:val="0"/>
        </w:rPr>
        <w:t>s</w:t>
      </w:r>
      <w:r w:rsidRPr="009C1A64">
        <w:rPr>
          <w:b w:val="0"/>
        </w:rPr>
        <w:t xml:space="preserve">-OVI NA PROIZVODIMA BILJNOG </w:t>
      </w:r>
      <w:r w:rsidR="009C1A64" w:rsidRPr="009C1A64">
        <w:rPr>
          <w:b w:val="0"/>
        </w:rPr>
        <w:t xml:space="preserve">I ŽIVOTINJSKOG </w:t>
      </w:r>
      <w:r w:rsidRPr="009C1A64">
        <w:rPr>
          <w:b w:val="0"/>
        </w:rPr>
        <w:t>PODRIJETLA</w:t>
      </w:r>
      <w:bookmarkEnd w:id="21"/>
    </w:p>
    <w:p w14:paraId="20AB4E24" w14:textId="77777777" w:rsidR="009C1A64" w:rsidRPr="009C1A64" w:rsidRDefault="009C1A64" w:rsidP="009C1A64">
      <w:pPr>
        <w:spacing w:after="120"/>
        <w:jc w:val="both"/>
      </w:pPr>
      <w:r w:rsidRPr="009C1A64">
        <w:t>Provedba Nacionalnog programa monitoringa ostataka pesticida započela je u 2007. godini.</w:t>
      </w:r>
    </w:p>
    <w:p w14:paraId="66E1864E" w14:textId="43275BAE" w:rsidR="009C1A64" w:rsidRPr="009C1A64" w:rsidRDefault="009C1A64" w:rsidP="009C1A64">
      <w:pPr>
        <w:spacing w:after="120"/>
        <w:jc w:val="both"/>
      </w:pPr>
      <w:r w:rsidRPr="009C1A64">
        <w:t>Monitoring ostataka pesticida u hrani ima za cilj ustanoviti količinu ostataka pesticida u proizvodima biljnog podrijetla, provjeriti odgovaraju li propisima koji određuju maksimalne razine ostataka (M</w:t>
      </w:r>
      <w:r w:rsidR="00B23789">
        <w:t>DK</w:t>
      </w:r>
      <w:r w:rsidRPr="009C1A64">
        <w:t xml:space="preserve">) pesticida i pridržavaju li se proizvođači načela dobre poljoprivredne prakse te na taj način zaštititi zdravlje potrošača. Nacionalni program praćenja (monitoringa) ostataka pesticida sukladan je standardima za provedbu monitoringa koji se provodi u državama Europske unije. </w:t>
      </w:r>
    </w:p>
    <w:p w14:paraId="74EA4642" w14:textId="102A2E45" w:rsidR="009C1A64" w:rsidRPr="009C1A64" w:rsidRDefault="009C1A64" w:rsidP="009C1A64">
      <w:pPr>
        <w:spacing w:after="120"/>
        <w:jc w:val="both"/>
      </w:pPr>
      <w:r w:rsidRPr="009C1A64">
        <w:t>Od pe</w:t>
      </w:r>
      <w:r w:rsidR="00B23789">
        <w:t xml:space="preserve">sticida sa svojstvima </w:t>
      </w:r>
      <w:proofErr w:type="spellStart"/>
      <w:r w:rsidR="00B23789">
        <w:t>POPs</w:t>
      </w:r>
      <w:proofErr w:type="spellEnd"/>
      <w:r w:rsidR="00B23789">
        <w:t xml:space="preserve">-ova </w:t>
      </w:r>
      <w:r w:rsidRPr="009C1A64">
        <w:t xml:space="preserve">sustavno se provodi monitoring za aktivne tvari: </w:t>
      </w:r>
      <w:proofErr w:type="spellStart"/>
      <w:r w:rsidRPr="009C1A64">
        <w:t>aldrin</w:t>
      </w:r>
      <w:proofErr w:type="spellEnd"/>
      <w:r w:rsidRPr="009C1A64">
        <w:t xml:space="preserve">, </w:t>
      </w:r>
      <w:proofErr w:type="spellStart"/>
      <w:r w:rsidRPr="009C1A64">
        <w:t>dieldrin</w:t>
      </w:r>
      <w:proofErr w:type="spellEnd"/>
      <w:r w:rsidRPr="009C1A64">
        <w:t xml:space="preserve">, alfa-HCH, beta-HCH, </w:t>
      </w:r>
      <w:proofErr w:type="spellStart"/>
      <w:r w:rsidRPr="009C1A64">
        <w:t>eldrin</w:t>
      </w:r>
      <w:proofErr w:type="spellEnd"/>
      <w:r w:rsidRPr="009C1A64">
        <w:t xml:space="preserve">, </w:t>
      </w:r>
      <w:proofErr w:type="spellStart"/>
      <w:r w:rsidRPr="009C1A64">
        <w:t>heptaklor</w:t>
      </w:r>
      <w:proofErr w:type="spellEnd"/>
      <w:r w:rsidRPr="009C1A64">
        <w:t xml:space="preserve">, HCB, </w:t>
      </w:r>
      <w:proofErr w:type="spellStart"/>
      <w:r w:rsidRPr="009C1A64">
        <w:t>endosulfan</w:t>
      </w:r>
      <w:proofErr w:type="spellEnd"/>
      <w:r w:rsidRPr="009C1A64">
        <w:t xml:space="preserve">, </w:t>
      </w:r>
      <w:proofErr w:type="spellStart"/>
      <w:r w:rsidRPr="009C1A64">
        <w:t>lindan</w:t>
      </w:r>
      <w:proofErr w:type="spellEnd"/>
      <w:r w:rsidRPr="009C1A64">
        <w:t xml:space="preserve">, DDT. </w:t>
      </w:r>
    </w:p>
    <w:p w14:paraId="5A964FB4" w14:textId="6148AB9C" w:rsidR="009C1A64" w:rsidRPr="008B3FC3" w:rsidRDefault="009C1A64" w:rsidP="009C1A64">
      <w:pPr>
        <w:pStyle w:val="Default"/>
        <w:spacing w:after="120"/>
        <w:jc w:val="both"/>
        <w:rPr>
          <w:bCs/>
        </w:rPr>
      </w:pPr>
      <w:r w:rsidRPr="009C1A64">
        <w:rPr>
          <w:bCs/>
        </w:rPr>
        <w:t>U izvještajnom periodu 2015.</w:t>
      </w:r>
      <w:r w:rsidR="00AA4694">
        <w:rPr>
          <w:bCs/>
        </w:rPr>
        <w:t xml:space="preserve"> – </w:t>
      </w:r>
      <w:r w:rsidRPr="009C1A64">
        <w:rPr>
          <w:bCs/>
        </w:rPr>
        <w:t xml:space="preserve">2017. godine </w:t>
      </w:r>
      <w:r w:rsidR="009F19D7">
        <w:rPr>
          <w:bCs/>
        </w:rPr>
        <w:t xml:space="preserve">u </w:t>
      </w:r>
      <w:r w:rsidRPr="009C1A64">
        <w:rPr>
          <w:bCs/>
        </w:rPr>
        <w:t>Nacionalnom programu navedene aktivne tvari nisu nađene u koncentracijama iznad maksimalnih razina ostataka pesticida (MDK).</w:t>
      </w:r>
    </w:p>
    <w:p w14:paraId="194C34C2" w14:textId="705412DC" w:rsidR="00317EE7" w:rsidRPr="00E23D6C" w:rsidRDefault="007E5335" w:rsidP="007E5335">
      <w:pPr>
        <w:pStyle w:val="Naslov2"/>
        <w:numPr>
          <w:ilvl w:val="1"/>
          <w:numId w:val="10"/>
        </w:numPr>
        <w:tabs>
          <w:tab w:val="left" w:pos="284"/>
        </w:tabs>
        <w:spacing w:before="100" w:beforeAutospacing="1" w:after="120"/>
        <w:ind w:left="357" w:hanging="357"/>
        <w:rPr>
          <w:b w:val="0"/>
        </w:rPr>
      </w:pPr>
      <w:bookmarkStart w:id="22" w:name="_Toc8637313"/>
      <w:r w:rsidRPr="00E23D6C">
        <w:rPr>
          <w:b w:val="0"/>
        </w:rPr>
        <w:lastRenderedPageBreak/>
        <w:t>PRAĆENJE STANJA OSTATAKA</w:t>
      </w:r>
      <w:r w:rsidR="004F73CA">
        <w:rPr>
          <w:b w:val="0"/>
        </w:rPr>
        <w:t xml:space="preserve"> PESTICIDA</w:t>
      </w:r>
      <w:r w:rsidRPr="00E23D6C">
        <w:rPr>
          <w:b w:val="0"/>
        </w:rPr>
        <w:t xml:space="preserve"> U I NA HRANI</w:t>
      </w:r>
      <w:bookmarkEnd w:id="22"/>
    </w:p>
    <w:p w14:paraId="59AA76C1" w14:textId="73B68170" w:rsidR="00C4680A" w:rsidRPr="00C4680A" w:rsidRDefault="00C4680A" w:rsidP="00C4680A">
      <w:pPr>
        <w:spacing w:after="120"/>
        <w:jc w:val="both"/>
        <w:rPr>
          <w:bCs/>
          <w:iCs/>
        </w:rPr>
      </w:pPr>
      <w:r w:rsidRPr="00C4680A">
        <w:rPr>
          <w:bCs/>
          <w:iCs/>
        </w:rPr>
        <w:t>Nacionalni Program praćenja (monitoringa) ostataka pesticida u 2015. godini obuhvatio je praćenje ostataka pesticida</w:t>
      </w:r>
      <w:r w:rsidR="004F73CA">
        <w:rPr>
          <w:bCs/>
          <w:iCs/>
        </w:rPr>
        <w:t xml:space="preserve"> u</w:t>
      </w:r>
      <w:r w:rsidRPr="00C4680A">
        <w:rPr>
          <w:bCs/>
          <w:iCs/>
        </w:rPr>
        <w:t xml:space="preserve"> ukupno 16 proizvoda biljnog i životinjskog podrijetla. Analizirano je 484 uzoraka. Analiza uzoraka biljnog podrijetla provedena je na 247 aktivnih tvari dok je na uzorcima životinjskog podrijetla provedena na 57 aktivnih tvari. 348 (72%) uzoraka nije sadržavalo ostatke pesticida (ispod granice određivanja). Kod 134 uzoraka (28%) nađeni su ostaci pesticida </w:t>
      </w:r>
      <w:r w:rsidR="008E66C7">
        <w:rPr>
          <w:bCs/>
          <w:iCs/>
        </w:rPr>
        <w:t xml:space="preserve">ispod MDK, a kod jednog uzorka </w:t>
      </w:r>
      <w:r w:rsidRPr="00C4680A">
        <w:rPr>
          <w:bCs/>
          <w:iCs/>
        </w:rPr>
        <w:t>(0,2%) ostaci su prelazili MDK.</w:t>
      </w:r>
    </w:p>
    <w:p w14:paraId="7B9AB5EF" w14:textId="009A084B" w:rsidR="00C4680A" w:rsidRPr="00C4680A" w:rsidRDefault="00C4680A" w:rsidP="00C4680A">
      <w:pPr>
        <w:spacing w:after="120"/>
        <w:jc w:val="both"/>
        <w:rPr>
          <w:bCs/>
          <w:iCs/>
        </w:rPr>
      </w:pPr>
      <w:r w:rsidRPr="00C4680A">
        <w:rPr>
          <w:bCs/>
          <w:iCs/>
        </w:rPr>
        <w:t xml:space="preserve">Nacionalni Program praćenja (monitoringa) ostataka pesticida u proizvodima biljnog i životinjskog podrijetla u 2016. godini obuhvatio je praćenje ostataka pesticida u 20 proizvoda, 16 prema Provedbenoj uredbi Komisije (EU) 2015/595 </w:t>
      </w:r>
      <w:proofErr w:type="spellStart"/>
      <w:r w:rsidRPr="00C4680A">
        <w:rPr>
          <w:bCs/>
          <w:iCs/>
        </w:rPr>
        <w:t>оd</w:t>
      </w:r>
      <w:proofErr w:type="spellEnd"/>
      <w:r w:rsidRPr="00C4680A">
        <w:rPr>
          <w:bCs/>
          <w:iCs/>
        </w:rPr>
        <w:t xml:space="preserve"> 15. travnja 2015. o koordiniranom višegodišnjem programu kontrole Unije za 2016., 2017. i 2018. za osiguranje sukladnosti s maksimalnim razinama ostataka pesticida i ocjenu izloženosti potrošača ostacima pesticida u i na hrani biljnog i životinjskog podrijetla, prema kojoj </w:t>
      </w:r>
      <w:r w:rsidR="004F73CA">
        <w:rPr>
          <w:bCs/>
          <w:iCs/>
        </w:rPr>
        <w:t>su</w:t>
      </w:r>
      <w:r w:rsidRPr="00C4680A">
        <w:rPr>
          <w:bCs/>
          <w:iCs/>
        </w:rPr>
        <w:t xml:space="preserve"> također obuhvaćeni proizvodi iz ekološkog uzgoja te d</w:t>
      </w:r>
      <w:r w:rsidR="008E66C7">
        <w:rPr>
          <w:bCs/>
          <w:iCs/>
        </w:rPr>
        <w:t xml:space="preserve">ječja hrana. </w:t>
      </w:r>
      <w:r w:rsidRPr="00C4680A">
        <w:rPr>
          <w:bCs/>
          <w:iCs/>
        </w:rPr>
        <w:t xml:space="preserve">Osim navedenih proizvoda, obuhvaćena su i dva proizvoda koji nisu dosad uzorkovani u Programu (celer </w:t>
      </w:r>
      <w:proofErr w:type="spellStart"/>
      <w:r w:rsidRPr="00C4680A">
        <w:rPr>
          <w:bCs/>
          <w:iCs/>
        </w:rPr>
        <w:t>korjenaš</w:t>
      </w:r>
      <w:proofErr w:type="spellEnd"/>
      <w:r w:rsidRPr="00C4680A">
        <w:rPr>
          <w:bCs/>
          <w:iCs/>
        </w:rPr>
        <w:t xml:space="preserve"> i med) te dva proizvoda (paprika i mandarina) u kojima su u prethodnim istraživanjima utvrđena prekoračenja MDK ili nedopuštena primjena. Analizirano je 547 uzoraka. Analiza uzoraka biljnog podrijetla provedena je na 361 aktivn</w:t>
      </w:r>
      <w:r w:rsidR="004F73CA">
        <w:rPr>
          <w:bCs/>
          <w:iCs/>
        </w:rPr>
        <w:t>u tvar</w:t>
      </w:r>
      <w:r w:rsidRPr="00C4680A">
        <w:rPr>
          <w:bCs/>
          <w:iCs/>
        </w:rPr>
        <w:t xml:space="preserve"> dok je na uzorcima životinjskog podrijetla provedena na 49 aktivn</w:t>
      </w:r>
      <w:r w:rsidR="004F73CA">
        <w:rPr>
          <w:bCs/>
          <w:iCs/>
        </w:rPr>
        <w:t>ih</w:t>
      </w:r>
      <w:r w:rsidRPr="00C4680A">
        <w:rPr>
          <w:bCs/>
          <w:iCs/>
        </w:rPr>
        <w:t xml:space="preserve"> tvari. 331</w:t>
      </w:r>
      <w:r w:rsidR="004F73CA">
        <w:rPr>
          <w:bCs/>
          <w:iCs/>
        </w:rPr>
        <w:t xml:space="preserve"> </w:t>
      </w:r>
      <w:r w:rsidRPr="00C4680A">
        <w:rPr>
          <w:bCs/>
          <w:iCs/>
        </w:rPr>
        <w:t>(60,51%) uzoraka nije sadržavalo ostatke pesticida (ispod granice određivan</w:t>
      </w:r>
      <w:r w:rsidR="004F73CA">
        <w:rPr>
          <w:bCs/>
          <w:iCs/>
        </w:rPr>
        <w:t>ja). Kod 210 uzoraka (38,5</w:t>
      </w:r>
      <w:r w:rsidRPr="00C4680A">
        <w:rPr>
          <w:bCs/>
          <w:iCs/>
        </w:rPr>
        <w:t xml:space="preserve">%) nađeni su ostaci pesticida ispod MDK, a kod 6 uzorka (1,10 %) ostaci su prelazili MDK. </w:t>
      </w:r>
    </w:p>
    <w:p w14:paraId="79427A45" w14:textId="72BD0DFF" w:rsidR="00C4680A" w:rsidRDefault="00C4680A" w:rsidP="00C4680A">
      <w:pPr>
        <w:spacing w:after="120"/>
        <w:jc w:val="both"/>
        <w:rPr>
          <w:bCs/>
          <w:iCs/>
        </w:rPr>
      </w:pPr>
      <w:r w:rsidRPr="00C4680A">
        <w:rPr>
          <w:bCs/>
          <w:iCs/>
        </w:rPr>
        <w:t xml:space="preserve">Nacionalni Program praćenja (monitoringa) ostataka pesticida u proizvodima biljnog i životinjskog podrijetla u 2017. godini obuhvatio je praćenje ostataka pesticida na ukupno 22 proizvoda biljnog i životinjskog podrijetla od kojih je 15 proizvoda odabrano prema Provedbenoj uredbi Komisije (EU) 2016/662 </w:t>
      </w:r>
      <w:proofErr w:type="spellStart"/>
      <w:r w:rsidRPr="00C4680A">
        <w:rPr>
          <w:bCs/>
          <w:iCs/>
        </w:rPr>
        <w:t>оd</w:t>
      </w:r>
      <w:proofErr w:type="spellEnd"/>
      <w:r w:rsidRPr="00C4680A">
        <w:rPr>
          <w:bCs/>
          <w:iCs/>
        </w:rPr>
        <w:t xml:space="preserve"> 1. travnja 2016. o koordiniranom višegodišnjem programu kontrole Unije za 2017., 2018. i 2019. za osiguranje sukladnosti s maksimalnim razinama ostataka pesticida i ocjenu izloženosti potrošača ostacima pesticida u i na hrani biljnog i životinjskog podrijetla, kojima su pridodani proizvodi za koje je u prethodnim istraživanjima utvrđeno prekoračenje MDK ili nedopuštena primjena: jabuka, rajčica, jagoda, glavati kupus, paprika, celer </w:t>
      </w:r>
      <w:proofErr w:type="spellStart"/>
      <w:r w:rsidRPr="00C4680A">
        <w:rPr>
          <w:bCs/>
          <w:iCs/>
        </w:rPr>
        <w:t>korjenaš</w:t>
      </w:r>
      <w:proofErr w:type="spellEnd"/>
      <w:r w:rsidRPr="00C4680A">
        <w:rPr>
          <w:bCs/>
          <w:iCs/>
        </w:rPr>
        <w:t xml:space="preserve"> i zelena salata. Analizira</w:t>
      </w:r>
      <w:r w:rsidR="004F73CA">
        <w:rPr>
          <w:bCs/>
          <w:iCs/>
        </w:rPr>
        <w:t>no je 630 uzoraka. U 418 (66,30</w:t>
      </w:r>
      <w:r w:rsidRPr="00C4680A">
        <w:rPr>
          <w:bCs/>
          <w:iCs/>
        </w:rPr>
        <w:t>%) uzoraka nisu nađeni ostaci pesticida (iznad gran</w:t>
      </w:r>
      <w:r w:rsidR="004F73CA">
        <w:rPr>
          <w:bCs/>
          <w:iCs/>
        </w:rPr>
        <w:t>ice određivanja), u 206 (32,70</w:t>
      </w:r>
      <w:r w:rsidRPr="00C4680A">
        <w:rPr>
          <w:bCs/>
          <w:iCs/>
        </w:rPr>
        <w:t xml:space="preserve">%) uzoraka nađeni su ostaci pesticida ispod MDK, a u 6 (1%) uzoraka nađeni su ostaci pesticida iznad MDK. </w:t>
      </w:r>
    </w:p>
    <w:p w14:paraId="440F3358" w14:textId="5CA70B59" w:rsidR="00E23D6C" w:rsidRPr="001E718A" w:rsidRDefault="00E23D6C" w:rsidP="00C4680A">
      <w:pPr>
        <w:spacing w:after="120"/>
        <w:jc w:val="both"/>
        <w:rPr>
          <w:bCs/>
          <w:iCs/>
        </w:rPr>
      </w:pPr>
      <w:r w:rsidRPr="00E23D6C">
        <w:rPr>
          <w:bCs/>
          <w:iCs/>
        </w:rPr>
        <w:t xml:space="preserve">Nije nađeno niti jedno prekoračenje pesticida koji su ujedno i </w:t>
      </w:r>
      <w:proofErr w:type="spellStart"/>
      <w:r w:rsidRPr="00E23D6C">
        <w:rPr>
          <w:bCs/>
          <w:iCs/>
        </w:rPr>
        <w:t>POPs</w:t>
      </w:r>
      <w:proofErr w:type="spellEnd"/>
      <w:r w:rsidR="004F73CA">
        <w:rPr>
          <w:bCs/>
          <w:iCs/>
        </w:rPr>
        <w:t>-ovi</w:t>
      </w:r>
      <w:r w:rsidRPr="00E23D6C">
        <w:rPr>
          <w:bCs/>
          <w:iCs/>
        </w:rPr>
        <w:t>.</w:t>
      </w:r>
    </w:p>
    <w:p w14:paraId="20DD85FE" w14:textId="71C8138B" w:rsidR="00317EE7" w:rsidRPr="007E5335" w:rsidRDefault="007E5335" w:rsidP="007E5335">
      <w:pPr>
        <w:pStyle w:val="Naslov2"/>
        <w:numPr>
          <w:ilvl w:val="1"/>
          <w:numId w:val="10"/>
        </w:numPr>
        <w:spacing w:before="100" w:beforeAutospacing="1" w:after="120"/>
        <w:ind w:left="357" w:hanging="357"/>
        <w:rPr>
          <w:b w:val="0"/>
        </w:rPr>
      </w:pPr>
      <w:bookmarkStart w:id="23" w:name="_Toc8637314"/>
      <w:r w:rsidRPr="007E5335">
        <w:rPr>
          <w:b w:val="0"/>
        </w:rPr>
        <w:t>MONITORING OSTATAKA POP</w:t>
      </w:r>
      <w:r w:rsidR="004F73CA">
        <w:rPr>
          <w:b w:val="0"/>
        </w:rPr>
        <w:t>s</w:t>
      </w:r>
      <w:r w:rsidRPr="007E5335">
        <w:rPr>
          <w:b w:val="0"/>
        </w:rPr>
        <w:t>-OVA U LJUDSKOM MLIJEKU DOJILJA</w:t>
      </w:r>
      <w:bookmarkEnd w:id="23"/>
    </w:p>
    <w:p w14:paraId="1A855198" w14:textId="262F11A8" w:rsidR="00317EE7" w:rsidRDefault="00317EE7" w:rsidP="007E5335">
      <w:pPr>
        <w:spacing w:before="120" w:after="120"/>
        <w:jc w:val="both"/>
      </w:pPr>
      <w:r w:rsidRPr="00CB4024">
        <w:t xml:space="preserve">Kako bi se pratila provedba, odnosno učinkovitost provođenja obvezi propisanih Konvencijom, jedan od najvažnijih mehanizama je aktivno sudjelovanje/uključivanje u međunarodni monitoring plana za praćenje učinkovitosti same </w:t>
      </w:r>
      <w:r w:rsidR="0079054A">
        <w:t>K</w:t>
      </w:r>
      <w:r w:rsidRPr="00CB4024">
        <w:t xml:space="preserve">onvencije, a koji između ostalog uključuje i ispitivanje </w:t>
      </w:r>
      <w:proofErr w:type="spellStart"/>
      <w:r>
        <w:t>POPs</w:t>
      </w:r>
      <w:proofErr w:type="spellEnd"/>
      <w:r>
        <w:t>-ova</w:t>
      </w:r>
      <w:r w:rsidRPr="00CB4024">
        <w:t xml:space="preserve"> u uzorcima mlijeka dojilja. </w:t>
      </w:r>
      <w:r w:rsidR="00AF3845">
        <w:t xml:space="preserve">Institucije </w:t>
      </w:r>
      <w:r w:rsidR="00AF3845" w:rsidRPr="00CB4024">
        <w:t>Republik</w:t>
      </w:r>
      <w:r w:rsidR="00AF3845">
        <w:t>e</w:t>
      </w:r>
      <w:r w:rsidR="00AF3845" w:rsidRPr="00CB4024">
        <w:t xml:space="preserve"> Hrvatsk</w:t>
      </w:r>
      <w:r w:rsidR="00AF3845">
        <w:t>e, u suradnji sa znanstvenim institucijama iz Republike Srbije</w:t>
      </w:r>
      <w:r w:rsidR="009F19D7">
        <w:t>,</w:t>
      </w:r>
      <w:r w:rsidR="00AF3845" w:rsidRPr="00CB4024">
        <w:t xml:space="preserve"> </w:t>
      </w:r>
      <w:r w:rsidR="00AF3845">
        <w:t>kontinuirano sudjeluj</w:t>
      </w:r>
      <w:r w:rsidR="0045315A">
        <w:t>u</w:t>
      </w:r>
      <w:r w:rsidR="00AF3845">
        <w:t xml:space="preserve"> u istraživanjima i razvoju </w:t>
      </w:r>
      <w:r w:rsidR="00AF3845" w:rsidRPr="00E16E60">
        <w:t>analiza</w:t>
      </w:r>
      <w:r w:rsidR="00AF3845">
        <w:t xml:space="preserve"> te uspored</w:t>
      </w:r>
      <w:r w:rsidR="0045315A">
        <w:t>b</w:t>
      </w:r>
      <w:r w:rsidR="00DE5CBC">
        <w:t>ama</w:t>
      </w:r>
      <w:r w:rsidR="00AF3845">
        <w:t xml:space="preserve"> tehnika modeliranja u istraživanjima </w:t>
      </w:r>
      <w:r w:rsidRPr="00CB4024">
        <w:t xml:space="preserve">ispitivanja </w:t>
      </w:r>
      <w:proofErr w:type="spellStart"/>
      <w:r w:rsidR="00AF3845">
        <w:t>kongenera</w:t>
      </w:r>
      <w:proofErr w:type="spellEnd"/>
      <w:r w:rsidR="00AF3845" w:rsidRPr="00CB4024">
        <w:t xml:space="preserve"> </w:t>
      </w:r>
      <w:proofErr w:type="spellStart"/>
      <w:r>
        <w:t>POPs</w:t>
      </w:r>
      <w:proofErr w:type="spellEnd"/>
      <w:r>
        <w:t>-ova</w:t>
      </w:r>
      <w:r w:rsidRPr="00CB4024">
        <w:t xml:space="preserve"> u uzrocima mlijeka dojilja</w:t>
      </w:r>
      <w:r>
        <w:t xml:space="preserve">. </w:t>
      </w:r>
      <w:r w:rsidR="00AF3845">
        <w:t xml:space="preserve">Razumijevanje uzročne pojave </w:t>
      </w:r>
      <w:proofErr w:type="spellStart"/>
      <w:r w:rsidR="00AF3845">
        <w:t>POPs</w:t>
      </w:r>
      <w:proofErr w:type="spellEnd"/>
      <w:r w:rsidR="00463A28">
        <w:t>-ova</w:t>
      </w:r>
      <w:r w:rsidR="00AF3845">
        <w:t xml:space="preserve"> u majčinom mlijeku predstavlja tem</w:t>
      </w:r>
      <w:r w:rsidR="00463A28">
        <w:t>u</w:t>
      </w:r>
      <w:r w:rsidR="00AF3845">
        <w:t xml:space="preserve"> globalnog značaja zbog njihovog kontinuiranog utjecaja na ljudsko zdravlje, osobito osjetljive </w:t>
      </w:r>
      <w:proofErr w:type="spellStart"/>
      <w:r w:rsidR="00AF3845">
        <w:t>subpopulacije</w:t>
      </w:r>
      <w:proofErr w:type="spellEnd"/>
      <w:r w:rsidR="00AF3845">
        <w:t xml:space="preserve"> kao što su žene i djeca.</w:t>
      </w:r>
    </w:p>
    <w:p w14:paraId="595BC0B9" w14:textId="64D614CA" w:rsidR="002F29EC" w:rsidRPr="00E16E60" w:rsidRDefault="002F29EC" w:rsidP="007E5335">
      <w:pPr>
        <w:spacing w:before="120" w:after="120"/>
        <w:jc w:val="both"/>
      </w:pPr>
      <w:r>
        <w:t>Pa su tako u</w:t>
      </w:r>
      <w:r w:rsidRPr="00E16E60">
        <w:t xml:space="preserve"> Republici Hrvatskoj, PCB i </w:t>
      </w:r>
      <w:proofErr w:type="spellStart"/>
      <w:r w:rsidRPr="00E16E60">
        <w:t>organoklorni</w:t>
      </w:r>
      <w:proofErr w:type="spellEnd"/>
      <w:r w:rsidRPr="00E16E60">
        <w:t xml:space="preserve"> pesticidi analizirani u ljudskom mlijeku prije više od 40 godina. Ranija istraživanja podrazumijevaju analizu ukupnih PCB-a, dok novija istraživanja uključuju ukupni PCB i rezultate PCB-a i srodnih analiza.</w:t>
      </w:r>
    </w:p>
    <w:p w14:paraId="5AD6480C" w14:textId="13030E12" w:rsidR="002931E7" w:rsidRDefault="002F29EC" w:rsidP="007E5335">
      <w:pPr>
        <w:spacing w:before="120" w:after="120"/>
        <w:jc w:val="both"/>
      </w:pPr>
      <w:r w:rsidRPr="00E16E60">
        <w:t xml:space="preserve">Uočen je znatan pad u koncentracijama tijekom razdoblja od 10 godina. Uspoređujući dobivene rezultate s literaturnim podacima, općenito se može zaključiti da se koncentracije </w:t>
      </w:r>
      <w:proofErr w:type="spellStart"/>
      <w:r w:rsidRPr="00E16E60">
        <w:t>organoklornih</w:t>
      </w:r>
      <w:proofErr w:type="spellEnd"/>
      <w:r w:rsidRPr="00E16E60">
        <w:t xml:space="preserve"> </w:t>
      </w:r>
      <w:r w:rsidRPr="00E16E60">
        <w:lastRenderedPageBreak/>
        <w:t>spojeva u uzorcima ljudskog mlijeka iz ovog</w:t>
      </w:r>
      <w:r w:rsidR="008F4E48">
        <w:t>a</w:t>
      </w:r>
      <w:r w:rsidRPr="00E16E60">
        <w:t xml:space="preserve"> istraživanja nalaze u donjim granicama raspona koji su prijavljeni u Europi.</w:t>
      </w:r>
    </w:p>
    <w:p w14:paraId="07980778" w14:textId="66FC557B" w:rsidR="00317EE7" w:rsidRPr="0045315A" w:rsidRDefault="002F29EC" w:rsidP="007E5335">
      <w:pPr>
        <w:spacing w:before="120" w:after="120"/>
        <w:jc w:val="both"/>
      </w:pPr>
      <w:r w:rsidRPr="00E16E60">
        <w:t xml:space="preserve">Prema iznesenim rezultatima, populacija u Republici Hrvatskoj nije značajno ugrožena onečišćenjem </w:t>
      </w:r>
      <w:proofErr w:type="spellStart"/>
      <w:r w:rsidRPr="00E16E60">
        <w:t>organoklornim</w:t>
      </w:r>
      <w:proofErr w:type="spellEnd"/>
      <w:r w:rsidRPr="00E16E60">
        <w:t xml:space="preserve"> spojevima. Ipak,</w:t>
      </w:r>
      <w:r w:rsidR="002931E7">
        <w:t xml:space="preserve"> </w:t>
      </w:r>
      <w:r w:rsidRPr="00E16E60">
        <w:t xml:space="preserve">potrebno je pratiti </w:t>
      </w:r>
      <w:r w:rsidR="004B7F25">
        <w:t xml:space="preserve">razine </w:t>
      </w:r>
      <w:proofErr w:type="spellStart"/>
      <w:r w:rsidR="004B7F25">
        <w:t>organokl</w:t>
      </w:r>
      <w:r w:rsidR="00EE6E16">
        <w:t>o</w:t>
      </w:r>
      <w:r w:rsidR="004B7F25">
        <w:t>rnih</w:t>
      </w:r>
      <w:proofErr w:type="spellEnd"/>
      <w:r w:rsidR="004B7F25">
        <w:t xml:space="preserve"> spojeva </w:t>
      </w:r>
      <w:r w:rsidRPr="00E16E60">
        <w:t xml:space="preserve">kako </w:t>
      </w:r>
      <w:r w:rsidR="004B7F25">
        <w:t xml:space="preserve">u </w:t>
      </w:r>
      <w:r w:rsidRPr="00E16E60">
        <w:t>ljud</w:t>
      </w:r>
      <w:r w:rsidR="004B7F25">
        <w:t xml:space="preserve">ima tako i </w:t>
      </w:r>
      <w:r w:rsidR="004B44BB" w:rsidRPr="004B44BB">
        <w:t>ekosustav</w:t>
      </w:r>
      <w:r w:rsidR="004B7F25">
        <w:t>ima</w:t>
      </w:r>
      <w:r w:rsidR="004B44BB" w:rsidRPr="004B44BB">
        <w:t xml:space="preserve"> u područjima sa sekundarnim izvorima onečišćenja</w:t>
      </w:r>
      <w:r w:rsidR="004B44BB">
        <w:t xml:space="preserve">. </w:t>
      </w:r>
    </w:p>
    <w:p w14:paraId="523545C3" w14:textId="36A52ECA" w:rsidR="007160F9" w:rsidRPr="0045315A" w:rsidRDefault="007160F9" w:rsidP="007160F9">
      <w:pPr>
        <w:pStyle w:val="Naslov2"/>
        <w:numPr>
          <w:ilvl w:val="1"/>
          <w:numId w:val="10"/>
        </w:numPr>
        <w:spacing w:before="100" w:beforeAutospacing="1" w:after="120"/>
        <w:ind w:left="357" w:hanging="357"/>
        <w:rPr>
          <w:b w:val="0"/>
        </w:rPr>
      </w:pPr>
      <w:bookmarkStart w:id="24" w:name="_Toc8637315"/>
      <w:r w:rsidRPr="0045315A">
        <w:rPr>
          <w:b w:val="0"/>
        </w:rPr>
        <w:t>MONITORING REZIDUA - OSTALI IZVORI</w:t>
      </w:r>
      <w:bookmarkEnd w:id="24"/>
    </w:p>
    <w:p w14:paraId="7A00CB8E" w14:textId="2DFE5790" w:rsidR="007160F9" w:rsidRPr="007160F9" w:rsidRDefault="007160F9" w:rsidP="0045315A">
      <w:pPr>
        <w:spacing w:after="240"/>
        <w:jc w:val="both"/>
      </w:pPr>
      <w:r w:rsidRPr="00CB4024">
        <w:t>Zakonom o veterinarstvu (Narodne novine, br</w:t>
      </w:r>
      <w:r>
        <w:t>.</w:t>
      </w:r>
      <w:r w:rsidRPr="00CB4024">
        <w:t xml:space="preserve"> 82/13</w:t>
      </w:r>
      <w:r>
        <w:t xml:space="preserve"> i</w:t>
      </w:r>
      <w:r w:rsidRPr="00CB4024">
        <w:t xml:space="preserve"> 148/13) u članku 93., definiran je monitoring program sustavnoga praćenja rezidua i drugih za ljudsko zdravlje škodljivih onečišćivača, u proizvodima životinjskoga podrijetla koji su namijenjeni prehrani ljudi. Državnim programom monitoringa rezidua (DPMR) kontroliraju se uzorci goveda, svinje, peradi, ovaca, koza, konja, slatkovodne i morske ribe, meda, mlijeka i jaja na </w:t>
      </w:r>
      <w:proofErr w:type="spellStart"/>
      <w:r w:rsidRPr="00CB4024">
        <w:t>organoklorne</w:t>
      </w:r>
      <w:proofErr w:type="spellEnd"/>
      <w:r w:rsidRPr="00CB4024">
        <w:t xml:space="preserve"> tvari (pesticide) te na </w:t>
      </w:r>
      <w:proofErr w:type="spellStart"/>
      <w:r w:rsidRPr="00CB4024">
        <w:t>dio</w:t>
      </w:r>
      <w:r>
        <w:t>ksine</w:t>
      </w:r>
      <w:proofErr w:type="spellEnd"/>
      <w:r>
        <w:t xml:space="preserve"> i </w:t>
      </w:r>
      <w:proofErr w:type="spellStart"/>
      <w:r>
        <w:t>dioksinima</w:t>
      </w:r>
      <w:proofErr w:type="spellEnd"/>
      <w:r>
        <w:t xml:space="preserve"> slične PCB-</w:t>
      </w:r>
      <w:r w:rsidRPr="00CB4024">
        <w:t>e.</w:t>
      </w:r>
    </w:p>
    <w:p w14:paraId="41010D01" w14:textId="6A2043DE" w:rsidR="006F5D5D" w:rsidRPr="0045315A" w:rsidRDefault="007E5335" w:rsidP="007160F9">
      <w:pPr>
        <w:pStyle w:val="Naslov2"/>
        <w:numPr>
          <w:ilvl w:val="1"/>
          <w:numId w:val="10"/>
        </w:numPr>
        <w:spacing w:before="100" w:beforeAutospacing="1" w:after="120"/>
        <w:ind w:left="357" w:hanging="357"/>
        <w:rPr>
          <w:b w:val="0"/>
          <w:color w:val="FF0000"/>
        </w:rPr>
      </w:pPr>
      <w:bookmarkStart w:id="25" w:name="_Toc8637316"/>
      <w:r w:rsidRPr="0045315A">
        <w:rPr>
          <w:b w:val="0"/>
        </w:rPr>
        <w:t>IZVJEŠTAJI IZ OVLAŠTENIH LABORATORIJA</w:t>
      </w:r>
      <w:bookmarkEnd w:id="25"/>
    </w:p>
    <w:p w14:paraId="605CA99E" w14:textId="77777777" w:rsidR="006F5D5D" w:rsidRPr="007E5335" w:rsidRDefault="006F5D5D" w:rsidP="006F5D5D">
      <w:pPr>
        <w:spacing w:after="160" w:line="259" w:lineRule="auto"/>
        <w:rPr>
          <w:i/>
        </w:rPr>
      </w:pPr>
      <w:r w:rsidRPr="007E5335">
        <w:rPr>
          <w:i/>
        </w:rPr>
        <w:t>Izvještaj Službe za zaštitu okoliša i zdravstvenu ekologiju Nastavnog zavoda za javno zdravstvo „Dr. Andrija Štampar“, Zagreb</w:t>
      </w:r>
    </w:p>
    <w:p w14:paraId="5DE3EC76" w14:textId="77777777" w:rsidR="006F5D5D" w:rsidRPr="005F5EB0" w:rsidRDefault="006F5D5D" w:rsidP="00463A28">
      <w:pPr>
        <w:spacing w:after="160" w:line="259" w:lineRule="auto"/>
        <w:jc w:val="both"/>
      </w:pPr>
      <w:r w:rsidRPr="005F5EB0">
        <w:t>Laboratoriji Službe ovlašteni su od strane nadležnih ministarstava između ostalih u područjima vezano specifično za monitoring i ispitivanja tvari uključenih na popis postojanih organskih onečišćujućih tvari sukladno Zakonu o potvrđivanju Stockholmske konvencije o postojanim organskim onečišćujućim tvarima (Narodne novine-Međunarodni ugovori, broj 11/06) i Nacionalnom planu za provedbu Stockholmske konvencije o postojanim organskim onečišćujućim tvarima:</w:t>
      </w:r>
    </w:p>
    <w:p w14:paraId="0BF35173" w14:textId="2832C18D" w:rsidR="006F5D5D" w:rsidRPr="005F5EB0" w:rsidRDefault="006F5D5D" w:rsidP="006F5D5D">
      <w:pPr>
        <w:numPr>
          <w:ilvl w:val="0"/>
          <w:numId w:val="23"/>
        </w:numPr>
        <w:spacing w:after="160" w:line="259" w:lineRule="auto"/>
        <w:contextualSpacing/>
        <w:rPr>
          <w:b/>
        </w:rPr>
      </w:pPr>
      <w:r w:rsidRPr="005F5EB0">
        <w:t>uzimanja uzoraka i ispitivanje voda (Ministarstvo poljoprivrede Kl: 325-07/16-01/01, Ur.br: 52</w:t>
      </w:r>
      <w:r w:rsidR="00463A28">
        <w:t>5-12/0988-16-3, do  24.2.2026.)</w:t>
      </w:r>
    </w:p>
    <w:p w14:paraId="10884F72" w14:textId="4A399FEF" w:rsidR="006F5D5D" w:rsidRPr="005F5EB0" w:rsidRDefault="006F5D5D" w:rsidP="006F5D5D">
      <w:pPr>
        <w:numPr>
          <w:ilvl w:val="0"/>
          <w:numId w:val="23"/>
        </w:numPr>
        <w:spacing w:after="160" w:line="259" w:lineRule="auto"/>
        <w:contextualSpacing/>
      </w:pPr>
      <w:r w:rsidRPr="005F5EB0">
        <w:t>izrade izvješća o stanju okoliša, sanacijskih elaborata, programa i izvješća, određivanje vrste otpada, opasnih svojstava otpada te uzorkovanje i ispitivanje fizikalnih i kemijskih svojstava otpada, praćenje stanja okoliša, obavljanje struč</w:t>
      </w:r>
      <w:r w:rsidR="00463A28">
        <w:t xml:space="preserve">nih poslova za potrebe Registra </w:t>
      </w:r>
      <w:r w:rsidRPr="005F5EB0">
        <w:t>onečišćavanja okoliša (Kl: UP/I-351-02/14-08/86, Ur.br:</w:t>
      </w:r>
      <w:r w:rsidR="00463A28">
        <w:t xml:space="preserve"> 517-06-2-1-2-14-3, do opoziva)</w:t>
      </w:r>
    </w:p>
    <w:p w14:paraId="585C7166" w14:textId="029FEC62" w:rsidR="006F5D5D" w:rsidRPr="005F5EB0" w:rsidRDefault="006F5D5D" w:rsidP="006F5D5D">
      <w:pPr>
        <w:numPr>
          <w:ilvl w:val="0"/>
          <w:numId w:val="23"/>
        </w:numPr>
        <w:spacing w:after="160" w:line="259" w:lineRule="auto"/>
        <w:contextualSpacing/>
      </w:pPr>
      <w:r w:rsidRPr="005F5EB0">
        <w:t>obavljanje poslova zaštite na radu, osposobljavanja radnika za rad na siguran način,  izrade procjene rizika, ispitivanja radne opreme, ispitivanja u radnom okolišu (ispitivanja fizikalnih, kemijskih i bioloških čimbenika) (Zavod za unapređivanje zaštite na radu Kl: UP/I-115-01/15-01/85, Ur</w:t>
      </w:r>
      <w:r w:rsidR="00463A28">
        <w:t>.Br: 425-02/2-17-15 do opoziva)</w:t>
      </w:r>
    </w:p>
    <w:p w14:paraId="6D773D9A" w14:textId="7B7C35BA" w:rsidR="006F5D5D" w:rsidRPr="005F5EB0" w:rsidRDefault="006F5D5D" w:rsidP="006F5D5D">
      <w:pPr>
        <w:numPr>
          <w:ilvl w:val="0"/>
          <w:numId w:val="23"/>
        </w:numPr>
        <w:spacing w:after="160" w:line="259" w:lineRule="auto"/>
        <w:contextualSpacing/>
      </w:pPr>
      <w:r w:rsidRPr="005F5EB0">
        <w:t>uzorkovanje i ispitivanje hrane, hrane za životinje, ispitivanje prirodne mineralne, stolne i izvorske vode (Ministarstvo poljoprivrede Kl: UP-I-322-01/16-01/59, Ur.br</w:t>
      </w:r>
      <w:r w:rsidR="00463A28">
        <w:t>: 525-10/1308-17-5, do opoziva)</w:t>
      </w:r>
    </w:p>
    <w:p w14:paraId="12833E33" w14:textId="77777777" w:rsidR="006F5D5D" w:rsidRPr="005F5EB0" w:rsidRDefault="006F5D5D" w:rsidP="007E5335">
      <w:pPr>
        <w:numPr>
          <w:ilvl w:val="0"/>
          <w:numId w:val="23"/>
        </w:numPr>
        <w:spacing w:before="120" w:after="120" w:line="259" w:lineRule="auto"/>
        <w:ind w:left="714" w:hanging="357"/>
      </w:pPr>
      <w:r w:rsidRPr="005F5EB0">
        <w:t>kao referentni laboratorij za područje pesticida u hrani biljnog podrijetla, za pesticide u voću i povrću, žitaricama te ispitivanju pesticida pojedinačnim metodama (Ministarstvo poljoprivrede Kl: UP/I-322-01/17-01/120, Ur.Br: 525-10/0766-19-16 do opoziva).</w:t>
      </w:r>
    </w:p>
    <w:p w14:paraId="283B480D" w14:textId="5625BA8C" w:rsidR="006F5D5D" w:rsidRPr="00463A28" w:rsidRDefault="006F5D5D" w:rsidP="007E5335">
      <w:pPr>
        <w:spacing w:before="120" w:after="120" w:line="259" w:lineRule="auto"/>
        <w:jc w:val="both"/>
        <w:rPr>
          <w:b/>
        </w:rPr>
      </w:pPr>
      <w:r>
        <w:t xml:space="preserve">Tijekom </w:t>
      </w:r>
      <w:r w:rsidRPr="002E2B2F">
        <w:t>razdoblj</w:t>
      </w:r>
      <w:r>
        <w:t>a</w:t>
      </w:r>
      <w:r w:rsidRPr="002E2B2F">
        <w:t xml:space="preserve"> </w:t>
      </w:r>
      <w:r w:rsidRPr="00463A28">
        <w:t xml:space="preserve">siječanj 2015. </w:t>
      </w:r>
      <w:r w:rsidR="00463A28" w:rsidRPr="00463A28">
        <w:t>–</w:t>
      </w:r>
      <w:r w:rsidRPr="00463A28">
        <w:t xml:space="preserve"> prosinac 2017.</w:t>
      </w:r>
      <w:r w:rsidRPr="001B071D">
        <w:rPr>
          <w:b/>
        </w:rPr>
        <w:t xml:space="preserve"> </w:t>
      </w:r>
      <w:r w:rsidRPr="001B071D">
        <w:t>godine</w:t>
      </w:r>
      <w:r>
        <w:t xml:space="preserve">, u Službi provedene su analize slijedećih parametara/tvari: </w:t>
      </w:r>
      <w:proofErr w:type="spellStart"/>
      <w:r w:rsidR="0045315A">
        <w:t>a</w:t>
      </w:r>
      <w:r>
        <w:t>ldrin</w:t>
      </w:r>
      <w:proofErr w:type="spellEnd"/>
      <w:r>
        <w:t xml:space="preserve">, </w:t>
      </w:r>
      <w:proofErr w:type="spellStart"/>
      <w:r w:rsidR="0045315A">
        <w:t>d</w:t>
      </w:r>
      <w:r>
        <w:t>ieldrin</w:t>
      </w:r>
      <w:proofErr w:type="spellEnd"/>
      <w:r>
        <w:t xml:space="preserve">, </w:t>
      </w:r>
      <w:proofErr w:type="spellStart"/>
      <w:r w:rsidR="0045315A">
        <w:t>e</w:t>
      </w:r>
      <w:r>
        <w:t>ndosulfa</w:t>
      </w:r>
      <w:r w:rsidR="00463A28">
        <w:t>n</w:t>
      </w:r>
      <w:proofErr w:type="spellEnd"/>
      <w:r w:rsidR="00463A28">
        <w:t xml:space="preserve">, </w:t>
      </w:r>
      <w:proofErr w:type="spellStart"/>
      <w:r w:rsidR="0045315A">
        <w:t>e</w:t>
      </w:r>
      <w:r w:rsidR="00463A28">
        <w:t>ndrin</w:t>
      </w:r>
      <w:proofErr w:type="spellEnd"/>
      <w:r w:rsidR="00463A28">
        <w:t xml:space="preserve">, </w:t>
      </w:r>
      <w:proofErr w:type="spellStart"/>
      <w:r w:rsidR="0045315A">
        <w:t>h</w:t>
      </w:r>
      <w:r w:rsidR="00463A28">
        <w:t>eksaklor</w:t>
      </w:r>
      <w:r w:rsidR="00F0551F">
        <w:t>o</w:t>
      </w:r>
      <w:r w:rsidR="00463A28">
        <w:t>benzen</w:t>
      </w:r>
      <w:proofErr w:type="spellEnd"/>
      <w:r w:rsidR="00463A28">
        <w:t xml:space="preserve"> (HCB</w:t>
      </w:r>
      <w:r>
        <w:t xml:space="preserve">), </w:t>
      </w:r>
      <w:proofErr w:type="spellStart"/>
      <w:r w:rsidR="0045315A">
        <w:t>h</w:t>
      </w:r>
      <w:r>
        <w:t>eptaklor</w:t>
      </w:r>
      <w:proofErr w:type="spellEnd"/>
      <w:r>
        <w:t xml:space="preserve">, </w:t>
      </w:r>
      <w:proofErr w:type="spellStart"/>
      <w:r w:rsidR="0045315A">
        <w:t>k</w:t>
      </w:r>
      <w:r>
        <w:t>lordan</w:t>
      </w:r>
      <w:proofErr w:type="spellEnd"/>
      <w:r>
        <w:t xml:space="preserve">, </w:t>
      </w:r>
      <w:proofErr w:type="spellStart"/>
      <w:r w:rsidR="00A13CCB">
        <w:t>l</w:t>
      </w:r>
      <w:r>
        <w:t>indan</w:t>
      </w:r>
      <w:proofErr w:type="spellEnd"/>
      <w:r>
        <w:t xml:space="preserve">, </w:t>
      </w:r>
      <w:r w:rsidR="00A13CCB">
        <w:t>p</w:t>
      </w:r>
      <w:r>
        <w:t>entaklor</w:t>
      </w:r>
      <w:r w:rsidR="00F0551F">
        <w:t>o</w:t>
      </w:r>
      <w:r>
        <w:t xml:space="preserve">benzen, </w:t>
      </w:r>
      <w:r w:rsidR="00A13CCB">
        <w:t>PCB-i</w:t>
      </w:r>
      <w:r>
        <w:t xml:space="preserve"> i </w:t>
      </w:r>
      <w:r w:rsidRPr="002E2B2F">
        <w:t>PCDD/PCDF</w:t>
      </w:r>
      <w:r>
        <w:t>.</w:t>
      </w:r>
    </w:p>
    <w:p w14:paraId="0547EA13" w14:textId="24B28C2E" w:rsidR="006F5D5D" w:rsidRDefault="006F5D5D" w:rsidP="007E5335">
      <w:pPr>
        <w:numPr>
          <w:ilvl w:val="0"/>
          <w:numId w:val="24"/>
        </w:numPr>
        <w:spacing w:before="120" w:after="120" w:line="259" w:lineRule="auto"/>
        <w:jc w:val="both"/>
      </w:pPr>
      <w:r>
        <w:t xml:space="preserve">U ukupno </w:t>
      </w:r>
      <w:r w:rsidRPr="00D22C15">
        <w:t>1</w:t>
      </w:r>
      <w:r>
        <w:t xml:space="preserve"> </w:t>
      </w:r>
      <w:r w:rsidRPr="00D22C15">
        <w:t>157</w:t>
      </w:r>
      <w:r>
        <w:t xml:space="preserve"> uzoraka </w:t>
      </w:r>
      <w:r w:rsidRPr="00463A28">
        <w:t>voda</w:t>
      </w:r>
      <w:r w:rsidR="00463A28">
        <w:t xml:space="preserve"> (</w:t>
      </w:r>
      <w:r>
        <w:t xml:space="preserve">uključivo vode za ljudsku potrošnju, površinske, podzemne ili otpadne vode) </w:t>
      </w:r>
      <w:r w:rsidRPr="00D22C15">
        <w:t>analizirano je ukupno</w:t>
      </w:r>
      <w:r>
        <w:t xml:space="preserve"> </w:t>
      </w:r>
      <w:r w:rsidRPr="00D22C15">
        <w:t>11</w:t>
      </w:r>
      <w:r>
        <w:t xml:space="preserve"> </w:t>
      </w:r>
      <w:r w:rsidRPr="00D22C15">
        <w:t>755</w:t>
      </w:r>
      <w:r>
        <w:t xml:space="preserve"> </w:t>
      </w:r>
      <w:bookmarkStart w:id="26" w:name="_Hlk3368760"/>
      <w:r>
        <w:t>parametara (tvari uključenih u popis</w:t>
      </w:r>
      <w:r w:rsidRPr="00D22C15">
        <w:t xml:space="preserve"> postojani</w:t>
      </w:r>
      <w:r>
        <w:t>h</w:t>
      </w:r>
      <w:r w:rsidRPr="00D22C15">
        <w:t xml:space="preserve"> organski</w:t>
      </w:r>
      <w:r>
        <w:t>h</w:t>
      </w:r>
      <w:r w:rsidRPr="00D22C15">
        <w:t xml:space="preserve"> onečišćujući</w:t>
      </w:r>
      <w:r>
        <w:t>h</w:t>
      </w:r>
      <w:r w:rsidRPr="00D22C15">
        <w:t xml:space="preserve"> tvari u Republici Hrvatskoj</w:t>
      </w:r>
      <w:r>
        <w:t>).</w:t>
      </w:r>
      <w:bookmarkEnd w:id="26"/>
    </w:p>
    <w:p w14:paraId="32EB9C17" w14:textId="77777777" w:rsidR="006F5D5D" w:rsidRDefault="006F5D5D" w:rsidP="00463A28">
      <w:pPr>
        <w:numPr>
          <w:ilvl w:val="1"/>
          <w:numId w:val="24"/>
        </w:numPr>
        <w:spacing w:after="160" w:line="259" w:lineRule="auto"/>
        <w:jc w:val="both"/>
      </w:pPr>
      <w:r>
        <w:lastRenderedPageBreak/>
        <w:t xml:space="preserve">Ukupno je </w:t>
      </w:r>
      <w:r w:rsidRPr="005A4569">
        <w:t>479</w:t>
      </w:r>
      <w:r>
        <w:t xml:space="preserve"> </w:t>
      </w:r>
      <w:r w:rsidRPr="00463A28">
        <w:t>uzoraka</w:t>
      </w:r>
      <w:r>
        <w:t xml:space="preserve"> voda ocijenjeno kao ispravno, 1 kao neispravan, te je 97 rezultata ocijenjeno kao neutvrđeno radi nepropisane maksimalno dozvoljene koncentracije u predmetnoj vrsti analiziranog uzorka.</w:t>
      </w:r>
    </w:p>
    <w:p w14:paraId="13CFF93F" w14:textId="7DCDBAD3" w:rsidR="006F5D5D" w:rsidRPr="00463A28" w:rsidRDefault="006F5D5D" w:rsidP="00463A28">
      <w:pPr>
        <w:numPr>
          <w:ilvl w:val="1"/>
          <w:numId w:val="24"/>
        </w:numPr>
        <w:spacing w:after="160" w:line="259" w:lineRule="auto"/>
        <w:jc w:val="both"/>
      </w:pPr>
      <w:r w:rsidRPr="00463A28">
        <w:t>Ukupno je 3 238 parametara analiziranih u vodi ocijenjeno</w:t>
      </w:r>
      <w:r w:rsidR="00463A28">
        <w:t xml:space="preserve"> kao ispravno, 1 kao neispravan</w:t>
      </w:r>
      <w:r w:rsidRPr="00463A28">
        <w:t xml:space="preserve"> te je 701 rezultata ocijenjeno kao neutvrđeno radi nepropisane maksimalno dozvoljene koncentracije u predmetnoj vrsti analiziranog uzorka.</w:t>
      </w:r>
    </w:p>
    <w:p w14:paraId="2C99A607" w14:textId="77777777" w:rsidR="006F5D5D" w:rsidRPr="00463A28" w:rsidRDefault="006F5D5D" w:rsidP="00463A28">
      <w:pPr>
        <w:numPr>
          <w:ilvl w:val="0"/>
          <w:numId w:val="24"/>
        </w:numPr>
        <w:spacing w:after="160" w:line="259" w:lineRule="auto"/>
        <w:jc w:val="both"/>
      </w:pPr>
      <w:bookmarkStart w:id="27" w:name="_Hlk3368775"/>
      <w:r w:rsidRPr="00463A28">
        <w:t xml:space="preserve">U ukupno </w:t>
      </w:r>
      <w:bookmarkEnd w:id="27"/>
      <w:r w:rsidRPr="00463A28">
        <w:t>4 788 uzoraka hrane (uzorci masne hrane, voće, povrće i proizvodi) analizirano je ukupno 34 157 parametara (tvari uključenih u popis postojanih organskih onečišćujućih tvari u Republici Hrvatskoj).</w:t>
      </w:r>
    </w:p>
    <w:p w14:paraId="1D83209A" w14:textId="5D024D58" w:rsidR="006F5D5D" w:rsidRPr="00463A28" w:rsidRDefault="006F5D5D" w:rsidP="00463A28">
      <w:pPr>
        <w:numPr>
          <w:ilvl w:val="1"/>
          <w:numId w:val="24"/>
        </w:numPr>
        <w:spacing w:after="160" w:line="259" w:lineRule="auto"/>
        <w:jc w:val="both"/>
      </w:pPr>
      <w:bookmarkStart w:id="28" w:name="_Hlk3371854"/>
      <w:r w:rsidRPr="00463A28">
        <w:t xml:space="preserve">Ukupno je </w:t>
      </w:r>
      <w:bookmarkEnd w:id="28"/>
      <w:r w:rsidRPr="00463A28">
        <w:t>4 623 uzoraka hrane ocijenjeno kao ispravno, 0 kao neispravan, te je 165 rezul</w:t>
      </w:r>
      <w:r w:rsidR="00463A28">
        <w:t>t</w:t>
      </w:r>
      <w:r w:rsidRPr="00463A28">
        <w:t>ata ocijenjeno kao neutvrđeno radi nepropisane maksimalno dozvoljene koncentracije u predmetnoj vrsti analiziranog uzorka.</w:t>
      </w:r>
    </w:p>
    <w:p w14:paraId="4A86876A" w14:textId="453E6295" w:rsidR="006F5D5D" w:rsidRPr="00463A28" w:rsidRDefault="006F5D5D" w:rsidP="00463A28">
      <w:pPr>
        <w:numPr>
          <w:ilvl w:val="1"/>
          <w:numId w:val="24"/>
        </w:numPr>
        <w:spacing w:after="160" w:line="259" w:lineRule="auto"/>
        <w:jc w:val="both"/>
      </w:pPr>
      <w:r w:rsidRPr="00463A28">
        <w:t>Ukupno je 33 026 parametara analiziranih u hrani ocijenjeno kao ispravno, 0</w:t>
      </w:r>
      <w:r w:rsidR="00463A28">
        <w:t xml:space="preserve"> kao neispravan </w:t>
      </w:r>
      <w:r w:rsidRPr="00463A28">
        <w:t>te je 1</w:t>
      </w:r>
      <w:r w:rsidR="009F19D7">
        <w:t xml:space="preserve"> </w:t>
      </w:r>
      <w:r w:rsidRPr="00463A28">
        <w:t>131 rezultata ocijenjeno kao neutvrđeno radi nepropisane maksimalno dozvoljene koncentracije u predmetnoj vrsti analiziranog uzorka.</w:t>
      </w:r>
    </w:p>
    <w:p w14:paraId="2605D4B0" w14:textId="2EC32FBA" w:rsidR="006F5D5D" w:rsidRPr="00463A28" w:rsidRDefault="006F5D5D" w:rsidP="006F5D5D">
      <w:pPr>
        <w:numPr>
          <w:ilvl w:val="0"/>
          <w:numId w:val="24"/>
        </w:numPr>
        <w:spacing w:after="160" w:line="259" w:lineRule="auto"/>
      </w:pPr>
      <w:r w:rsidRPr="00463A28">
        <w:t xml:space="preserve">U ukupno 1 659 </w:t>
      </w:r>
      <w:r w:rsidR="00463A28">
        <w:t>uzor</w:t>
      </w:r>
      <w:r w:rsidRPr="00463A28">
        <w:t>aka tla, otpada i muljeva analizirano je ukupno 2 211 parametara (tvari uključenih u popis postojanih organskih onečišćujućih tvari u Republici Hrvatskoj).</w:t>
      </w:r>
    </w:p>
    <w:p w14:paraId="48BD1BFC" w14:textId="74148C7B" w:rsidR="006F5D5D" w:rsidRDefault="006F5D5D" w:rsidP="00BC52FA">
      <w:pPr>
        <w:numPr>
          <w:ilvl w:val="1"/>
          <w:numId w:val="24"/>
        </w:numPr>
        <w:spacing w:after="160" w:line="259" w:lineRule="auto"/>
        <w:jc w:val="both"/>
      </w:pPr>
      <w:r w:rsidRPr="00463A28">
        <w:t xml:space="preserve">Ukupno je 828 uzoraka tla, otpada ili muljeva ocijenjeno kao ispravno, 0 kao neispravan, te je 831 </w:t>
      </w:r>
      <w:r w:rsidR="00463A28" w:rsidRPr="00463A28">
        <w:t>rezultata</w:t>
      </w:r>
      <w:r w:rsidRPr="00463A28">
        <w:t xml:space="preserve"> ocijenjeno kao neutvrđeno radi nepropisane maksimalno dozvoljene koncentracije u predmetnoj vrsti analiziranog uzorka.</w:t>
      </w:r>
    </w:p>
    <w:p w14:paraId="0CE112CD" w14:textId="70EF2C5D" w:rsidR="006F5D5D" w:rsidRDefault="006F5D5D" w:rsidP="00BC52FA">
      <w:pPr>
        <w:numPr>
          <w:ilvl w:val="1"/>
          <w:numId w:val="24"/>
        </w:numPr>
        <w:spacing w:after="160" w:line="259" w:lineRule="auto"/>
        <w:jc w:val="both"/>
      </w:pPr>
      <w:r w:rsidRPr="00463A28">
        <w:t>Ukupno je 1</w:t>
      </w:r>
      <w:r w:rsidR="00BC52FA">
        <w:t xml:space="preserve"> </w:t>
      </w:r>
      <w:r w:rsidRPr="00463A28">
        <w:t>031 parametara analiziranih u uzorcima tla</w:t>
      </w:r>
      <w:r w:rsidR="00BC52FA">
        <w:t>,</w:t>
      </w:r>
      <w:r w:rsidRPr="00463A28">
        <w:t xml:space="preserve"> otpada ili muljeva ocijenjeno kao ispravno, 0 kao neispravan, te 1180 rezultata ocijenjeno kao neutvrđeno radi nepropisane maksimalno dozvoljene koncentracije u predmetnoj vrsti analiziranog</w:t>
      </w:r>
      <w:r w:rsidR="0045315A">
        <w:t>.</w:t>
      </w:r>
    </w:p>
    <w:p w14:paraId="5026BB71" w14:textId="77777777" w:rsidR="005312BF" w:rsidRDefault="005312BF" w:rsidP="005312BF">
      <w:pPr>
        <w:spacing w:after="160" w:line="259" w:lineRule="auto"/>
        <w:jc w:val="both"/>
        <w:rPr>
          <w:rFonts w:ascii="Calibri" w:eastAsia="Calibri" w:hAnsi="Calibri"/>
          <w:i/>
          <w:sz w:val="22"/>
          <w:szCs w:val="22"/>
          <w:lang w:eastAsia="en-US"/>
        </w:rPr>
      </w:pPr>
    </w:p>
    <w:p w14:paraId="11632088" w14:textId="5F9AC93B" w:rsidR="005312BF" w:rsidRPr="004F73CA" w:rsidRDefault="005312BF" w:rsidP="005312BF">
      <w:pPr>
        <w:spacing w:after="160" w:line="259" w:lineRule="auto"/>
        <w:jc w:val="both"/>
        <w:rPr>
          <w:rFonts w:eastAsia="Calibri"/>
          <w:i/>
          <w:lang w:eastAsia="en-US"/>
        </w:rPr>
      </w:pPr>
      <w:r w:rsidRPr="004F73CA">
        <w:rPr>
          <w:rFonts w:eastAsia="Calibri"/>
          <w:i/>
          <w:lang w:eastAsia="en-US"/>
        </w:rPr>
        <w:t>Izvještaj Službe za zaštitu okoliša i zdravstvenu ekologiju, Odsjeka za pesticide, Hrvatskog zavoda za javno zdravstvo, Zagreb</w:t>
      </w:r>
    </w:p>
    <w:p w14:paraId="22E3C9B7" w14:textId="77777777" w:rsidR="005312BF" w:rsidRPr="004F73CA" w:rsidRDefault="005312BF" w:rsidP="005312BF">
      <w:pPr>
        <w:spacing w:after="160" w:line="259" w:lineRule="auto"/>
        <w:jc w:val="both"/>
        <w:rPr>
          <w:rFonts w:eastAsia="Calibri"/>
          <w:lang w:eastAsia="en-US"/>
        </w:rPr>
      </w:pPr>
      <w:r w:rsidRPr="004F73CA">
        <w:rPr>
          <w:rFonts w:eastAsia="Calibri"/>
          <w:lang w:eastAsia="en-US"/>
        </w:rPr>
        <w:t>Laboratorij Službe ovlašten je od strane nadležnih ministarstava između ostalih u područjima vezano specifično za monitoring i ispitivanja tvari uključenih na popis postojanih organskih onečišćujućih tvari sukladno Zakonu o potvrđivanju Stockholmske konvencije o postojanim organskim onečišćujućim tvarima (Narodne novine-Međunarodni ugovori, broj 11/06) i Nacionalnom planu za provedbu Stockholmske konvencije o postojanim organskim onečišćujućim tvarima:</w:t>
      </w:r>
    </w:p>
    <w:p w14:paraId="17BE2FD3" w14:textId="5D65D307" w:rsidR="005312BF" w:rsidRPr="004F73CA" w:rsidRDefault="005312BF" w:rsidP="005312BF">
      <w:pPr>
        <w:spacing w:after="160" w:line="259" w:lineRule="auto"/>
        <w:jc w:val="both"/>
        <w:rPr>
          <w:rFonts w:eastAsia="Calibri"/>
          <w:lang w:eastAsia="en-US"/>
        </w:rPr>
      </w:pPr>
      <w:r w:rsidRPr="004F73CA">
        <w:rPr>
          <w:rFonts w:eastAsia="Calibri"/>
          <w:lang w:eastAsia="en-US"/>
        </w:rPr>
        <w:t>•</w:t>
      </w:r>
      <w:r w:rsidRPr="004F73CA">
        <w:rPr>
          <w:rFonts w:eastAsia="Calibri"/>
          <w:lang w:eastAsia="en-US"/>
        </w:rPr>
        <w:tab/>
        <w:t>uzimanja uzoraka i ispitivanje voda (Ministarstvo zaštite okoliša i energetike Kl</w:t>
      </w:r>
      <w:r w:rsidR="000C6735" w:rsidRPr="004F73CA">
        <w:rPr>
          <w:rFonts w:eastAsia="Calibri"/>
          <w:lang w:eastAsia="en-US"/>
        </w:rPr>
        <w:t>asa</w:t>
      </w:r>
      <w:r w:rsidRPr="004F73CA">
        <w:rPr>
          <w:rFonts w:eastAsia="Calibri"/>
          <w:lang w:eastAsia="en-US"/>
        </w:rPr>
        <w:t>: UP/I-325-07/17-02/19, Ur.br: 517-17-2, do  11. srpnja 2027.)</w:t>
      </w:r>
    </w:p>
    <w:p w14:paraId="763D69EC" w14:textId="78D08034" w:rsidR="005312BF" w:rsidRPr="004F73CA" w:rsidRDefault="005312BF" w:rsidP="005312BF">
      <w:pPr>
        <w:spacing w:after="160" w:line="259" w:lineRule="auto"/>
        <w:jc w:val="both"/>
        <w:rPr>
          <w:rFonts w:eastAsia="Calibri"/>
          <w:lang w:eastAsia="en-US"/>
        </w:rPr>
      </w:pPr>
      <w:r w:rsidRPr="004F73CA">
        <w:rPr>
          <w:rFonts w:eastAsia="Calibri"/>
          <w:lang w:eastAsia="en-US"/>
        </w:rPr>
        <w:t>•</w:t>
      </w:r>
      <w:r w:rsidRPr="004F73CA">
        <w:rPr>
          <w:rFonts w:eastAsia="Calibri"/>
          <w:lang w:eastAsia="en-US"/>
        </w:rPr>
        <w:tab/>
        <w:t>kao referentni laboratorij za područje pesticida u hrani sa visokim udjelom vode, voće i povrće i žitaricama (Ministarstvo poljoprivrede Klasa: UP/I-310-26/14-01/13, Ur.Br: 525-10/1307-14-2 od 03. srpnja 2014. godine do opoziva).</w:t>
      </w:r>
    </w:p>
    <w:p w14:paraId="2D156C62" w14:textId="3B0B5919" w:rsidR="005312BF" w:rsidRPr="004F73CA" w:rsidRDefault="005312BF" w:rsidP="005312BF">
      <w:pPr>
        <w:spacing w:after="160" w:line="259" w:lineRule="auto"/>
        <w:jc w:val="both"/>
        <w:rPr>
          <w:rFonts w:eastAsia="Calibri"/>
          <w:lang w:eastAsia="en-US"/>
        </w:rPr>
      </w:pPr>
      <w:r w:rsidRPr="004F73CA">
        <w:rPr>
          <w:rFonts w:eastAsia="Calibri"/>
          <w:lang w:eastAsia="en-US"/>
        </w:rPr>
        <w:t xml:space="preserve">Tijekom razdoblja siječanj 2015. – prosinac 2017. godine, u Odsjeku za pesticide provedene su analize slijedećih parametara/tvari: </w:t>
      </w:r>
      <w:proofErr w:type="spellStart"/>
      <w:r w:rsidR="000C6735" w:rsidRPr="004F73CA">
        <w:rPr>
          <w:rFonts w:eastAsia="Calibri"/>
          <w:lang w:eastAsia="en-US"/>
        </w:rPr>
        <w:t>a</w:t>
      </w:r>
      <w:r w:rsidRPr="004F73CA">
        <w:rPr>
          <w:rFonts w:eastAsia="Calibri"/>
          <w:lang w:eastAsia="en-US"/>
        </w:rPr>
        <w:t>ldrin</w:t>
      </w:r>
      <w:proofErr w:type="spellEnd"/>
      <w:r w:rsidRPr="004F73CA">
        <w:rPr>
          <w:rFonts w:eastAsia="Calibri"/>
          <w:lang w:eastAsia="en-US"/>
        </w:rPr>
        <w:t xml:space="preserve">, </w:t>
      </w:r>
      <w:proofErr w:type="spellStart"/>
      <w:r w:rsidR="000C6735" w:rsidRPr="004F73CA">
        <w:rPr>
          <w:rFonts w:eastAsia="Calibri"/>
          <w:lang w:eastAsia="en-US"/>
        </w:rPr>
        <w:t>d</w:t>
      </w:r>
      <w:r w:rsidRPr="004F73CA">
        <w:rPr>
          <w:rFonts w:eastAsia="Calibri"/>
          <w:lang w:eastAsia="en-US"/>
        </w:rPr>
        <w:t>ieldrin</w:t>
      </w:r>
      <w:proofErr w:type="spellEnd"/>
      <w:r w:rsidRPr="004F73CA">
        <w:rPr>
          <w:rFonts w:eastAsia="Calibri"/>
          <w:lang w:eastAsia="en-US"/>
        </w:rPr>
        <w:t xml:space="preserve">, </w:t>
      </w:r>
      <w:proofErr w:type="spellStart"/>
      <w:r w:rsidR="000C6735" w:rsidRPr="004F73CA">
        <w:rPr>
          <w:rFonts w:eastAsia="Calibri"/>
          <w:lang w:eastAsia="en-US"/>
        </w:rPr>
        <w:t>e</w:t>
      </w:r>
      <w:r w:rsidRPr="004F73CA">
        <w:rPr>
          <w:rFonts w:eastAsia="Calibri"/>
          <w:lang w:eastAsia="en-US"/>
        </w:rPr>
        <w:t>ndosulfan</w:t>
      </w:r>
      <w:proofErr w:type="spellEnd"/>
      <w:r w:rsidRPr="004F73CA">
        <w:rPr>
          <w:rFonts w:eastAsia="Calibri"/>
          <w:lang w:eastAsia="en-US"/>
        </w:rPr>
        <w:t xml:space="preserve">, </w:t>
      </w:r>
      <w:proofErr w:type="spellStart"/>
      <w:r w:rsidR="000C6735" w:rsidRPr="004F73CA">
        <w:rPr>
          <w:rFonts w:eastAsia="Calibri"/>
          <w:lang w:eastAsia="en-US"/>
        </w:rPr>
        <w:t>e</w:t>
      </w:r>
      <w:r w:rsidRPr="004F73CA">
        <w:rPr>
          <w:rFonts w:eastAsia="Calibri"/>
          <w:lang w:eastAsia="en-US"/>
        </w:rPr>
        <w:t>ndrin</w:t>
      </w:r>
      <w:proofErr w:type="spellEnd"/>
      <w:r w:rsidRPr="004F73CA">
        <w:rPr>
          <w:rFonts w:eastAsia="Calibri"/>
          <w:lang w:eastAsia="en-US"/>
        </w:rPr>
        <w:t xml:space="preserve">, </w:t>
      </w:r>
      <w:proofErr w:type="spellStart"/>
      <w:r w:rsidR="000C6735" w:rsidRPr="004F73CA">
        <w:rPr>
          <w:rFonts w:eastAsia="Calibri"/>
          <w:lang w:eastAsia="en-US"/>
        </w:rPr>
        <w:t>h</w:t>
      </w:r>
      <w:r w:rsidRPr="004F73CA">
        <w:rPr>
          <w:rFonts w:eastAsia="Calibri"/>
          <w:lang w:eastAsia="en-US"/>
        </w:rPr>
        <w:t>eksaklorbenzen</w:t>
      </w:r>
      <w:proofErr w:type="spellEnd"/>
      <w:r w:rsidRPr="004F73CA">
        <w:rPr>
          <w:rFonts w:eastAsia="Calibri"/>
          <w:lang w:eastAsia="en-US"/>
        </w:rPr>
        <w:t xml:space="preserve"> (HCB), </w:t>
      </w:r>
      <w:proofErr w:type="spellStart"/>
      <w:r w:rsidR="000C6735" w:rsidRPr="004F73CA">
        <w:rPr>
          <w:rFonts w:eastAsia="Calibri"/>
          <w:lang w:eastAsia="en-US"/>
        </w:rPr>
        <w:t>h</w:t>
      </w:r>
      <w:r w:rsidRPr="004F73CA">
        <w:rPr>
          <w:rFonts w:eastAsia="Calibri"/>
          <w:lang w:eastAsia="en-US"/>
        </w:rPr>
        <w:t>eptaklor</w:t>
      </w:r>
      <w:proofErr w:type="spellEnd"/>
      <w:r w:rsidRPr="004F73CA">
        <w:rPr>
          <w:rFonts w:eastAsia="Calibri"/>
          <w:lang w:eastAsia="en-US"/>
        </w:rPr>
        <w:t xml:space="preserve">, </w:t>
      </w:r>
      <w:proofErr w:type="spellStart"/>
      <w:r w:rsidR="000C6735" w:rsidRPr="004F73CA">
        <w:rPr>
          <w:rFonts w:eastAsia="Calibri"/>
          <w:lang w:eastAsia="en-US"/>
        </w:rPr>
        <w:t>k</w:t>
      </w:r>
      <w:r w:rsidRPr="004F73CA">
        <w:rPr>
          <w:rFonts w:eastAsia="Calibri"/>
          <w:lang w:eastAsia="en-US"/>
        </w:rPr>
        <w:t>lordan</w:t>
      </w:r>
      <w:proofErr w:type="spellEnd"/>
      <w:r w:rsidRPr="004F73CA">
        <w:rPr>
          <w:rFonts w:eastAsia="Calibri"/>
          <w:lang w:eastAsia="en-US"/>
        </w:rPr>
        <w:t xml:space="preserve">, </w:t>
      </w:r>
      <w:proofErr w:type="spellStart"/>
      <w:r w:rsidR="000C6735" w:rsidRPr="004F73CA">
        <w:rPr>
          <w:rFonts w:eastAsia="Calibri"/>
          <w:lang w:eastAsia="en-US"/>
        </w:rPr>
        <w:t>l</w:t>
      </w:r>
      <w:r w:rsidRPr="004F73CA">
        <w:rPr>
          <w:rFonts w:eastAsia="Calibri"/>
          <w:lang w:eastAsia="en-US"/>
        </w:rPr>
        <w:t>indan</w:t>
      </w:r>
      <w:proofErr w:type="spellEnd"/>
      <w:r w:rsidRPr="004F73CA">
        <w:rPr>
          <w:rFonts w:eastAsia="Calibri"/>
          <w:lang w:eastAsia="en-US"/>
        </w:rPr>
        <w:t xml:space="preserve">, </w:t>
      </w:r>
      <w:proofErr w:type="spellStart"/>
      <w:r w:rsidRPr="004F73CA">
        <w:rPr>
          <w:rFonts w:eastAsia="Calibri"/>
          <w:lang w:eastAsia="en-US"/>
        </w:rPr>
        <w:t>diklor-difenil-trikloretan</w:t>
      </w:r>
      <w:proofErr w:type="spellEnd"/>
      <w:r w:rsidRPr="004F73CA">
        <w:rPr>
          <w:rFonts w:eastAsia="Calibri"/>
          <w:lang w:eastAsia="en-US"/>
        </w:rPr>
        <w:t xml:space="preserve"> i </w:t>
      </w:r>
      <w:proofErr w:type="spellStart"/>
      <w:r w:rsidR="000C6735" w:rsidRPr="004F73CA">
        <w:rPr>
          <w:rFonts w:eastAsia="Calibri"/>
          <w:lang w:eastAsia="en-US"/>
        </w:rPr>
        <w:t>p</w:t>
      </w:r>
      <w:r w:rsidRPr="004F73CA">
        <w:rPr>
          <w:rFonts w:eastAsia="Calibri"/>
          <w:lang w:eastAsia="en-US"/>
        </w:rPr>
        <w:t>oliklorirani</w:t>
      </w:r>
      <w:proofErr w:type="spellEnd"/>
      <w:r w:rsidRPr="004F73CA">
        <w:rPr>
          <w:rFonts w:eastAsia="Calibri"/>
          <w:lang w:eastAsia="en-US"/>
        </w:rPr>
        <w:t xml:space="preserve"> </w:t>
      </w:r>
      <w:proofErr w:type="spellStart"/>
      <w:r w:rsidRPr="004F73CA">
        <w:rPr>
          <w:rFonts w:eastAsia="Calibri"/>
          <w:lang w:eastAsia="en-US"/>
        </w:rPr>
        <w:t>bifenili</w:t>
      </w:r>
      <w:proofErr w:type="spellEnd"/>
      <w:r w:rsidRPr="004F73CA">
        <w:rPr>
          <w:rFonts w:eastAsia="Calibri"/>
          <w:lang w:eastAsia="en-US"/>
        </w:rPr>
        <w:t xml:space="preserve"> (PCB).</w:t>
      </w:r>
    </w:p>
    <w:p w14:paraId="29EBC9F0" w14:textId="77777777" w:rsidR="005312BF" w:rsidRPr="004F73CA" w:rsidRDefault="005312BF" w:rsidP="005312BF">
      <w:pPr>
        <w:spacing w:after="160" w:line="259" w:lineRule="auto"/>
        <w:jc w:val="both"/>
        <w:rPr>
          <w:rFonts w:eastAsia="Calibri"/>
          <w:lang w:eastAsia="en-US"/>
        </w:rPr>
      </w:pPr>
      <w:r w:rsidRPr="004F73CA">
        <w:rPr>
          <w:rFonts w:eastAsia="Calibri"/>
          <w:lang w:eastAsia="en-US"/>
        </w:rPr>
        <w:lastRenderedPageBreak/>
        <w:t>•</w:t>
      </w:r>
      <w:r w:rsidRPr="004F73CA">
        <w:rPr>
          <w:rFonts w:eastAsia="Calibri"/>
          <w:lang w:eastAsia="en-US"/>
        </w:rPr>
        <w:tab/>
        <w:t>U ukupno 3 295 uzoraka voda (uključivo vode za ljudsku potrošnju, površinske i podzemne) analizirano je ukupno 36 245 parametara (tvari uključenih u popis postojanih organskih onečišćujućih tvari u Republici Hrvatskoj).</w:t>
      </w:r>
    </w:p>
    <w:p w14:paraId="55AEC9F6" w14:textId="77777777" w:rsidR="005312BF" w:rsidRPr="004F73CA" w:rsidRDefault="005312BF" w:rsidP="005312BF">
      <w:pPr>
        <w:spacing w:after="160" w:line="259" w:lineRule="auto"/>
        <w:jc w:val="both"/>
        <w:rPr>
          <w:rFonts w:eastAsia="Calibri"/>
          <w:lang w:eastAsia="en-US"/>
        </w:rPr>
      </w:pPr>
      <w:r w:rsidRPr="004F73CA">
        <w:rPr>
          <w:rFonts w:eastAsia="Calibri"/>
          <w:lang w:eastAsia="en-US"/>
        </w:rPr>
        <w:t>o</w:t>
      </w:r>
      <w:r w:rsidRPr="004F73CA">
        <w:rPr>
          <w:rFonts w:eastAsia="Calibri"/>
          <w:lang w:eastAsia="en-US"/>
        </w:rPr>
        <w:tab/>
        <w:t>Ukupno je 2172 uzoraka voda ocijenjeno kao ispravno, 1121 kao neispravan, te su 2 rezultata ocijenjena kao neutvrđena radi nepropisane maksimalno dozvoljene koncentracije u predmetnoj vrsti analiziranog uzorka.</w:t>
      </w:r>
    </w:p>
    <w:p w14:paraId="2D86D10A" w14:textId="77777777" w:rsidR="005312BF" w:rsidRPr="004F73CA" w:rsidRDefault="005312BF" w:rsidP="005312BF">
      <w:pPr>
        <w:spacing w:after="160" w:line="259" w:lineRule="auto"/>
        <w:jc w:val="both"/>
        <w:rPr>
          <w:rFonts w:eastAsia="Calibri"/>
          <w:lang w:eastAsia="en-US"/>
        </w:rPr>
      </w:pPr>
      <w:r w:rsidRPr="004F73CA">
        <w:rPr>
          <w:rFonts w:eastAsia="Calibri"/>
          <w:lang w:eastAsia="en-US"/>
        </w:rPr>
        <w:t>•</w:t>
      </w:r>
      <w:r w:rsidRPr="004F73CA">
        <w:rPr>
          <w:rFonts w:eastAsia="Calibri"/>
          <w:lang w:eastAsia="en-US"/>
        </w:rPr>
        <w:tab/>
        <w:t>U ukupno 933 uzoraka hrane (uzorci voća i povrća, žitarica, te konditorski proizvodi) analizirano je ukupno 10 263 parametara (tvari uključenih u popis postojanih organskih onečišćujućih tvari u Republici Hrvatskoj).</w:t>
      </w:r>
    </w:p>
    <w:p w14:paraId="280E2AFA" w14:textId="77777777" w:rsidR="005312BF" w:rsidRPr="004F73CA" w:rsidRDefault="005312BF" w:rsidP="005312BF">
      <w:pPr>
        <w:spacing w:after="160" w:line="259" w:lineRule="auto"/>
        <w:jc w:val="both"/>
        <w:rPr>
          <w:rFonts w:eastAsia="Calibri"/>
          <w:lang w:eastAsia="en-US"/>
        </w:rPr>
      </w:pPr>
      <w:r w:rsidRPr="004F73CA">
        <w:rPr>
          <w:rFonts w:eastAsia="Calibri"/>
          <w:lang w:eastAsia="en-US"/>
        </w:rPr>
        <w:t>•</w:t>
      </w:r>
      <w:r w:rsidRPr="004F73CA">
        <w:rPr>
          <w:rFonts w:eastAsia="Calibri"/>
          <w:lang w:eastAsia="en-US"/>
        </w:rPr>
        <w:tab/>
        <w:t>Ukupno je 722 uzoraka hrane ocijenjeno kao ispravno, 44 kao neispravan, te je 167 rezultata ocijenjeno kao neutvrđeno radi nepropisane maksimalno dozvoljene koncentracije u predmetnoj vrsti analiziranog uzorka.</w:t>
      </w:r>
    </w:p>
    <w:p w14:paraId="2F2D5138" w14:textId="69D9E227" w:rsidR="005312BF" w:rsidRDefault="005312BF" w:rsidP="005312BF">
      <w:pPr>
        <w:spacing w:after="160" w:line="259" w:lineRule="auto"/>
        <w:jc w:val="both"/>
      </w:pPr>
    </w:p>
    <w:p w14:paraId="6B38A96A" w14:textId="043AC716" w:rsidR="00317EE7" w:rsidRPr="00AC59B4" w:rsidRDefault="00317EE7" w:rsidP="007E5335">
      <w:pPr>
        <w:pStyle w:val="Naslov1"/>
        <w:numPr>
          <w:ilvl w:val="0"/>
          <w:numId w:val="8"/>
        </w:numPr>
        <w:spacing w:before="100" w:beforeAutospacing="1" w:after="100" w:afterAutospacing="1"/>
        <w:ind w:left="714" w:hanging="357"/>
        <w:jc w:val="center"/>
        <w:rPr>
          <w:rFonts w:ascii="Times New Roman" w:hAnsi="Times New Roman" w:cs="Times New Roman"/>
          <w:b w:val="0"/>
          <w:sz w:val="28"/>
          <w:szCs w:val="28"/>
        </w:rPr>
      </w:pPr>
      <w:bookmarkStart w:id="29" w:name="_Toc8637317"/>
      <w:r w:rsidRPr="00AC59B4">
        <w:rPr>
          <w:rFonts w:ascii="Times New Roman" w:hAnsi="Times New Roman" w:cs="Times New Roman"/>
          <w:b w:val="0"/>
          <w:sz w:val="28"/>
          <w:szCs w:val="28"/>
        </w:rPr>
        <w:t>ZAKLJUČAK</w:t>
      </w:r>
      <w:bookmarkEnd w:id="29"/>
    </w:p>
    <w:p w14:paraId="59572428" w14:textId="653D08DF" w:rsidR="00317EE7" w:rsidRDefault="00317EE7" w:rsidP="00317EE7">
      <w:pPr>
        <w:spacing w:after="120"/>
        <w:jc w:val="both"/>
      </w:pPr>
      <w:r>
        <w:t xml:space="preserve">U odnosu na rezultate </w:t>
      </w:r>
      <w:r w:rsidR="0079054A">
        <w:t xml:space="preserve">iz </w:t>
      </w:r>
      <w:r>
        <w:t>prethodn</w:t>
      </w:r>
      <w:r w:rsidR="0079054A">
        <w:t xml:space="preserve">og </w:t>
      </w:r>
      <w:r>
        <w:t>izvještajno</w:t>
      </w:r>
      <w:r w:rsidR="0079054A">
        <w:t>g</w:t>
      </w:r>
      <w:r>
        <w:t xml:space="preserve"> razdoblj</w:t>
      </w:r>
      <w:r w:rsidR="0079054A">
        <w:t>a</w:t>
      </w:r>
      <w:r>
        <w:t xml:space="preserve"> uočeno je poboljšanje u smislu samih rezultata provedbe Konvencije i poduzetih mjera</w:t>
      </w:r>
      <w:r w:rsidR="001B18DF">
        <w:t xml:space="preserve"> </w:t>
      </w:r>
      <w:r>
        <w:t xml:space="preserve">smanjivanja koncentracije </w:t>
      </w:r>
      <w:proofErr w:type="spellStart"/>
      <w:r>
        <w:t>POPs</w:t>
      </w:r>
      <w:proofErr w:type="spellEnd"/>
      <w:r>
        <w:t>-ova, odnosno PCB-a preostaloga za zbrinuti.</w:t>
      </w:r>
    </w:p>
    <w:p w14:paraId="7F12F5CF" w14:textId="6F9695DB" w:rsidR="00317EE7" w:rsidRPr="00CB4024" w:rsidRDefault="00317EE7" w:rsidP="00317EE7">
      <w:pPr>
        <w:spacing w:after="120"/>
        <w:jc w:val="both"/>
        <w:rPr>
          <w:lang w:val="pl-PL"/>
        </w:rPr>
      </w:pPr>
      <w:r w:rsidRPr="00CB4024">
        <w:rPr>
          <w:rFonts w:eastAsia="Calibri"/>
          <w:lang w:eastAsia="en-US"/>
        </w:rPr>
        <w:t>Obveze posjednika opreme koja sadrži PCB propisane Pravilnikom samo su djelomično provedene u razdoblju od siječnja 2008. do prosinca 201</w:t>
      </w:r>
      <w:r w:rsidR="00A13CCB">
        <w:rPr>
          <w:rFonts w:eastAsia="Calibri"/>
          <w:lang w:eastAsia="en-US"/>
        </w:rPr>
        <w:t>7</w:t>
      </w:r>
      <w:r w:rsidRPr="00CB4024">
        <w:rPr>
          <w:rFonts w:eastAsia="Calibri"/>
          <w:lang w:eastAsia="en-US"/>
        </w:rPr>
        <w:t xml:space="preserve">. godine, no razvidan je trend kumulativnog povećanja. </w:t>
      </w:r>
    </w:p>
    <w:p w14:paraId="013909F5" w14:textId="77777777" w:rsidR="00A13CCB" w:rsidRDefault="00A13CCB" w:rsidP="00A13CCB">
      <w:pPr>
        <w:spacing w:after="120"/>
        <w:jc w:val="both"/>
        <w:rPr>
          <w:lang w:val="pl-PL"/>
        </w:rPr>
      </w:pPr>
      <w:r w:rsidRPr="00CB4024">
        <w:rPr>
          <w:lang w:val="pl-PL"/>
        </w:rPr>
        <w:t>Neispunjavanje obveza posjednika koji su prepoznali svoju obvezu uzrokovano je najvećim dijelom gospodarskom situacijom i nedostatkom financijskih sredstava za zamjenu i zbrinjavanje opreme koja sadrži PCB. Vjerojatnost je da postoji i određeni broj tvrtki koje nisu prepoznale vlastite odgovornos</w:t>
      </w:r>
      <w:r>
        <w:rPr>
          <w:lang w:val="pl-PL"/>
        </w:rPr>
        <w:t>ti i obveze sukladno Pravilniku</w:t>
      </w:r>
      <w:r w:rsidRPr="00CB4024">
        <w:rPr>
          <w:lang w:val="pl-PL"/>
        </w:rPr>
        <w:t xml:space="preserve"> te se još ne nalaze na popisu posjednika.</w:t>
      </w:r>
    </w:p>
    <w:p w14:paraId="10BB64B1" w14:textId="26B060FB" w:rsidR="00317EE7" w:rsidRDefault="00317EE7" w:rsidP="00317EE7">
      <w:pPr>
        <w:spacing w:after="120"/>
        <w:jc w:val="both"/>
        <w:rPr>
          <w:lang w:val="pl-PL"/>
        </w:rPr>
      </w:pPr>
      <w:r>
        <w:rPr>
          <w:lang w:val="pl-PL"/>
        </w:rPr>
        <w:t>Radi se na povećanju opsega praćenja stanja, no i dalje nema znatnog poboljšanja vezano uz unaprijeđenje biomonitoringa.</w:t>
      </w:r>
    </w:p>
    <w:p w14:paraId="57853C59" w14:textId="08E9E086" w:rsidR="000C21F8" w:rsidRDefault="000C21F8" w:rsidP="000C21F8">
      <w:pPr>
        <w:spacing w:after="120"/>
        <w:jc w:val="both"/>
        <w:rPr>
          <w:lang w:val="pl-PL"/>
        </w:rPr>
      </w:pPr>
      <w:r w:rsidRPr="000C21F8">
        <w:rPr>
          <w:lang w:val="pl-PL"/>
        </w:rPr>
        <w:t>U lipnju 2013. godine je od strane Fonda za globalni okoliš (GEF) odobren projekt za financiranje aktivnosti koje su potrebne za izradu revidiranog NIP-a te je Ministarstvo zaštite okoliša i prirode kao korisnik i glavni nositelj projekta u suradnji s Programom Ujedinjenih naroda za okoliš (UNEP) kao provedbenom agencijom i ostalim nadležnim tijelima izradilo Drugi NIP-a. Vlada Republike Hrvatske</w:t>
      </w:r>
      <w:r w:rsidR="009F19D7">
        <w:rPr>
          <w:lang w:val="pl-PL"/>
        </w:rPr>
        <w:t xml:space="preserve"> je</w:t>
      </w:r>
      <w:r w:rsidRPr="000C21F8">
        <w:rPr>
          <w:lang w:val="pl-PL"/>
        </w:rPr>
        <w:t xml:space="preserve">, na sjednici održanoj 8. lipnja 2016. godine, donijela Odluku o prihvaćanju Drugog nacionalnog plana za provedbu Stockholmske konvencije o postojanim organskim onečišćujućim tvarima u Republici Hrvatskoj (Narodne novine, broj 62/16). Drugi NIP dostavljen je Tajništvu Konvencije 28. studenog 2016. </w:t>
      </w:r>
      <w:r>
        <w:rPr>
          <w:lang w:val="pl-PL"/>
        </w:rPr>
        <w:t>g</w:t>
      </w:r>
      <w:r w:rsidRPr="000C21F8">
        <w:rPr>
          <w:lang w:val="pl-PL"/>
        </w:rPr>
        <w:t>odine</w:t>
      </w:r>
      <w:r>
        <w:rPr>
          <w:lang w:val="pl-PL"/>
        </w:rPr>
        <w:t>.</w:t>
      </w:r>
      <w:r w:rsidRPr="000C21F8">
        <w:rPr>
          <w:lang w:val="pl-PL"/>
        </w:rPr>
        <w:t xml:space="preserve"> </w:t>
      </w:r>
      <w:r>
        <w:rPr>
          <w:lang w:val="pl-PL"/>
        </w:rPr>
        <w:t>U drugom</w:t>
      </w:r>
      <w:r w:rsidRPr="000C21F8">
        <w:rPr>
          <w:lang w:val="pl-PL"/>
        </w:rPr>
        <w:t xml:space="preserve"> NIP-a predložene su određene aktivnosti u kratkoročnom i dugoročnom razdoblju.</w:t>
      </w:r>
    </w:p>
    <w:p w14:paraId="184269FA" w14:textId="076F7887" w:rsidR="00AC59B4" w:rsidRPr="000C21F8" w:rsidRDefault="00AC59B4" w:rsidP="000C21F8">
      <w:pPr>
        <w:spacing w:after="120"/>
        <w:jc w:val="both"/>
        <w:rPr>
          <w:lang w:val="pl-PL"/>
        </w:rPr>
      </w:pPr>
      <w:r>
        <w:rPr>
          <w:lang w:val="pl-PL"/>
        </w:rPr>
        <w:t xml:space="preserve">Tijekom procesa Revizije NIP-a </w:t>
      </w:r>
      <w:r w:rsidR="008E66C7">
        <w:rPr>
          <w:lang w:val="pl-PL"/>
        </w:rPr>
        <w:t>uočena je ne</w:t>
      </w:r>
      <w:r w:rsidRPr="00AC59B4">
        <w:rPr>
          <w:lang w:val="pl-PL"/>
        </w:rPr>
        <w:t xml:space="preserve">zadovoljavajuća informiranost o novim POPs-ovima, izvorima, tokovima i štetnosti. </w:t>
      </w:r>
      <w:r>
        <w:rPr>
          <w:lang w:val="pl-PL"/>
        </w:rPr>
        <w:t>Jedan od važnih ciljeva organiziranih</w:t>
      </w:r>
      <w:r w:rsidRPr="00AC59B4">
        <w:rPr>
          <w:lang w:val="pl-PL"/>
        </w:rPr>
        <w:t xml:space="preserve"> radionic</w:t>
      </w:r>
      <w:r>
        <w:rPr>
          <w:lang w:val="pl-PL"/>
        </w:rPr>
        <w:t>a bio je</w:t>
      </w:r>
      <w:r w:rsidRPr="00AC59B4">
        <w:rPr>
          <w:lang w:val="pl-PL"/>
        </w:rPr>
        <w:t xml:space="preserve"> jačanje svijesti šire javnosti, odnosno, pojedinih ciljnih skupina o štetnim učincima na zdravlje i okoliš kao i o gospodarenju otpadom na okolišno prihvatljiv način jer otpad koji sadrži </w:t>
      </w:r>
      <w:r>
        <w:rPr>
          <w:lang w:val="pl-PL"/>
        </w:rPr>
        <w:t>POPs-ove</w:t>
      </w:r>
      <w:r w:rsidRPr="00AC59B4">
        <w:rPr>
          <w:lang w:val="pl-PL"/>
        </w:rPr>
        <w:t xml:space="preserve"> predstavlja opasan otpad. </w:t>
      </w:r>
    </w:p>
    <w:p w14:paraId="59183DCE" w14:textId="77777777" w:rsidR="00A13CCB" w:rsidRDefault="00A13CCB" w:rsidP="00317EE7">
      <w:pPr>
        <w:spacing w:after="120"/>
        <w:jc w:val="both"/>
        <w:rPr>
          <w:lang w:val="pl-PL"/>
        </w:rPr>
      </w:pPr>
    </w:p>
    <w:p w14:paraId="626B81C0" w14:textId="5F753353" w:rsidR="00317EE7" w:rsidRPr="006F09EF" w:rsidRDefault="006D6CEA" w:rsidP="006F09EF">
      <w:pPr>
        <w:pStyle w:val="Naslov1"/>
        <w:numPr>
          <w:ilvl w:val="0"/>
          <w:numId w:val="8"/>
        </w:numPr>
        <w:spacing w:before="100" w:beforeAutospacing="1" w:after="100" w:afterAutospacing="1"/>
        <w:ind w:left="709" w:hanging="352"/>
        <w:jc w:val="center"/>
        <w:rPr>
          <w:rFonts w:ascii="Times New Roman" w:hAnsi="Times New Roman" w:cs="Times New Roman"/>
          <w:b w:val="0"/>
          <w:sz w:val="28"/>
          <w:szCs w:val="28"/>
        </w:rPr>
      </w:pPr>
      <w:bookmarkStart w:id="30" w:name="_Toc8637318"/>
      <w:r w:rsidRPr="006F09EF">
        <w:rPr>
          <w:rFonts w:ascii="Times New Roman" w:hAnsi="Times New Roman" w:cs="Times New Roman"/>
          <w:b w:val="0"/>
          <w:sz w:val="28"/>
          <w:szCs w:val="28"/>
        </w:rPr>
        <w:lastRenderedPageBreak/>
        <w:t>PLANOVI ZA SLJEDEĆE DVOGODIŠNJE RAZDOBLJE</w:t>
      </w:r>
      <w:bookmarkEnd w:id="30"/>
    </w:p>
    <w:p w14:paraId="1EB44798" w14:textId="0A7106C8" w:rsidR="008220A3" w:rsidRDefault="008220A3" w:rsidP="008220A3">
      <w:pPr>
        <w:jc w:val="both"/>
      </w:pPr>
      <w:r w:rsidRPr="008220A3">
        <w:t xml:space="preserve">Ministarstvo zaštite okoliša i </w:t>
      </w:r>
      <w:r w:rsidR="00AC59B4">
        <w:t>energetike</w:t>
      </w:r>
      <w:r w:rsidRPr="008220A3">
        <w:t xml:space="preserve"> kao nacionalna kontaktna točka Stockholmske konvencije o postojanim organskim onečišćujućim tvarima</w:t>
      </w:r>
      <w:r w:rsidR="00AC59B4">
        <w:t xml:space="preserve"> u Republici Hrvatskoj će i dalje raditi na </w:t>
      </w:r>
      <w:r w:rsidR="00AC59B4" w:rsidRPr="00AC59B4">
        <w:t>jačanj</w:t>
      </w:r>
      <w:r w:rsidR="00AC59B4">
        <w:t>u</w:t>
      </w:r>
      <w:r w:rsidR="00AC59B4" w:rsidRPr="00AC59B4">
        <w:t xml:space="preserve"> svijesti šire javnosti, odnosno, pojedinih ciljnih skupina o štetnim učincima</w:t>
      </w:r>
      <w:r w:rsidR="00AC59B4">
        <w:t xml:space="preserve"> </w:t>
      </w:r>
      <w:proofErr w:type="spellStart"/>
      <w:r w:rsidR="00AC59B4">
        <w:t>POPs</w:t>
      </w:r>
      <w:proofErr w:type="spellEnd"/>
      <w:r w:rsidR="00AC59B4">
        <w:t>-ova</w:t>
      </w:r>
      <w:r w:rsidR="00AC59B4" w:rsidRPr="00AC59B4">
        <w:t xml:space="preserve"> na zdravlje i okoliš kao i o gospodarenju otpadom na okolišno prihvatljiv način jer otpad koji sadrži </w:t>
      </w:r>
      <w:proofErr w:type="spellStart"/>
      <w:r w:rsidR="00AC59B4" w:rsidRPr="00AC59B4">
        <w:t>POPs</w:t>
      </w:r>
      <w:proofErr w:type="spellEnd"/>
      <w:r w:rsidR="00AC59B4" w:rsidRPr="00AC59B4">
        <w:t>-ove predstavlja opasan otpad.</w:t>
      </w:r>
    </w:p>
    <w:p w14:paraId="2D1DE6F2" w14:textId="04B864F2" w:rsidR="00E7521A" w:rsidRDefault="00E7521A" w:rsidP="008220A3">
      <w:pPr>
        <w:jc w:val="both"/>
      </w:pPr>
    </w:p>
    <w:p w14:paraId="310538A9" w14:textId="553DFA61" w:rsidR="00E7521A" w:rsidRDefault="00E7521A" w:rsidP="008220A3">
      <w:pPr>
        <w:jc w:val="both"/>
      </w:pPr>
      <w:r>
        <w:t>Nastavit će se provedba aktivnosti predloženih u Drugom NIP-u.</w:t>
      </w:r>
      <w:r w:rsidR="001752BE">
        <w:t xml:space="preserve"> P</w:t>
      </w:r>
      <w:r w:rsidR="001752BE" w:rsidRPr="001752BE">
        <w:t>otreban</w:t>
      </w:r>
      <w:r w:rsidR="001752BE">
        <w:t xml:space="preserve"> je</w:t>
      </w:r>
      <w:r w:rsidR="001752BE" w:rsidRPr="001752BE">
        <w:t xml:space="preserve"> dodatan angažman na edukaciji subjekata radi poboljšanja ispunjavanja preuzetih obveza u izvršavanju zamjene i zbrinjavanja opreme koja sadrži </w:t>
      </w:r>
      <w:proofErr w:type="spellStart"/>
      <w:r w:rsidR="001752BE" w:rsidRPr="001752BE">
        <w:t>POPs</w:t>
      </w:r>
      <w:proofErr w:type="spellEnd"/>
      <w:r w:rsidR="001752BE" w:rsidRPr="001752BE">
        <w:t>-ove</w:t>
      </w:r>
      <w:r w:rsidR="001752BE">
        <w:t>.</w:t>
      </w:r>
    </w:p>
    <w:p w14:paraId="3250DCFE" w14:textId="77FF81D4" w:rsidR="00E7521A" w:rsidRDefault="00E7521A" w:rsidP="008220A3">
      <w:pPr>
        <w:jc w:val="both"/>
      </w:pPr>
    </w:p>
    <w:p w14:paraId="73984E11" w14:textId="3A62B7B8" w:rsidR="00B13D0F" w:rsidRDefault="00E7521A" w:rsidP="00B13D0F">
      <w:pPr>
        <w:spacing w:after="120"/>
        <w:jc w:val="both"/>
      </w:pPr>
      <w:r>
        <w:t>J</w:t>
      </w:r>
      <w:r w:rsidR="00B13D0F" w:rsidRPr="00CB4024">
        <w:t>ačanj</w:t>
      </w:r>
      <w:r>
        <w:t>e</w:t>
      </w:r>
      <w:r w:rsidR="00B13D0F" w:rsidRPr="00CB4024">
        <w:t xml:space="preserve"> kapaciteta i koordinacijske funkcije u provedbi komplementarnih međunarodnih okolišnih sporazuma/ugovora, koji osim </w:t>
      </w:r>
      <w:r w:rsidR="000E29EE">
        <w:t xml:space="preserve">predmetne Konvencije </w:t>
      </w:r>
      <w:r w:rsidR="00B13D0F" w:rsidRPr="00CB4024">
        <w:t xml:space="preserve">uključuju </w:t>
      </w:r>
      <w:r w:rsidR="000E29EE">
        <w:t>K</w:t>
      </w:r>
      <w:r w:rsidR="00B13D0F" w:rsidRPr="00CB4024">
        <w:t>onvenciju o nadzoru prekograničnog prometa opasnog otpada i njegovu odlaganju</w:t>
      </w:r>
      <w:r w:rsidR="008F4E48">
        <w:t xml:space="preserve">, </w:t>
      </w:r>
      <w:proofErr w:type="spellStart"/>
      <w:r w:rsidR="008F4E48">
        <w:t>Baselsku</w:t>
      </w:r>
      <w:proofErr w:type="spellEnd"/>
      <w:r w:rsidR="008F4E48">
        <w:t xml:space="preserve"> konvenciju</w:t>
      </w:r>
      <w:r w:rsidR="00B13D0F" w:rsidRPr="00CB4024">
        <w:t xml:space="preserve"> koja regulira pitanja prekogranič</w:t>
      </w:r>
      <w:r w:rsidR="000E29EE">
        <w:t xml:space="preserve">nog prometa opasnog otpada kao i </w:t>
      </w:r>
      <w:r w:rsidR="00B13D0F">
        <w:t>Rot</w:t>
      </w:r>
      <w:r w:rsidR="00B13D0F" w:rsidRPr="00CB4024">
        <w:t xml:space="preserve">erdamsku konvenciju o postupku prethodnog pristanka za određene opasne kemikalije i pesticide u međunarodnoj trgovini koja se odnosi na sigurno </w:t>
      </w:r>
      <w:r w:rsidR="00182886">
        <w:t xml:space="preserve">gospodarenje </w:t>
      </w:r>
      <w:r w:rsidR="00B13D0F" w:rsidRPr="00CB4024">
        <w:t xml:space="preserve"> kemikalijama te Protokol o </w:t>
      </w:r>
      <w:proofErr w:type="spellStart"/>
      <w:r w:rsidR="00182886">
        <w:t>POP</w:t>
      </w:r>
      <w:r w:rsidR="00A13CCB">
        <w:t>s</w:t>
      </w:r>
      <w:proofErr w:type="spellEnd"/>
      <w:r w:rsidR="00182886">
        <w:t>-ovima uz LRTAP konvenciju</w:t>
      </w:r>
      <w:r w:rsidR="00B13D0F" w:rsidRPr="00CB4024">
        <w:t xml:space="preserve">, kao i blisku povezanost sa Strateškim pristupom međunarodnog upravljanja kemikalijama (SAICM – om koji nije </w:t>
      </w:r>
      <w:r w:rsidR="00B13D0F">
        <w:t xml:space="preserve">pravno </w:t>
      </w:r>
      <w:r w:rsidR="00B13D0F" w:rsidRPr="00CB4024">
        <w:t>obvezujući međunarodni dokument).</w:t>
      </w:r>
    </w:p>
    <w:p w14:paraId="782ED420" w14:textId="2E06CB14" w:rsidR="00E7521A" w:rsidRDefault="00E7521A" w:rsidP="00E7521A">
      <w:pPr>
        <w:spacing w:after="120"/>
        <w:jc w:val="both"/>
      </w:pPr>
      <w:r>
        <w:t>Daljnje j</w:t>
      </w:r>
      <w:r w:rsidRPr="00E7521A">
        <w:t xml:space="preserve">ačanje svijesti o štetnosti </w:t>
      </w:r>
      <w:proofErr w:type="spellStart"/>
      <w:r w:rsidRPr="00E7521A">
        <w:t>POPs</w:t>
      </w:r>
      <w:proofErr w:type="spellEnd"/>
      <w:r w:rsidRPr="00E7521A">
        <w:t xml:space="preserve">-ova i mogućnostima unaprjeđenja postojećeg sustava praćenja/monitoringa </w:t>
      </w:r>
      <w:proofErr w:type="spellStart"/>
      <w:r w:rsidRPr="00E7521A">
        <w:t>POPs</w:t>
      </w:r>
      <w:proofErr w:type="spellEnd"/>
      <w:r w:rsidRPr="00E7521A">
        <w:t>-ova u okolišu. U tu svrhu je i dalje neophodno raditi na jačanju međuresorne suradnje i suradnje sa znanstveno-istraživačkim institucijama kako bi se povećao broj analiza i dobilo što više podataka za kvalitetnije praćenje učinkovitosti provedbe same Konvencije.</w:t>
      </w:r>
    </w:p>
    <w:p w14:paraId="55A97C61" w14:textId="1735C96B" w:rsidR="00C3624F" w:rsidRDefault="00C3624F" w:rsidP="00E7521A">
      <w:pPr>
        <w:spacing w:after="120"/>
        <w:jc w:val="both"/>
      </w:pPr>
      <w:r>
        <w:t xml:space="preserve">Cilj je izraditi i Treći NIP koji će uz ažuriranje inventara uključiti i nove </w:t>
      </w:r>
      <w:proofErr w:type="spellStart"/>
      <w:r>
        <w:t>POPs</w:t>
      </w:r>
      <w:proofErr w:type="spellEnd"/>
      <w:r>
        <w:t>-ove koji su uključeni u Dodatke Konvenciji na COP-7 i COP-8 te NIP dostaviti Tajništvu Konvencije.</w:t>
      </w:r>
    </w:p>
    <w:p w14:paraId="057CCBB1" w14:textId="32FD156D" w:rsidR="00C3624F" w:rsidRPr="00E7521A" w:rsidRDefault="00C3624F" w:rsidP="00C3624F">
      <w:pPr>
        <w:spacing w:after="120"/>
        <w:jc w:val="both"/>
      </w:pPr>
      <w:r>
        <w:t>Temeljem navedenoga će</w:t>
      </w:r>
      <w:r w:rsidR="004F73CA">
        <w:t xml:space="preserve"> biti</w:t>
      </w:r>
      <w:r>
        <w:t xml:space="preserve"> nužno provesti detaljniju analiza i utvrditi stanje u Republici Hrvatskoj s obzirom na novo uključene </w:t>
      </w:r>
      <w:proofErr w:type="spellStart"/>
      <w:r>
        <w:t>POPs</w:t>
      </w:r>
      <w:proofErr w:type="spellEnd"/>
      <w:r>
        <w:t xml:space="preserve">-ove u 2015. i 2017. godini kao i nove potencijalne </w:t>
      </w:r>
      <w:proofErr w:type="spellStart"/>
      <w:r>
        <w:t>POPs</w:t>
      </w:r>
      <w:proofErr w:type="spellEnd"/>
      <w:r>
        <w:t>-ove koji su u procesu razmatranja.</w:t>
      </w:r>
    </w:p>
    <w:sectPr w:rsidR="00C3624F" w:rsidRPr="00E7521A" w:rsidSect="00A02485">
      <w:headerReference w:type="default" r:id="rId35"/>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B8E2F" w14:textId="77777777" w:rsidR="00E54301" w:rsidRDefault="00E54301">
      <w:r>
        <w:separator/>
      </w:r>
    </w:p>
  </w:endnote>
  <w:endnote w:type="continuationSeparator" w:id="0">
    <w:p w14:paraId="446853B8" w14:textId="77777777" w:rsidR="00E54301" w:rsidRDefault="00E54301">
      <w:r>
        <w:continuationSeparator/>
      </w:r>
    </w:p>
  </w:endnote>
  <w:endnote w:type="continuationNotice" w:id="1">
    <w:p w14:paraId="1FBB4182" w14:textId="77777777" w:rsidR="00E54301" w:rsidRDefault="00E54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ZO kapitala">
    <w:altName w:val="Times New Roman"/>
    <w:charset w:val="00"/>
    <w:family w:val="auto"/>
    <w:pitch w:val="variable"/>
    <w:sig w:usb0="8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JLCBI N+ Minion Pro">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532388"/>
      <w:docPartObj>
        <w:docPartGallery w:val="Page Numbers (Bottom of Page)"/>
        <w:docPartUnique/>
      </w:docPartObj>
    </w:sdtPr>
    <w:sdtContent>
      <w:p w14:paraId="470CD35D" w14:textId="2E9D3B32" w:rsidR="00A02485" w:rsidRDefault="00A02485">
        <w:pPr>
          <w:pStyle w:val="Podnoje"/>
          <w:jc w:val="right"/>
        </w:pPr>
        <w:r>
          <w:fldChar w:fldCharType="begin"/>
        </w:r>
        <w:r>
          <w:instrText>PAGE   \* MERGEFORMAT</w:instrText>
        </w:r>
        <w:r>
          <w:fldChar w:fldCharType="separate"/>
        </w:r>
        <w:r>
          <w:rPr>
            <w:noProof/>
          </w:rPr>
          <w:t>0</w:t>
        </w:r>
        <w:r>
          <w:fldChar w:fldCharType="end"/>
        </w:r>
      </w:p>
    </w:sdtContent>
  </w:sdt>
  <w:p w14:paraId="4312FB44" w14:textId="77777777" w:rsidR="00A02485" w:rsidRDefault="00A0248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0032C" w14:textId="77777777" w:rsidR="00E54301" w:rsidRDefault="00E54301">
      <w:r>
        <w:separator/>
      </w:r>
    </w:p>
  </w:footnote>
  <w:footnote w:type="continuationSeparator" w:id="0">
    <w:p w14:paraId="2C718783" w14:textId="77777777" w:rsidR="00E54301" w:rsidRDefault="00E54301">
      <w:r>
        <w:continuationSeparator/>
      </w:r>
    </w:p>
  </w:footnote>
  <w:footnote w:type="continuationNotice" w:id="1">
    <w:p w14:paraId="371C7A15" w14:textId="77777777" w:rsidR="00E54301" w:rsidRDefault="00E543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5CD6" w14:textId="77777777" w:rsidR="00A02485" w:rsidRDefault="00A0248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DC3CA"/>
    <w:multiLevelType w:val="hybridMultilevel"/>
    <w:tmpl w:val="26D77E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063AA"/>
    <w:multiLevelType w:val="multilevel"/>
    <w:tmpl w:val="7B86268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E87EB9"/>
    <w:multiLevelType w:val="hybridMultilevel"/>
    <w:tmpl w:val="8F484098"/>
    <w:lvl w:ilvl="0" w:tplc="041A000F">
      <w:start w:val="1"/>
      <w:numFmt w:val="decimal"/>
      <w:lvlText w:val="%1."/>
      <w:lvlJc w:val="left"/>
      <w:pPr>
        <w:ind w:left="3192" w:hanging="360"/>
      </w:pPr>
    </w:lvl>
    <w:lvl w:ilvl="1" w:tplc="041A0019" w:tentative="1">
      <w:start w:val="1"/>
      <w:numFmt w:val="lowerLetter"/>
      <w:lvlText w:val="%2."/>
      <w:lvlJc w:val="left"/>
      <w:pPr>
        <w:ind w:left="3912" w:hanging="360"/>
      </w:pPr>
    </w:lvl>
    <w:lvl w:ilvl="2" w:tplc="041A001B" w:tentative="1">
      <w:start w:val="1"/>
      <w:numFmt w:val="lowerRoman"/>
      <w:lvlText w:val="%3."/>
      <w:lvlJc w:val="right"/>
      <w:pPr>
        <w:ind w:left="4632" w:hanging="180"/>
      </w:pPr>
    </w:lvl>
    <w:lvl w:ilvl="3" w:tplc="041A000F" w:tentative="1">
      <w:start w:val="1"/>
      <w:numFmt w:val="decimal"/>
      <w:lvlText w:val="%4."/>
      <w:lvlJc w:val="left"/>
      <w:pPr>
        <w:ind w:left="5352" w:hanging="360"/>
      </w:pPr>
    </w:lvl>
    <w:lvl w:ilvl="4" w:tplc="041A0019" w:tentative="1">
      <w:start w:val="1"/>
      <w:numFmt w:val="lowerLetter"/>
      <w:lvlText w:val="%5."/>
      <w:lvlJc w:val="left"/>
      <w:pPr>
        <w:ind w:left="6072" w:hanging="360"/>
      </w:pPr>
    </w:lvl>
    <w:lvl w:ilvl="5" w:tplc="041A001B" w:tentative="1">
      <w:start w:val="1"/>
      <w:numFmt w:val="lowerRoman"/>
      <w:lvlText w:val="%6."/>
      <w:lvlJc w:val="right"/>
      <w:pPr>
        <w:ind w:left="6792" w:hanging="180"/>
      </w:pPr>
    </w:lvl>
    <w:lvl w:ilvl="6" w:tplc="041A000F" w:tentative="1">
      <w:start w:val="1"/>
      <w:numFmt w:val="decimal"/>
      <w:lvlText w:val="%7."/>
      <w:lvlJc w:val="left"/>
      <w:pPr>
        <w:ind w:left="7512" w:hanging="360"/>
      </w:pPr>
    </w:lvl>
    <w:lvl w:ilvl="7" w:tplc="041A0019" w:tentative="1">
      <w:start w:val="1"/>
      <w:numFmt w:val="lowerLetter"/>
      <w:lvlText w:val="%8."/>
      <w:lvlJc w:val="left"/>
      <w:pPr>
        <w:ind w:left="8232" w:hanging="360"/>
      </w:pPr>
    </w:lvl>
    <w:lvl w:ilvl="8" w:tplc="041A001B" w:tentative="1">
      <w:start w:val="1"/>
      <w:numFmt w:val="lowerRoman"/>
      <w:lvlText w:val="%9."/>
      <w:lvlJc w:val="right"/>
      <w:pPr>
        <w:ind w:left="8952" w:hanging="180"/>
      </w:pPr>
    </w:lvl>
  </w:abstractNum>
  <w:abstractNum w:abstractNumId="3" w15:restartNumberingAfterBreak="0">
    <w:nsid w:val="050C4C24"/>
    <w:multiLevelType w:val="multilevel"/>
    <w:tmpl w:val="C1E86298"/>
    <w:lvl w:ilvl="0">
      <w:start w:val="3"/>
      <w:numFmt w:val="upperRoman"/>
      <w:pStyle w:val="AZO1"/>
      <w:lvlText w:val="%1."/>
      <w:lvlJc w:val="right"/>
      <w:pPr>
        <w:ind w:left="36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797"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15:restartNumberingAfterBreak="0">
    <w:nsid w:val="054C635F"/>
    <w:multiLevelType w:val="hybridMultilevel"/>
    <w:tmpl w:val="F01AA1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A4B99"/>
    <w:multiLevelType w:val="hybridMultilevel"/>
    <w:tmpl w:val="145691A4"/>
    <w:lvl w:ilvl="0" w:tplc="041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9BA6476">
      <w:start w:val="1"/>
      <w:numFmt w:val="decimal"/>
      <w:lvlText w:val="%6."/>
      <w:lvlJc w:val="center"/>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967E4"/>
    <w:multiLevelType w:val="hybridMultilevel"/>
    <w:tmpl w:val="E50A65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260429"/>
    <w:multiLevelType w:val="multilevel"/>
    <w:tmpl w:val="A2C051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3D41C2"/>
    <w:multiLevelType w:val="hybridMultilevel"/>
    <w:tmpl w:val="A4108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795C6D"/>
    <w:multiLevelType w:val="hybridMultilevel"/>
    <w:tmpl w:val="06B47A66"/>
    <w:lvl w:ilvl="0" w:tplc="8C588CF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00D40"/>
    <w:multiLevelType w:val="hybridMultilevel"/>
    <w:tmpl w:val="F7BA3672"/>
    <w:lvl w:ilvl="0" w:tplc="C9BA6476">
      <w:start w:val="1"/>
      <w:numFmt w:val="decimal"/>
      <w:lvlText w:val="%1."/>
      <w:lvlJc w:val="center"/>
      <w:pPr>
        <w:ind w:left="4320" w:hanging="1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C55A3B"/>
    <w:multiLevelType w:val="hybridMultilevel"/>
    <w:tmpl w:val="8A881B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15533A"/>
    <w:multiLevelType w:val="hybridMultilevel"/>
    <w:tmpl w:val="323A58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CA5F05"/>
    <w:multiLevelType w:val="hybridMultilevel"/>
    <w:tmpl w:val="3F3401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CC4E09"/>
    <w:multiLevelType w:val="hybridMultilevel"/>
    <w:tmpl w:val="D2269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A064B"/>
    <w:multiLevelType w:val="hybridMultilevel"/>
    <w:tmpl w:val="307C85B6"/>
    <w:lvl w:ilvl="0" w:tplc="91FE488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8D4321"/>
    <w:multiLevelType w:val="multilevel"/>
    <w:tmpl w:val="89EC8C5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26DE0"/>
    <w:multiLevelType w:val="hybridMultilevel"/>
    <w:tmpl w:val="0E1EEA66"/>
    <w:lvl w:ilvl="0" w:tplc="FCD65910">
      <w:start w:val="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BF6244"/>
    <w:multiLevelType w:val="hybridMultilevel"/>
    <w:tmpl w:val="24B45640"/>
    <w:lvl w:ilvl="0" w:tplc="630892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72E0C"/>
    <w:multiLevelType w:val="hybridMultilevel"/>
    <w:tmpl w:val="6FCC7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060197"/>
    <w:multiLevelType w:val="hybridMultilevel"/>
    <w:tmpl w:val="19183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551EBE"/>
    <w:multiLevelType w:val="hybridMultilevel"/>
    <w:tmpl w:val="17C06E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59B759B"/>
    <w:multiLevelType w:val="hybridMultilevel"/>
    <w:tmpl w:val="2990DC9C"/>
    <w:lvl w:ilvl="0" w:tplc="0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271BD7"/>
    <w:multiLevelType w:val="hybridMultilevel"/>
    <w:tmpl w:val="94C00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945E3C"/>
    <w:multiLevelType w:val="hybridMultilevel"/>
    <w:tmpl w:val="E51045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0B5ADE"/>
    <w:multiLevelType w:val="hybridMultilevel"/>
    <w:tmpl w:val="90209F5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67934B1A"/>
    <w:multiLevelType w:val="hybridMultilevel"/>
    <w:tmpl w:val="F17238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331A6D"/>
    <w:multiLevelType w:val="hybridMultilevel"/>
    <w:tmpl w:val="157A31F4"/>
    <w:lvl w:ilvl="0" w:tplc="041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092635E"/>
    <w:multiLevelType w:val="hybridMultilevel"/>
    <w:tmpl w:val="ADBA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90583"/>
    <w:multiLevelType w:val="hybridMultilevel"/>
    <w:tmpl w:val="3836E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231665"/>
    <w:multiLevelType w:val="multilevel"/>
    <w:tmpl w:val="3A3C96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4339C8"/>
    <w:multiLevelType w:val="hybridMultilevel"/>
    <w:tmpl w:val="E77CFEB0"/>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4"/>
  </w:num>
  <w:num w:numId="4">
    <w:abstractNumId w:val="13"/>
  </w:num>
  <w:num w:numId="5">
    <w:abstractNumId w:val="31"/>
  </w:num>
  <w:num w:numId="6">
    <w:abstractNumId w:val="29"/>
  </w:num>
  <w:num w:numId="7">
    <w:abstractNumId w:val="23"/>
  </w:num>
  <w:num w:numId="8">
    <w:abstractNumId w:val="1"/>
  </w:num>
  <w:num w:numId="9">
    <w:abstractNumId w:val="30"/>
  </w:num>
  <w:num w:numId="10">
    <w:abstractNumId w:val="16"/>
  </w:num>
  <w:num w:numId="11">
    <w:abstractNumId w:val="8"/>
  </w:num>
  <w:num w:numId="12">
    <w:abstractNumId w:val="12"/>
  </w:num>
  <w:num w:numId="13">
    <w:abstractNumId w:val="17"/>
  </w:num>
  <w:num w:numId="14">
    <w:abstractNumId w:val="5"/>
  </w:num>
  <w:num w:numId="15">
    <w:abstractNumId w:val="11"/>
  </w:num>
  <w:num w:numId="16">
    <w:abstractNumId w:val="6"/>
  </w:num>
  <w:num w:numId="17">
    <w:abstractNumId w:val="4"/>
  </w:num>
  <w:num w:numId="18">
    <w:abstractNumId w:val="27"/>
  </w:num>
  <w:num w:numId="19">
    <w:abstractNumId w:val="22"/>
  </w:num>
  <w:num w:numId="20">
    <w:abstractNumId w:val="18"/>
  </w:num>
  <w:num w:numId="21">
    <w:abstractNumId w:val="9"/>
  </w:num>
  <w:num w:numId="22">
    <w:abstractNumId w:val="15"/>
  </w:num>
  <w:num w:numId="23">
    <w:abstractNumId w:val="28"/>
  </w:num>
  <w:num w:numId="24">
    <w:abstractNumId w:val="14"/>
  </w:num>
  <w:num w:numId="25">
    <w:abstractNumId w:val="26"/>
  </w:num>
  <w:num w:numId="26">
    <w:abstractNumId w:val="19"/>
  </w:num>
  <w:num w:numId="27">
    <w:abstractNumId w:val="25"/>
  </w:num>
  <w:num w:numId="28">
    <w:abstractNumId w:val="2"/>
  </w:num>
  <w:num w:numId="29">
    <w:abstractNumId w:val="10"/>
  </w:num>
  <w:num w:numId="30">
    <w:abstractNumId w:val="7"/>
  </w:num>
  <w:num w:numId="31">
    <w:abstractNumId w:val="0"/>
  </w:num>
  <w:num w:numId="3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E7"/>
    <w:rsid w:val="0000343E"/>
    <w:rsid w:val="00005739"/>
    <w:rsid w:val="000168E3"/>
    <w:rsid w:val="00021C31"/>
    <w:rsid w:val="000223D4"/>
    <w:rsid w:val="000237AF"/>
    <w:rsid w:val="0002602E"/>
    <w:rsid w:val="000260F0"/>
    <w:rsid w:val="0003329F"/>
    <w:rsid w:val="0004470C"/>
    <w:rsid w:val="000478CB"/>
    <w:rsid w:val="00047CB7"/>
    <w:rsid w:val="00050927"/>
    <w:rsid w:val="000526CC"/>
    <w:rsid w:val="00055A8B"/>
    <w:rsid w:val="00055DE9"/>
    <w:rsid w:val="00057D34"/>
    <w:rsid w:val="00061929"/>
    <w:rsid w:val="00065468"/>
    <w:rsid w:val="0006570D"/>
    <w:rsid w:val="00071CAB"/>
    <w:rsid w:val="00080CC4"/>
    <w:rsid w:val="0008284C"/>
    <w:rsid w:val="00082A39"/>
    <w:rsid w:val="0008329E"/>
    <w:rsid w:val="00085B31"/>
    <w:rsid w:val="00090CD0"/>
    <w:rsid w:val="00091BCE"/>
    <w:rsid w:val="00091E25"/>
    <w:rsid w:val="00091E4F"/>
    <w:rsid w:val="00092668"/>
    <w:rsid w:val="00092C70"/>
    <w:rsid w:val="00092E64"/>
    <w:rsid w:val="00092F70"/>
    <w:rsid w:val="00096795"/>
    <w:rsid w:val="00097B31"/>
    <w:rsid w:val="000A0BF6"/>
    <w:rsid w:val="000A1E96"/>
    <w:rsid w:val="000A2619"/>
    <w:rsid w:val="000A4E49"/>
    <w:rsid w:val="000A5F6E"/>
    <w:rsid w:val="000B1993"/>
    <w:rsid w:val="000B6F61"/>
    <w:rsid w:val="000C093D"/>
    <w:rsid w:val="000C11B0"/>
    <w:rsid w:val="000C21F8"/>
    <w:rsid w:val="000C5BD2"/>
    <w:rsid w:val="000C6735"/>
    <w:rsid w:val="000C6A16"/>
    <w:rsid w:val="000D1F20"/>
    <w:rsid w:val="000D5E6F"/>
    <w:rsid w:val="000D682C"/>
    <w:rsid w:val="000E27CD"/>
    <w:rsid w:val="000E29EE"/>
    <w:rsid w:val="000E3035"/>
    <w:rsid w:val="000E7C8B"/>
    <w:rsid w:val="000F1A2A"/>
    <w:rsid w:val="000F1ADC"/>
    <w:rsid w:val="000F2180"/>
    <w:rsid w:val="000F3A0D"/>
    <w:rsid w:val="00101852"/>
    <w:rsid w:val="00103446"/>
    <w:rsid w:val="0010366B"/>
    <w:rsid w:val="0010708D"/>
    <w:rsid w:val="00112EDC"/>
    <w:rsid w:val="00123F3E"/>
    <w:rsid w:val="001267E2"/>
    <w:rsid w:val="0012759C"/>
    <w:rsid w:val="00131A44"/>
    <w:rsid w:val="001349D8"/>
    <w:rsid w:val="00136EF0"/>
    <w:rsid w:val="00140F23"/>
    <w:rsid w:val="00141F58"/>
    <w:rsid w:val="00143646"/>
    <w:rsid w:val="00143B1B"/>
    <w:rsid w:val="0014716B"/>
    <w:rsid w:val="001506FF"/>
    <w:rsid w:val="00150A97"/>
    <w:rsid w:val="00151141"/>
    <w:rsid w:val="0015237B"/>
    <w:rsid w:val="001535E7"/>
    <w:rsid w:val="00154968"/>
    <w:rsid w:val="00156C35"/>
    <w:rsid w:val="00157D94"/>
    <w:rsid w:val="00157FB6"/>
    <w:rsid w:val="0016275B"/>
    <w:rsid w:val="0016297F"/>
    <w:rsid w:val="00165336"/>
    <w:rsid w:val="00165DDD"/>
    <w:rsid w:val="001668CA"/>
    <w:rsid w:val="00167D97"/>
    <w:rsid w:val="001732C0"/>
    <w:rsid w:val="001752BE"/>
    <w:rsid w:val="00177B80"/>
    <w:rsid w:val="00181667"/>
    <w:rsid w:val="00182886"/>
    <w:rsid w:val="0018601C"/>
    <w:rsid w:val="00196D58"/>
    <w:rsid w:val="001A4781"/>
    <w:rsid w:val="001A64CC"/>
    <w:rsid w:val="001A678D"/>
    <w:rsid w:val="001A6C2E"/>
    <w:rsid w:val="001A6D06"/>
    <w:rsid w:val="001B18DF"/>
    <w:rsid w:val="001B29BA"/>
    <w:rsid w:val="001B2CA1"/>
    <w:rsid w:val="001B57F8"/>
    <w:rsid w:val="001C002F"/>
    <w:rsid w:val="001C1FFA"/>
    <w:rsid w:val="001C4970"/>
    <w:rsid w:val="001C6342"/>
    <w:rsid w:val="001D1A7C"/>
    <w:rsid w:val="001D6A1B"/>
    <w:rsid w:val="001E1A1F"/>
    <w:rsid w:val="001E30C7"/>
    <w:rsid w:val="001E4B85"/>
    <w:rsid w:val="001F37D4"/>
    <w:rsid w:val="001F3D11"/>
    <w:rsid w:val="001F4184"/>
    <w:rsid w:val="001F4195"/>
    <w:rsid w:val="001F6B08"/>
    <w:rsid w:val="00205DAC"/>
    <w:rsid w:val="00205E21"/>
    <w:rsid w:val="0021017D"/>
    <w:rsid w:val="00210545"/>
    <w:rsid w:val="00213934"/>
    <w:rsid w:val="00215CD0"/>
    <w:rsid w:val="00224421"/>
    <w:rsid w:val="00224978"/>
    <w:rsid w:val="002266E0"/>
    <w:rsid w:val="002314AB"/>
    <w:rsid w:val="00232310"/>
    <w:rsid w:val="00237ADB"/>
    <w:rsid w:val="002412DF"/>
    <w:rsid w:val="002472DC"/>
    <w:rsid w:val="00253E4C"/>
    <w:rsid w:val="00254242"/>
    <w:rsid w:val="00254A2E"/>
    <w:rsid w:val="002550E6"/>
    <w:rsid w:val="00256AF6"/>
    <w:rsid w:val="002664D6"/>
    <w:rsid w:val="00277611"/>
    <w:rsid w:val="00280784"/>
    <w:rsid w:val="0028253F"/>
    <w:rsid w:val="00283B3E"/>
    <w:rsid w:val="0029013E"/>
    <w:rsid w:val="00290213"/>
    <w:rsid w:val="002931E7"/>
    <w:rsid w:val="002941B4"/>
    <w:rsid w:val="002979B9"/>
    <w:rsid w:val="002A0065"/>
    <w:rsid w:val="002A11B4"/>
    <w:rsid w:val="002A2220"/>
    <w:rsid w:val="002A3079"/>
    <w:rsid w:val="002A39A4"/>
    <w:rsid w:val="002A3FA4"/>
    <w:rsid w:val="002A70E3"/>
    <w:rsid w:val="002B596D"/>
    <w:rsid w:val="002B62B1"/>
    <w:rsid w:val="002B6D7D"/>
    <w:rsid w:val="002C280D"/>
    <w:rsid w:val="002C4B83"/>
    <w:rsid w:val="002C5E3D"/>
    <w:rsid w:val="002D0222"/>
    <w:rsid w:val="002D2EE9"/>
    <w:rsid w:val="002E563D"/>
    <w:rsid w:val="002E6231"/>
    <w:rsid w:val="002E67E2"/>
    <w:rsid w:val="002E68B6"/>
    <w:rsid w:val="002E6D9F"/>
    <w:rsid w:val="002F29EC"/>
    <w:rsid w:val="00300708"/>
    <w:rsid w:val="00311F91"/>
    <w:rsid w:val="00317EE7"/>
    <w:rsid w:val="00321B71"/>
    <w:rsid w:val="00322365"/>
    <w:rsid w:val="0032578D"/>
    <w:rsid w:val="003310CC"/>
    <w:rsid w:val="00332955"/>
    <w:rsid w:val="00334685"/>
    <w:rsid w:val="00337D84"/>
    <w:rsid w:val="00342456"/>
    <w:rsid w:val="00345466"/>
    <w:rsid w:val="00346EFE"/>
    <w:rsid w:val="00347416"/>
    <w:rsid w:val="00354B6E"/>
    <w:rsid w:val="00355500"/>
    <w:rsid w:val="00357BD8"/>
    <w:rsid w:val="0036042F"/>
    <w:rsid w:val="00362FDE"/>
    <w:rsid w:val="0036319C"/>
    <w:rsid w:val="00363268"/>
    <w:rsid w:val="00367A6B"/>
    <w:rsid w:val="00367A6E"/>
    <w:rsid w:val="00367BCE"/>
    <w:rsid w:val="00372A1B"/>
    <w:rsid w:val="003741CD"/>
    <w:rsid w:val="0038057D"/>
    <w:rsid w:val="00382CA5"/>
    <w:rsid w:val="00385D86"/>
    <w:rsid w:val="00386832"/>
    <w:rsid w:val="00391874"/>
    <w:rsid w:val="003963D7"/>
    <w:rsid w:val="00397174"/>
    <w:rsid w:val="003A09DB"/>
    <w:rsid w:val="003A2121"/>
    <w:rsid w:val="003A7F70"/>
    <w:rsid w:val="003B15CA"/>
    <w:rsid w:val="003B1F30"/>
    <w:rsid w:val="003B6A74"/>
    <w:rsid w:val="003C2688"/>
    <w:rsid w:val="003C4F05"/>
    <w:rsid w:val="003C5E25"/>
    <w:rsid w:val="003D0E9D"/>
    <w:rsid w:val="003D3BAA"/>
    <w:rsid w:val="003D5BAD"/>
    <w:rsid w:val="003E2039"/>
    <w:rsid w:val="003E3861"/>
    <w:rsid w:val="003E3CB3"/>
    <w:rsid w:val="003F4512"/>
    <w:rsid w:val="003F4555"/>
    <w:rsid w:val="003F75D0"/>
    <w:rsid w:val="004062EF"/>
    <w:rsid w:val="00407DD4"/>
    <w:rsid w:val="00421665"/>
    <w:rsid w:val="0042238B"/>
    <w:rsid w:val="00425984"/>
    <w:rsid w:val="00430E79"/>
    <w:rsid w:val="00433203"/>
    <w:rsid w:val="0043390C"/>
    <w:rsid w:val="00442A38"/>
    <w:rsid w:val="004431B1"/>
    <w:rsid w:val="004439D5"/>
    <w:rsid w:val="0045315A"/>
    <w:rsid w:val="00453A97"/>
    <w:rsid w:val="00453FC9"/>
    <w:rsid w:val="004612D2"/>
    <w:rsid w:val="004614A7"/>
    <w:rsid w:val="00463487"/>
    <w:rsid w:val="00463A28"/>
    <w:rsid w:val="00463F9F"/>
    <w:rsid w:val="00465377"/>
    <w:rsid w:val="004658EE"/>
    <w:rsid w:val="00465FB6"/>
    <w:rsid w:val="0046621B"/>
    <w:rsid w:val="00474BBC"/>
    <w:rsid w:val="00477AF9"/>
    <w:rsid w:val="0048308F"/>
    <w:rsid w:val="00483490"/>
    <w:rsid w:val="004840CB"/>
    <w:rsid w:val="00484DB4"/>
    <w:rsid w:val="0049146C"/>
    <w:rsid w:val="0049713B"/>
    <w:rsid w:val="004A5331"/>
    <w:rsid w:val="004A64F8"/>
    <w:rsid w:val="004B0D63"/>
    <w:rsid w:val="004B126D"/>
    <w:rsid w:val="004B1B4A"/>
    <w:rsid w:val="004B2320"/>
    <w:rsid w:val="004B44BB"/>
    <w:rsid w:val="004B500B"/>
    <w:rsid w:val="004B51C3"/>
    <w:rsid w:val="004B6C38"/>
    <w:rsid w:val="004B7F25"/>
    <w:rsid w:val="004C192E"/>
    <w:rsid w:val="004C4DEE"/>
    <w:rsid w:val="004D3DAE"/>
    <w:rsid w:val="004D7333"/>
    <w:rsid w:val="004E45FE"/>
    <w:rsid w:val="004F0853"/>
    <w:rsid w:val="004F2443"/>
    <w:rsid w:val="004F5E97"/>
    <w:rsid w:val="004F6D47"/>
    <w:rsid w:val="004F73CA"/>
    <w:rsid w:val="004F75C6"/>
    <w:rsid w:val="005010EF"/>
    <w:rsid w:val="00501158"/>
    <w:rsid w:val="0050348C"/>
    <w:rsid w:val="00504141"/>
    <w:rsid w:val="005052DA"/>
    <w:rsid w:val="00507E93"/>
    <w:rsid w:val="00516804"/>
    <w:rsid w:val="005227F3"/>
    <w:rsid w:val="005250BF"/>
    <w:rsid w:val="00525EA7"/>
    <w:rsid w:val="00526778"/>
    <w:rsid w:val="00530C10"/>
    <w:rsid w:val="005312BF"/>
    <w:rsid w:val="0053488F"/>
    <w:rsid w:val="00541BA5"/>
    <w:rsid w:val="0054211F"/>
    <w:rsid w:val="00543610"/>
    <w:rsid w:val="0055465D"/>
    <w:rsid w:val="00556BA2"/>
    <w:rsid w:val="00561C97"/>
    <w:rsid w:val="00566024"/>
    <w:rsid w:val="005675D2"/>
    <w:rsid w:val="00567A56"/>
    <w:rsid w:val="00570949"/>
    <w:rsid w:val="00572B97"/>
    <w:rsid w:val="005754D5"/>
    <w:rsid w:val="00583DBD"/>
    <w:rsid w:val="0058410C"/>
    <w:rsid w:val="005860BE"/>
    <w:rsid w:val="00597089"/>
    <w:rsid w:val="0059712B"/>
    <w:rsid w:val="00597688"/>
    <w:rsid w:val="005A6151"/>
    <w:rsid w:val="005B125F"/>
    <w:rsid w:val="005B179E"/>
    <w:rsid w:val="005B69A9"/>
    <w:rsid w:val="005C22D5"/>
    <w:rsid w:val="005C534B"/>
    <w:rsid w:val="005C5BE0"/>
    <w:rsid w:val="005D384A"/>
    <w:rsid w:val="005D3F3E"/>
    <w:rsid w:val="005D4950"/>
    <w:rsid w:val="005D76EA"/>
    <w:rsid w:val="005E69A7"/>
    <w:rsid w:val="005F3F85"/>
    <w:rsid w:val="005F52DD"/>
    <w:rsid w:val="006007EF"/>
    <w:rsid w:val="0060167E"/>
    <w:rsid w:val="0060477E"/>
    <w:rsid w:val="006123B2"/>
    <w:rsid w:val="00617C58"/>
    <w:rsid w:val="0062025B"/>
    <w:rsid w:val="00622D0D"/>
    <w:rsid w:val="00624AB2"/>
    <w:rsid w:val="00625F06"/>
    <w:rsid w:val="00625F83"/>
    <w:rsid w:val="006277E9"/>
    <w:rsid w:val="0063058A"/>
    <w:rsid w:val="00633A50"/>
    <w:rsid w:val="00653747"/>
    <w:rsid w:val="00653CA9"/>
    <w:rsid w:val="0065473A"/>
    <w:rsid w:val="00655C01"/>
    <w:rsid w:val="00656D3D"/>
    <w:rsid w:val="006637BF"/>
    <w:rsid w:val="00663EC5"/>
    <w:rsid w:val="006668BC"/>
    <w:rsid w:val="006673EF"/>
    <w:rsid w:val="00667593"/>
    <w:rsid w:val="00667FB6"/>
    <w:rsid w:val="00676134"/>
    <w:rsid w:val="00676B31"/>
    <w:rsid w:val="0068143F"/>
    <w:rsid w:val="00682CC1"/>
    <w:rsid w:val="00683361"/>
    <w:rsid w:val="0068495C"/>
    <w:rsid w:val="00687169"/>
    <w:rsid w:val="00692FAA"/>
    <w:rsid w:val="00696A63"/>
    <w:rsid w:val="00696EA5"/>
    <w:rsid w:val="006A2584"/>
    <w:rsid w:val="006A4399"/>
    <w:rsid w:val="006B1B72"/>
    <w:rsid w:val="006B2C6D"/>
    <w:rsid w:val="006C4DE5"/>
    <w:rsid w:val="006D135E"/>
    <w:rsid w:val="006D1CB2"/>
    <w:rsid w:val="006D4519"/>
    <w:rsid w:val="006D6CEA"/>
    <w:rsid w:val="006E1A9C"/>
    <w:rsid w:val="006E245F"/>
    <w:rsid w:val="006E2F7D"/>
    <w:rsid w:val="006F09EF"/>
    <w:rsid w:val="006F0E6B"/>
    <w:rsid w:val="006F1DF9"/>
    <w:rsid w:val="006F427B"/>
    <w:rsid w:val="006F5D5D"/>
    <w:rsid w:val="00702EEB"/>
    <w:rsid w:val="007052A1"/>
    <w:rsid w:val="00713479"/>
    <w:rsid w:val="007160F9"/>
    <w:rsid w:val="007176C2"/>
    <w:rsid w:val="00721A33"/>
    <w:rsid w:val="0073079E"/>
    <w:rsid w:val="00732FE1"/>
    <w:rsid w:val="0073460D"/>
    <w:rsid w:val="00741D15"/>
    <w:rsid w:val="00742787"/>
    <w:rsid w:val="00744154"/>
    <w:rsid w:val="0075094C"/>
    <w:rsid w:val="0075251A"/>
    <w:rsid w:val="00752D4D"/>
    <w:rsid w:val="007533B3"/>
    <w:rsid w:val="00757292"/>
    <w:rsid w:val="007616C8"/>
    <w:rsid w:val="007627AA"/>
    <w:rsid w:val="00772945"/>
    <w:rsid w:val="00772EC3"/>
    <w:rsid w:val="00782F5F"/>
    <w:rsid w:val="00785F05"/>
    <w:rsid w:val="00785F9F"/>
    <w:rsid w:val="0079054A"/>
    <w:rsid w:val="00793D09"/>
    <w:rsid w:val="00795685"/>
    <w:rsid w:val="007971F3"/>
    <w:rsid w:val="007B0209"/>
    <w:rsid w:val="007B4C0A"/>
    <w:rsid w:val="007B70A8"/>
    <w:rsid w:val="007B7C8F"/>
    <w:rsid w:val="007C0C2D"/>
    <w:rsid w:val="007C16B9"/>
    <w:rsid w:val="007C7B9B"/>
    <w:rsid w:val="007D7B0D"/>
    <w:rsid w:val="007E5335"/>
    <w:rsid w:val="007F084D"/>
    <w:rsid w:val="007F396E"/>
    <w:rsid w:val="007F486F"/>
    <w:rsid w:val="007F4DAF"/>
    <w:rsid w:val="00801FDF"/>
    <w:rsid w:val="00802E38"/>
    <w:rsid w:val="00806467"/>
    <w:rsid w:val="008073C1"/>
    <w:rsid w:val="00810E4D"/>
    <w:rsid w:val="00815905"/>
    <w:rsid w:val="00816F05"/>
    <w:rsid w:val="008171ED"/>
    <w:rsid w:val="008220A3"/>
    <w:rsid w:val="008225FE"/>
    <w:rsid w:val="00826536"/>
    <w:rsid w:val="00827461"/>
    <w:rsid w:val="0083385C"/>
    <w:rsid w:val="00835CEC"/>
    <w:rsid w:val="008406BC"/>
    <w:rsid w:val="00841478"/>
    <w:rsid w:val="00843825"/>
    <w:rsid w:val="00844A7A"/>
    <w:rsid w:val="008505FA"/>
    <w:rsid w:val="00850AFC"/>
    <w:rsid w:val="00852DE6"/>
    <w:rsid w:val="008536B8"/>
    <w:rsid w:val="008543D9"/>
    <w:rsid w:val="00855982"/>
    <w:rsid w:val="00885257"/>
    <w:rsid w:val="00891D64"/>
    <w:rsid w:val="00893CE9"/>
    <w:rsid w:val="00894577"/>
    <w:rsid w:val="008979E2"/>
    <w:rsid w:val="008A1103"/>
    <w:rsid w:val="008A5333"/>
    <w:rsid w:val="008A6257"/>
    <w:rsid w:val="008A6693"/>
    <w:rsid w:val="008A6C90"/>
    <w:rsid w:val="008A7971"/>
    <w:rsid w:val="008B5D1E"/>
    <w:rsid w:val="008C0F43"/>
    <w:rsid w:val="008C1E7E"/>
    <w:rsid w:val="008C410D"/>
    <w:rsid w:val="008C59AE"/>
    <w:rsid w:val="008C60B9"/>
    <w:rsid w:val="008D4A08"/>
    <w:rsid w:val="008D55AC"/>
    <w:rsid w:val="008E66C7"/>
    <w:rsid w:val="008E75B2"/>
    <w:rsid w:val="008E7DF5"/>
    <w:rsid w:val="008F1CD6"/>
    <w:rsid w:val="008F4E48"/>
    <w:rsid w:val="009000BA"/>
    <w:rsid w:val="009004AF"/>
    <w:rsid w:val="0090209F"/>
    <w:rsid w:val="009119A6"/>
    <w:rsid w:val="009132BE"/>
    <w:rsid w:val="009164C8"/>
    <w:rsid w:val="0092472B"/>
    <w:rsid w:val="00926F7D"/>
    <w:rsid w:val="009309DC"/>
    <w:rsid w:val="009400FC"/>
    <w:rsid w:val="009403D8"/>
    <w:rsid w:val="00941E91"/>
    <w:rsid w:val="00942D44"/>
    <w:rsid w:val="00944AB2"/>
    <w:rsid w:val="009514B5"/>
    <w:rsid w:val="00956673"/>
    <w:rsid w:val="009566B5"/>
    <w:rsid w:val="0096205E"/>
    <w:rsid w:val="009658B4"/>
    <w:rsid w:val="00966C29"/>
    <w:rsid w:val="0097052D"/>
    <w:rsid w:val="00981FC8"/>
    <w:rsid w:val="00987A4A"/>
    <w:rsid w:val="009B5126"/>
    <w:rsid w:val="009C1A64"/>
    <w:rsid w:val="009C2DEE"/>
    <w:rsid w:val="009C5CAB"/>
    <w:rsid w:val="009C7C88"/>
    <w:rsid w:val="009D0C43"/>
    <w:rsid w:val="009D1130"/>
    <w:rsid w:val="009D17E2"/>
    <w:rsid w:val="009D1C71"/>
    <w:rsid w:val="009D21A5"/>
    <w:rsid w:val="009D2743"/>
    <w:rsid w:val="009D70B0"/>
    <w:rsid w:val="009E1183"/>
    <w:rsid w:val="009E255B"/>
    <w:rsid w:val="009E3783"/>
    <w:rsid w:val="009E3F20"/>
    <w:rsid w:val="009E45B0"/>
    <w:rsid w:val="009E5581"/>
    <w:rsid w:val="009F19D7"/>
    <w:rsid w:val="009F577B"/>
    <w:rsid w:val="009F5921"/>
    <w:rsid w:val="00A02485"/>
    <w:rsid w:val="00A04157"/>
    <w:rsid w:val="00A062DA"/>
    <w:rsid w:val="00A07B32"/>
    <w:rsid w:val="00A11DA9"/>
    <w:rsid w:val="00A12E1D"/>
    <w:rsid w:val="00A13CCB"/>
    <w:rsid w:val="00A314CE"/>
    <w:rsid w:val="00A427A1"/>
    <w:rsid w:val="00A449D2"/>
    <w:rsid w:val="00A456A2"/>
    <w:rsid w:val="00A471CB"/>
    <w:rsid w:val="00A474D5"/>
    <w:rsid w:val="00A502E4"/>
    <w:rsid w:val="00A51BB4"/>
    <w:rsid w:val="00A628B3"/>
    <w:rsid w:val="00A65706"/>
    <w:rsid w:val="00A7177C"/>
    <w:rsid w:val="00A718E4"/>
    <w:rsid w:val="00A71C92"/>
    <w:rsid w:val="00A71CB4"/>
    <w:rsid w:val="00A731EA"/>
    <w:rsid w:val="00A74420"/>
    <w:rsid w:val="00A846D1"/>
    <w:rsid w:val="00A92020"/>
    <w:rsid w:val="00A955B3"/>
    <w:rsid w:val="00AA18D5"/>
    <w:rsid w:val="00AA4694"/>
    <w:rsid w:val="00AA4D81"/>
    <w:rsid w:val="00AB100A"/>
    <w:rsid w:val="00AB3E07"/>
    <w:rsid w:val="00AB7733"/>
    <w:rsid w:val="00AC1675"/>
    <w:rsid w:val="00AC1F11"/>
    <w:rsid w:val="00AC59B4"/>
    <w:rsid w:val="00AD0270"/>
    <w:rsid w:val="00AD10FC"/>
    <w:rsid w:val="00AD1FC5"/>
    <w:rsid w:val="00AD7FD1"/>
    <w:rsid w:val="00AE2DD0"/>
    <w:rsid w:val="00AE3882"/>
    <w:rsid w:val="00AF12AC"/>
    <w:rsid w:val="00AF3532"/>
    <w:rsid w:val="00AF3845"/>
    <w:rsid w:val="00B02B8E"/>
    <w:rsid w:val="00B035CF"/>
    <w:rsid w:val="00B0360B"/>
    <w:rsid w:val="00B05311"/>
    <w:rsid w:val="00B106F1"/>
    <w:rsid w:val="00B11EF0"/>
    <w:rsid w:val="00B12713"/>
    <w:rsid w:val="00B13D0F"/>
    <w:rsid w:val="00B14499"/>
    <w:rsid w:val="00B213A4"/>
    <w:rsid w:val="00B2180D"/>
    <w:rsid w:val="00B23789"/>
    <w:rsid w:val="00B3569B"/>
    <w:rsid w:val="00B40940"/>
    <w:rsid w:val="00B417AE"/>
    <w:rsid w:val="00B4204C"/>
    <w:rsid w:val="00B51A30"/>
    <w:rsid w:val="00B530F5"/>
    <w:rsid w:val="00B53528"/>
    <w:rsid w:val="00B565E4"/>
    <w:rsid w:val="00B5701B"/>
    <w:rsid w:val="00B574DB"/>
    <w:rsid w:val="00B616A5"/>
    <w:rsid w:val="00B6352E"/>
    <w:rsid w:val="00B64B47"/>
    <w:rsid w:val="00B66D7B"/>
    <w:rsid w:val="00B7255C"/>
    <w:rsid w:val="00B73203"/>
    <w:rsid w:val="00B738C2"/>
    <w:rsid w:val="00B73AF2"/>
    <w:rsid w:val="00B77CB7"/>
    <w:rsid w:val="00B82B5C"/>
    <w:rsid w:val="00B933D5"/>
    <w:rsid w:val="00B9692D"/>
    <w:rsid w:val="00B9700D"/>
    <w:rsid w:val="00B9785F"/>
    <w:rsid w:val="00BA087C"/>
    <w:rsid w:val="00BA1297"/>
    <w:rsid w:val="00BA3CC1"/>
    <w:rsid w:val="00BA458D"/>
    <w:rsid w:val="00BA4D5D"/>
    <w:rsid w:val="00BA5624"/>
    <w:rsid w:val="00BB6A94"/>
    <w:rsid w:val="00BC0355"/>
    <w:rsid w:val="00BC28A1"/>
    <w:rsid w:val="00BC35DA"/>
    <w:rsid w:val="00BC4E53"/>
    <w:rsid w:val="00BC52FA"/>
    <w:rsid w:val="00BC5A46"/>
    <w:rsid w:val="00BC61AA"/>
    <w:rsid w:val="00BC6BBA"/>
    <w:rsid w:val="00BC766B"/>
    <w:rsid w:val="00BD03A6"/>
    <w:rsid w:val="00BD03C8"/>
    <w:rsid w:val="00BD0EAE"/>
    <w:rsid w:val="00BD2139"/>
    <w:rsid w:val="00BD29C7"/>
    <w:rsid w:val="00BE5974"/>
    <w:rsid w:val="00BF1EC8"/>
    <w:rsid w:val="00C0081D"/>
    <w:rsid w:val="00C00E2E"/>
    <w:rsid w:val="00C010FD"/>
    <w:rsid w:val="00C06757"/>
    <w:rsid w:val="00C06993"/>
    <w:rsid w:val="00C074F5"/>
    <w:rsid w:val="00C1290D"/>
    <w:rsid w:val="00C12E89"/>
    <w:rsid w:val="00C138B5"/>
    <w:rsid w:val="00C1571B"/>
    <w:rsid w:val="00C16409"/>
    <w:rsid w:val="00C2259E"/>
    <w:rsid w:val="00C23BC9"/>
    <w:rsid w:val="00C24732"/>
    <w:rsid w:val="00C26CFF"/>
    <w:rsid w:val="00C31B6B"/>
    <w:rsid w:val="00C3624F"/>
    <w:rsid w:val="00C40640"/>
    <w:rsid w:val="00C4104C"/>
    <w:rsid w:val="00C4680A"/>
    <w:rsid w:val="00C46B06"/>
    <w:rsid w:val="00C46BFE"/>
    <w:rsid w:val="00C5096D"/>
    <w:rsid w:val="00C511A3"/>
    <w:rsid w:val="00C51A93"/>
    <w:rsid w:val="00C53243"/>
    <w:rsid w:val="00C5427C"/>
    <w:rsid w:val="00C5461F"/>
    <w:rsid w:val="00C61BAC"/>
    <w:rsid w:val="00C64635"/>
    <w:rsid w:val="00C67439"/>
    <w:rsid w:val="00C70A6A"/>
    <w:rsid w:val="00C722A3"/>
    <w:rsid w:val="00C72592"/>
    <w:rsid w:val="00C74C66"/>
    <w:rsid w:val="00C81AC4"/>
    <w:rsid w:val="00C85EAB"/>
    <w:rsid w:val="00C86E26"/>
    <w:rsid w:val="00C90C55"/>
    <w:rsid w:val="00C90DFB"/>
    <w:rsid w:val="00C95863"/>
    <w:rsid w:val="00CA0520"/>
    <w:rsid w:val="00CA4423"/>
    <w:rsid w:val="00CA6464"/>
    <w:rsid w:val="00CB270F"/>
    <w:rsid w:val="00CB3FD2"/>
    <w:rsid w:val="00CC0FE1"/>
    <w:rsid w:val="00CC1445"/>
    <w:rsid w:val="00CC46EE"/>
    <w:rsid w:val="00CC476B"/>
    <w:rsid w:val="00CC67BD"/>
    <w:rsid w:val="00CD0EF1"/>
    <w:rsid w:val="00CD5697"/>
    <w:rsid w:val="00CE17CE"/>
    <w:rsid w:val="00CF49AA"/>
    <w:rsid w:val="00CF5476"/>
    <w:rsid w:val="00D03963"/>
    <w:rsid w:val="00D13B29"/>
    <w:rsid w:val="00D13B75"/>
    <w:rsid w:val="00D14138"/>
    <w:rsid w:val="00D168B7"/>
    <w:rsid w:val="00D23DFC"/>
    <w:rsid w:val="00D24702"/>
    <w:rsid w:val="00D26AED"/>
    <w:rsid w:val="00D27CB7"/>
    <w:rsid w:val="00D33B7F"/>
    <w:rsid w:val="00D34A77"/>
    <w:rsid w:val="00D36397"/>
    <w:rsid w:val="00D377DF"/>
    <w:rsid w:val="00D453F3"/>
    <w:rsid w:val="00D462EE"/>
    <w:rsid w:val="00D50470"/>
    <w:rsid w:val="00D55E4A"/>
    <w:rsid w:val="00D62568"/>
    <w:rsid w:val="00D6309A"/>
    <w:rsid w:val="00D63F26"/>
    <w:rsid w:val="00D663A8"/>
    <w:rsid w:val="00D75FD7"/>
    <w:rsid w:val="00D77279"/>
    <w:rsid w:val="00D85BE2"/>
    <w:rsid w:val="00D92CF1"/>
    <w:rsid w:val="00D95552"/>
    <w:rsid w:val="00DA2E9F"/>
    <w:rsid w:val="00DA307C"/>
    <w:rsid w:val="00DA3D00"/>
    <w:rsid w:val="00DA5D8D"/>
    <w:rsid w:val="00DA6ED9"/>
    <w:rsid w:val="00DB0C6F"/>
    <w:rsid w:val="00DB282D"/>
    <w:rsid w:val="00DB723B"/>
    <w:rsid w:val="00DC151D"/>
    <w:rsid w:val="00DC5A62"/>
    <w:rsid w:val="00DC6262"/>
    <w:rsid w:val="00DC6B7C"/>
    <w:rsid w:val="00DD13B5"/>
    <w:rsid w:val="00DD2BED"/>
    <w:rsid w:val="00DD51A4"/>
    <w:rsid w:val="00DD7050"/>
    <w:rsid w:val="00DE5CBC"/>
    <w:rsid w:val="00DE638D"/>
    <w:rsid w:val="00DF3652"/>
    <w:rsid w:val="00E00C26"/>
    <w:rsid w:val="00E0177A"/>
    <w:rsid w:val="00E15128"/>
    <w:rsid w:val="00E218D0"/>
    <w:rsid w:val="00E23D6C"/>
    <w:rsid w:val="00E24479"/>
    <w:rsid w:val="00E25AC5"/>
    <w:rsid w:val="00E27DEB"/>
    <w:rsid w:val="00E370FB"/>
    <w:rsid w:val="00E42F82"/>
    <w:rsid w:val="00E51121"/>
    <w:rsid w:val="00E54301"/>
    <w:rsid w:val="00E54D29"/>
    <w:rsid w:val="00E61E34"/>
    <w:rsid w:val="00E61F1A"/>
    <w:rsid w:val="00E639F2"/>
    <w:rsid w:val="00E656CB"/>
    <w:rsid w:val="00E66491"/>
    <w:rsid w:val="00E718DB"/>
    <w:rsid w:val="00E72135"/>
    <w:rsid w:val="00E7521A"/>
    <w:rsid w:val="00E755AA"/>
    <w:rsid w:val="00E7597D"/>
    <w:rsid w:val="00E81B09"/>
    <w:rsid w:val="00E83D4F"/>
    <w:rsid w:val="00E9125F"/>
    <w:rsid w:val="00EA13EE"/>
    <w:rsid w:val="00EA1ED8"/>
    <w:rsid w:val="00EA7B97"/>
    <w:rsid w:val="00EB477F"/>
    <w:rsid w:val="00EC1175"/>
    <w:rsid w:val="00ED193D"/>
    <w:rsid w:val="00EE610E"/>
    <w:rsid w:val="00EE6E16"/>
    <w:rsid w:val="00EF7F4A"/>
    <w:rsid w:val="00F00A54"/>
    <w:rsid w:val="00F02EE8"/>
    <w:rsid w:val="00F03871"/>
    <w:rsid w:val="00F0551F"/>
    <w:rsid w:val="00F079AE"/>
    <w:rsid w:val="00F126D8"/>
    <w:rsid w:val="00F20FAC"/>
    <w:rsid w:val="00F30326"/>
    <w:rsid w:val="00F327B4"/>
    <w:rsid w:val="00F371AA"/>
    <w:rsid w:val="00F41B72"/>
    <w:rsid w:val="00F45760"/>
    <w:rsid w:val="00F525BB"/>
    <w:rsid w:val="00F56A44"/>
    <w:rsid w:val="00F577FD"/>
    <w:rsid w:val="00F57FA3"/>
    <w:rsid w:val="00F64515"/>
    <w:rsid w:val="00F700DA"/>
    <w:rsid w:val="00F7232E"/>
    <w:rsid w:val="00F75D42"/>
    <w:rsid w:val="00F83C97"/>
    <w:rsid w:val="00F83DD6"/>
    <w:rsid w:val="00F85D69"/>
    <w:rsid w:val="00F861B8"/>
    <w:rsid w:val="00F90632"/>
    <w:rsid w:val="00F92190"/>
    <w:rsid w:val="00F94B88"/>
    <w:rsid w:val="00F9543B"/>
    <w:rsid w:val="00FA1325"/>
    <w:rsid w:val="00FA277F"/>
    <w:rsid w:val="00FA29F4"/>
    <w:rsid w:val="00FA4EF5"/>
    <w:rsid w:val="00FA6B14"/>
    <w:rsid w:val="00FB44E3"/>
    <w:rsid w:val="00FB63B4"/>
    <w:rsid w:val="00FC0289"/>
    <w:rsid w:val="00FC0973"/>
    <w:rsid w:val="00FC47D2"/>
    <w:rsid w:val="00FC4DC4"/>
    <w:rsid w:val="00FD520D"/>
    <w:rsid w:val="00FD6289"/>
    <w:rsid w:val="00FE3B90"/>
    <w:rsid w:val="00FE72CD"/>
    <w:rsid w:val="00FF33DD"/>
    <w:rsid w:val="00FF58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B4F49"/>
  <w15:docId w15:val="{749E0AC4-1B87-4CBB-B47A-344CA46D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E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317EE7"/>
    <w:pPr>
      <w:keepNext/>
      <w:spacing w:before="240" w:after="60"/>
      <w:outlineLvl w:val="0"/>
    </w:pPr>
    <w:rPr>
      <w:rFonts w:ascii="Cambria" w:hAnsi="Cambria" w:cs="Cambria"/>
      <w:b/>
      <w:bCs/>
      <w:kern w:val="32"/>
      <w:sz w:val="32"/>
      <w:szCs w:val="32"/>
    </w:rPr>
  </w:style>
  <w:style w:type="paragraph" w:styleId="Naslov2">
    <w:name w:val="heading 2"/>
    <w:basedOn w:val="Normal"/>
    <w:next w:val="Normal"/>
    <w:link w:val="Naslov2Char"/>
    <w:qFormat/>
    <w:rsid w:val="00317EE7"/>
    <w:pPr>
      <w:keepNext/>
      <w:jc w:val="center"/>
      <w:outlineLvl w:val="1"/>
    </w:pPr>
    <w:rPr>
      <w:b/>
      <w:bCs/>
      <w:noProof/>
    </w:rPr>
  </w:style>
  <w:style w:type="paragraph" w:styleId="Naslov3">
    <w:name w:val="heading 3"/>
    <w:basedOn w:val="Normal"/>
    <w:next w:val="Normal"/>
    <w:link w:val="Naslov3Char"/>
    <w:qFormat/>
    <w:rsid w:val="00317EE7"/>
    <w:pPr>
      <w:keepNext/>
      <w:jc w:val="both"/>
      <w:outlineLvl w:val="2"/>
    </w:pPr>
    <w:rPr>
      <w:b/>
      <w:bCs/>
      <w:noProof/>
    </w:rPr>
  </w:style>
  <w:style w:type="paragraph" w:styleId="Naslov4">
    <w:name w:val="heading 4"/>
    <w:basedOn w:val="Normal"/>
    <w:next w:val="Normal"/>
    <w:link w:val="Naslov4Char"/>
    <w:uiPriority w:val="9"/>
    <w:unhideWhenUsed/>
    <w:qFormat/>
    <w:rsid w:val="00317EE7"/>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7F396E"/>
    <w:pPr>
      <w:keepNext/>
      <w:keepLines/>
      <w:spacing w:before="20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17EE7"/>
    <w:rPr>
      <w:rFonts w:ascii="Cambria" w:eastAsia="Times New Roman" w:hAnsi="Cambria" w:cs="Cambria"/>
      <w:b/>
      <w:bCs/>
      <w:kern w:val="32"/>
      <w:sz w:val="32"/>
      <w:szCs w:val="32"/>
      <w:lang w:eastAsia="hr-HR"/>
    </w:rPr>
  </w:style>
  <w:style w:type="character" w:customStyle="1" w:styleId="Naslov2Char">
    <w:name w:val="Naslov 2 Char"/>
    <w:basedOn w:val="Zadanifontodlomka"/>
    <w:link w:val="Naslov2"/>
    <w:rsid w:val="00317EE7"/>
    <w:rPr>
      <w:rFonts w:ascii="Times New Roman" w:eastAsia="Times New Roman" w:hAnsi="Times New Roman" w:cs="Times New Roman"/>
      <w:b/>
      <w:bCs/>
      <w:noProof/>
      <w:sz w:val="24"/>
      <w:szCs w:val="24"/>
      <w:lang w:eastAsia="hr-HR"/>
    </w:rPr>
  </w:style>
  <w:style w:type="character" w:customStyle="1" w:styleId="Naslov3Char">
    <w:name w:val="Naslov 3 Char"/>
    <w:basedOn w:val="Zadanifontodlomka"/>
    <w:link w:val="Naslov3"/>
    <w:rsid w:val="00317EE7"/>
    <w:rPr>
      <w:rFonts w:ascii="Times New Roman" w:eastAsia="Times New Roman" w:hAnsi="Times New Roman" w:cs="Times New Roman"/>
      <w:b/>
      <w:bCs/>
      <w:noProof/>
      <w:sz w:val="24"/>
      <w:szCs w:val="24"/>
      <w:lang w:eastAsia="hr-HR"/>
    </w:rPr>
  </w:style>
  <w:style w:type="character" w:customStyle="1" w:styleId="Naslov4Char">
    <w:name w:val="Naslov 4 Char"/>
    <w:basedOn w:val="Zadanifontodlomka"/>
    <w:link w:val="Naslov4"/>
    <w:uiPriority w:val="9"/>
    <w:rsid w:val="00317EE7"/>
    <w:rPr>
      <w:rFonts w:asciiTheme="majorHAnsi" w:eastAsiaTheme="majorEastAsia" w:hAnsiTheme="majorHAnsi" w:cstheme="majorBidi"/>
      <w:b/>
      <w:bCs/>
      <w:i/>
      <w:iCs/>
      <w:color w:val="4F81BD" w:themeColor="accent1"/>
      <w:sz w:val="24"/>
      <w:szCs w:val="24"/>
      <w:lang w:eastAsia="hr-HR"/>
    </w:rPr>
  </w:style>
  <w:style w:type="paragraph" w:styleId="Tijeloteksta">
    <w:name w:val="Body Text"/>
    <w:basedOn w:val="Normal"/>
    <w:link w:val="TijelotekstaChar"/>
    <w:rsid w:val="00317EE7"/>
    <w:pPr>
      <w:jc w:val="both"/>
    </w:pPr>
    <w:rPr>
      <w:rFonts w:ascii="Arial" w:hAnsi="Arial" w:cs="Arial"/>
      <w:sz w:val="22"/>
      <w:szCs w:val="22"/>
    </w:rPr>
  </w:style>
  <w:style w:type="character" w:customStyle="1" w:styleId="TijelotekstaChar">
    <w:name w:val="Tijelo teksta Char"/>
    <w:basedOn w:val="Zadanifontodlomka"/>
    <w:link w:val="Tijeloteksta"/>
    <w:rsid w:val="00317EE7"/>
    <w:rPr>
      <w:rFonts w:ascii="Arial" w:eastAsia="Times New Roman" w:hAnsi="Arial" w:cs="Arial"/>
      <w:lang w:eastAsia="hr-HR"/>
    </w:rPr>
  </w:style>
  <w:style w:type="table" w:styleId="Reetkatablice">
    <w:name w:val="Table Grid"/>
    <w:basedOn w:val="Obinatablica"/>
    <w:uiPriority w:val="59"/>
    <w:rsid w:val="00317EE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uiPriority w:val="99"/>
    <w:rsid w:val="00317EE7"/>
    <w:rPr>
      <w:rFonts w:cs="Times New Roman"/>
      <w:sz w:val="16"/>
      <w:szCs w:val="16"/>
    </w:rPr>
  </w:style>
  <w:style w:type="paragraph" w:styleId="Tekstkomentara">
    <w:name w:val="annotation text"/>
    <w:basedOn w:val="Normal"/>
    <w:link w:val="TekstkomentaraChar"/>
    <w:uiPriority w:val="99"/>
    <w:rsid w:val="00317EE7"/>
    <w:rPr>
      <w:sz w:val="20"/>
      <w:szCs w:val="20"/>
    </w:rPr>
  </w:style>
  <w:style w:type="character" w:customStyle="1" w:styleId="TekstkomentaraChar">
    <w:name w:val="Tekst komentara Char"/>
    <w:basedOn w:val="Zadanifontodlomka"/>
    <w:link w:val="Tekstkomentara"/>
    <w:uiPriority w:val="99"/>
    <w:rsid w:val="00317EE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317EE7"/>
    <w:rPr>
      <w:b/>
      <w:bCs/>
    </w:rPr>
  </w:style>
  <w:style w:type="character" w:customStyle="1" w:styleId="PredmetkomentaraChar">
    <w:name w:val="Predmet komentara Char"/>
    <w:basedOn w:val="TekstkomentaraChar"/>
    <w:link w:val="Predmetkomentara"/>
    <w:semiHidden/>
    <w:rsid w:val="00317EE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317EE7"/>
    <w:rPr>
      <w:rFonts w:ascii="Tahoma" w:hAnsi="Tahoma" w:cs="Tahoma"/>
      <w:sz w:val="16"/>
      <w:szCs w:val="16"/>
    </w:rPr>
  </w:style>
  <w:style w:type="character" w:customStyle="1" w:styleId="TekstbaloniaChar">
    <w:name w:val="Tekst balončića Char"/>
    <w:basedOn w:val="Zadanifontodlomka"/>
    <w:link w:val="Tekstbalonia"/>
    <w:semiHidden/>
    <w:rsid w:val="00317EE7"/>
    <w:rPr>
      <w:rFonts w:ascii="Tahoma" w:eastAsia="Times New Roman" w:hAnsi="Tahoma" w:cs="Tahoma"/>
      <w:sz w:val="16"/>
      <w:szCs w:val="16"/>
      <w:lang w:eastAsia="hr-HR"/>
    </w:rPr>
  </w:style>
  <w:style w:type="character" w:styleId="Brojstranice">
    <w:name w:val="page number"/>
    <w:rsid w:val="00317EE7"/>
    <w:rPr>
      <w:rFonts w:cs="Times New Roman"/>
    </w:rPr>
  </w:style>
  <w:style w:type="paragraph" w:customStyle="1" w:styleId="TekstOsnovniCharCharChar">
    <w:name w:val="Tekst Osnovni Char Char Char"/>
    <w:basedOn w:val="Normal"/>
    <w:link w:val="TekstOsnovniCharCharCharChar"/>
    <w:rsid w:val="00317EE7"/>
    <w:pPr>
      <w:spacing w:before="60" w:after="120"/>
      <w:ind w:left="454"/>
    </w:pPr>
    <w:rPr>
      <w:rFonts w:ascii="Arial" w:hAnsi="Arial"/>
      <w:lang w:eastAsia="en-US"/>
    </w:rPr>
  </w:style>
  <w:style w:type="character" w:customStyle="1" w:styleId="TekstOsnovniCharCharCharChar">
    <w:name w:val="Tekst Osnovni Char Char Char Char"/>
    <w:link w:val="TekstOsnovniCharCharChar"/>
    <w:locked/>
    <w:rsid w:val="00317EE7"/>
    <w:rPr>
      <w:rFonts w:ascii="Arial" w:eastAsia="Times New Roman" w:hAnsi="Arial" w:cs="Times New Roman"/>
      <w:sz w:val="24"/>
      <w:szCs w:val="24"/>
    </w:rPr>
  </w:style>
  <w:style w:type="paragraph" w:styleId="HTMLunaprijedoblikovano">
    <w:name w:val="HTML Preformatted"/>
    <w:basedOn w:val="Normal"/>
    <w:link w:val="HTMLunaprijedoblikovanoChar"/>
    <w:rsid w:val="00317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unaprijedoblikovanoChar">
    <w:name w:val="HTML unaprijed oblikovano Char"/>
    <w:basedOn w:val="Zadanifontodlomka"/>
    <w:link w:val="HTMLunaprijedoblikovano"/>
    <w:rsid w:val="00317EE7"/>
    <w:rPr>
      <w:rFonts w:ascii="Courier New" w:eastAsia="Times New Roman" w:hAnsi="Courier New" w:cs="Courier New"/>
      <w:sz w:val="20"/>
      <w:szCs w:val="20"/>
    </w:rPr>
  </w:style>
  <w:style w:type="paragraph" w:styleId="Tijeloteksta3">
    <w:name w:val="Body Text 3"/>
    <w:basedOn w:val="Normal"/>
    <w:link w:val="Tijeloteksta3Char"/>
    <w:rsid w:val="00317EE7"/>
    <w:pPr>
      <w:spacing w:after="120"/>
    </w:pPr>
    <w:rPr>
      <w:sz w:val="16"/>
      <w:szCs w:val="16"/>
    </w:rPr>
  </w:style>
  <w:style w:type="character" w:customStyle="1" w:styleId="Tijeloteksta3Char">
    <w:name w:val="Tijelo teksta 3 Char"/>
    <w:basedOn w:val="Zadanifontodlomka"/>
    <w:link w:val="Tijeloteksta3"/>
    <w:rsid w:val="00317EE7"/>
    <w:rPr>
      <w:rFonts w:ascii="Times New Roman" w:eastAsia="Times New Roman" w:hAnsi="Times New Roman" w:cs="Times New Roman"/>
      <w:sz w:val="16"/>
      <w:szCs w:val="16"/>
      <w:lang w:eastAsia="hr-HR"/>
    </w:rPr>
  </w:style>
  <w:style w:type="paragraph" w:styleId="Zaglavlje">
    <w:name w:val="header"/>
    <w:basedOn w:val="Normal"/>
    <w:link w:val="ZaglavljeChar"/>
    <w:uiPriority w:val="99"/>
    <w:rsid w:val="00317EE7"/>
    <w:pPr>
      <w:tabs>
        <w:tab w:val="center" w:pos="4536"/>
        <w:tab w:val="right" w:pos="9072"/>
      </w:tabs>
    </w:pPr>
  </w:style>
  <w:style w:type="character" w:customStyle="1" w:styleId="ZaglavljeChar">
    <w:name w:val="Zaglavlje Char"/>
    <w:basedOn w:val="Zadanifontodlomka"/>
    <w:link w:val="Zaglavlje"/>
    <w:uiPriority w:val="99"/>
    <w:rsid w:val="00317EE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317EE7"/>
    <w:pPr>
      <w:tabs>
        <w:tab w:val="center" w:pos="4536"/>
        <w:tab w:val="right" w:pos="9072"/>
      </w:tabs>
    </w:pPr>
  </w:style>
  <w:style w:type="character" w:customStyle="1" w:styleId="PodnojeChar">
    <w:name w:val="Podnožje Char"/>
    <w:basedOn w:val="Zadanifontodlomka"/>
    <w:link w:val="Podnoje"/>
    <w:uiPriority w:val="99"/>
    <w:rsid w:val="00317EE7"/>
    <w:rPr>
      <w:rFonts w:ascii="Times New Roman" w:eastAsia="Times New Roman" w:hAnsi="Times New Roman" w:cs="Times New Roman"/>
      <w:sz w:val="24"/>
      <w:szCs w:val="24"/>
      <w:lang w:eastAsia="hr-HR"/>
    </w:rPr>
  </w:style>
  <w:style w:type="paragraph" w:customStyle="1" w:styleId="PRVIPODNASLOV">
    <w:name w:val="PRVI PODNASLOV"/>
    <w:basedOn w:val="Normal"/>
    <w:rsid w:val="00317EE7"/>
    <w:pPr>
      <w:tabs>
        <w:tab w:val="left" w:pos="709"/>
      </w:tabs>
      <w:spacing w:after="120"/>
      <w:ind w:left="709" w:hanging="709"/>
      <w:jc w:val="both"/>
      <w:outlineLvl w:val="1"/>
    </w:pPr>
    <w:rPr>
      <w:rFonts w:ascii="Arial" w:eastAsia="MS Mincho" w:hAnsi="Arial" w:cs="Arial"/>
      <w:b/>
      <w:bCs/>
      <w:lang w:eastAsia="ja-JP"/>
    </w:rPr>
  </w:style>
  <w:style w:type="paragraph" w:customStyle="1" w:styleId="NASLOVSTUDIJE">
    <w:name w:val="NASLOV STUDIJE"/>
    <w:basedOn w:val="Normal"/>
    <w:rsid w:val="00317EE7"/>
    <w:pPr>
      <w:jc w:val="right"/>
    </w:pPr>
    <w:rPr>
      <w:rFonts w:ascii="Arial" w:eastAsia="MS Mincho" w:hAnsi="Arial" w:cs="Arial"/>
      <w:b/>
      <w:bCs/>
      <w:sz w:val="32"/>
      <w:szCs w:val="32"/>
      <w:lang w:eastAsia="ja-JP"/>
    </w:rPr>
  </w:style>
  <w:style w:type="paragraph" w:customStyle="1" w:styleId="t-9-8-bez-uvl">
    <w:name w:val="t-9-8-bez-uvl"/>
    <w:basedOn w:val="Normal"/>
    <w:rsid w:val="00317EE7"/>
    <w:pPr>
      <w:spacing w:before="100" w:beforeAutospacing="1" w:after="100" w:afterAutospacing="1"/>
    </w:pPr>
  </w:style>
  <w:style w:type="character" w:customStyle="1" w:styleId="bold1">
    <w:name w:val="bold1"/>
    <w:rsid w:val="00317EE7"/>
    <w:rPr>
      <w:b/>
    </w:rPr>
  </w:style>
  <w:style w:type="character" w:styleId="Hiperveza">
    <w:name w:val="Hyperlink"/>
    <w:uiPriority w:val="99"/>
    <w:rsid w:val="00317EE7"/>
    <w:rPr>
      <w:rFonts w:cs="Times New Roman"/>
      <w:color w:val="0000FF"/>
      <w:u w:val="single"/>
    </w:rPr>
  </w:style>
  <w:style w:type="character" w:styleId="Naglaeno">
    <w:name w:val="Strong"/>
    <w:qFormat/>
    <w:rsid w:val="00317EE7"/>
    <w:rPr>
      <w:rFonts w:cs="Times New Roman"/>
      <w:b/>
      <w:bCs/>
    </w:rPr>
  </w:style>
  <w:style w:type="paragraph" w:styleId="Tekstfusnote">
    <w:name w:val="footnote text"/>
    <w:basedOn w:val="Normal"/>
    <w:link w:val="TekstfusnoteChar"/>
    <w:semiHidden/>
    <w:rsid w:val="00317EE7"/>
    <w:rPr>
      <w:sz w:val="20"/>
      <w:szCs w:val="20"/>
    </w:rPr>
  </w:style>
  <w:style w:type="character" w:customStyle="1" w:styleId="TekstfusnoteChar">
    <w:name w:val="Tekst fusnote Char"/>
    <w:basedOn w:val="Zadanifontodlomka"/>
    <w:link w:val="Tekstfusnote"/>
    <w:semiHidden/>
    <w:rsid w:val="00317EE7"/>
    <w:rPr>
      <w:rFonts w:ascii="Times New Roman" w:eastAsia="Times New Roman" w:hAnsi="Times New Roman" w:cs="Times New Roman"/>
      <w:sz w:val="20"/>
      <w:szCs w:val="20"/>
      <w:lang w:eastAsia="hr-HR"/>
    </w:rPr>
  </w:style>
  <w:style w:type="paragraph" w:customStyle="1" w:styleId="AZO1">
    <w:name w:val="AZO_1"/>
    <w:basedOn w:val="Naslov1"/>
    <w:next w:val="Normal"/>
    <w:autoRedefine/>
    <w:rsid w:val="00317EE7"/>
    <w:pPr>
      <w:numPr>
        <w:numId w:val="1"/>
      </w:numPr>
      <w:spacing w:after="480"/>
    </w:pPr>
    <w:rPr>
      <w:rFonts w:ascii="Times New Roman" w:hAnsi="Times New Roman" w:cs="Times New Roman"/>
      <w:b w:val="0"/>
      <w:bCs w:val="0"/>
      <w:caps/>
      <w:sz w:val="24"/>
      <w:szCs w:val="24"/>
      <w:lang w:eastAsia="en-US"/>
    </w:rPr>
  </w:style>
  <w:style w:type="paragraph" w:customStyle="1" w:styleId="AZOtext">
    <w:name w:val="AZO text"/>
    <w:basedOn w:val="Normal"/>
    <w:rsid w:val="00317EE7"/>
    <w:pPr>
      <w:autoSpaceDE w:val="0"/>
      <w:autoSpaceDN w:val="0"/>
      <w:adjustRightInd w:val="0"/>
      <w:spacing w:line="288" w:lineRule="auto"/>
      <w:ind w:firstLine="170"/>
      <w:jc w:val="both"/>
      <w:textAlignment w:val="center"/>
    </w:pPr>
    <w:rPr>
      <w:color w:val="000000"/>
      <w:sz w:val="20"/>
      <w:szCs w:val="20"/>
    </w:rPr>
  </w:style>
  <w:style w:type="paragraph" w:customStyle="1" w:styleId="AZO2">
    <w:name w:val="AZO_2"/>
    <w:basedOn w:val="Naslov1"/>
    <w:next w:val="Normal"/>
    <w:autoRedefine/>
    <w:rsid w:val="00317EE7"/>
    <w:pPr>
      <w:spacing w:before="600" w:after="240"/>
      <w:ind w:left="360"/>
    </w:pPr>
    <w:rPr>
      <w:rFonts w:ascii="AZO kapitala" w:hAnsi="AZO kapitala" w:cs="AZO kapitala"/>
      <w:b w:val="0"/>
      <w:bCs w:val="0"/>
      <w:caps/>
      <w:noProof/>
      <w:sz w:val="20"/>
      <w:szCs w:val="20"/>
      <w:lang w:eastAsia="en-US"/>
    </w:rPr>
  </w:style>
  <w:style w:type="paragraph" w:customStyle="1" w:styleId="NoSpacing1">
    <w:name w:val="No Spacing1"/>
    <w:rsid w:val="00317EE7"/>
    <w:pPr>
      <w:spacing w:after="0" w:line="240" w:lineRule="auto"/>
    </w:pPr>
    <w:rPr>
      <w:rFonts w:ascii="Calibri" w:eastAsia="Times New Roman" w:hAnsi="Calibri" w:cs="Calibri"/>
      <w:lang w:eastAsia="hr-HR"/>
    </w:rPr>
  </w:style>
  <w:style w:type="paragraph" w:customStyle="1" w:styleId="Default">
    <w:name w:val="Default"/>
    <w:rsid w:val="00317EE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Revision1">
    <w:name w:val="Revision1"/>
    <w:hidden/>
    <w:semiHidden/>
    <w:rsid w:val="00317EE7"/>
    <w:pPr>
      <w:spacing w:after="0" w:line="240" w:lineRule="auto"/>
    </w:pPr>
    <w:rPr>
      <w:rFonts w:ascii="Times New Roman" w:eastAsia="Times New Roman" w:hAnsi="Times New Roman" w:cs="Times New Roman"/>
      <w:sz w:val="24"/>
      <w:szCs w:val="24"/>
      <w:lang w:eastAsia="hr-HR"/>
    </w:rPr>
  </w:style>
  <w:style w:type="character" w:styleId="Istaknuto">
    <w:name w:val="Emphasis"/>
    <w:qFormat/>
    <w:rsid w:val="00317EE7"/>
    <w:rPr>
      <w:rFonts w:cs="Times New Roman"/>
      <w:i/>
      <w:iCs/>
    </w:rPr>
  </w:style>
  <w:style w:type="paragraph" w:customStyle="1" w:styleId="ListParagraph2">
    <w:name w:val="List Paragraph2"/>
    <w:basedOn w:val="Normal"/>
    <w:rsid w:val="00317EE7"/>
    <w:pPr>
      <w:ind w:left="720"/>
    </w:pPr>
  </w:style>
  <w:style w:type="paragraph" w:customStyle="1" w:styleId="ListParagraph1">
    <w:name w:val="List Paragraph1"/>
    <w:basedOn w:val="Normal"/>
    <w:rsid w:val="00317EE7"/>
    <w:pPr>
      <w:ind w:left="720"/>
    </w:pPr>
  </w:style>
  <w:style w:type="paragraph" w:customStyle="1" w:styleId="Slika">
    <w:name w:val="Slika"/>
    <w:basedOn w:val="Normal"/>
    <w:link w:val="SlikaCharChar"/>
    <w:qFormat/>
    <w:rsid w:val="00317EE7"/>
    <w:pPr>
      <w:spacing w:before="60"/>
      <w:jc w:val="center"/>
    </w:pPr>
    <w:rPr>
      <w:rFonts w:ascii="Arial" w:hAnsi="Arial"/>
      <w:i/>
      <w:noProof/>
      <w:sz w:val="22"/>
    </w:rPr>
  </w:style>
  <w:style w:type="character" w:customStyle="1" w:styleId="SlikaCharChar">
    <w:name w:val="Slika Char Char"/>
    <w:link w:val="Slika"/>
    <w:rsid w:val="00317EE7"/>
    <w:rPr>
      <w:rFonts w:ascii="Arial" w:eastAsia="Times New Roman" w:hAnsi="Arial" w:cs="Times New Roman"/>
      <w:i/>
      <w:noProof/>
      <w:szCs w:val="24"/>
    </w:rPr>
  </w:style>
  <w:style w:type="paragraph" w:customStyle="1" w:styleId="Tablica">
    <w:name w:val="Tablica"/>
    <w:basedOn w:val="Normal"/>
    <w:link w:val="TablicaChar"/>
    <w:qFormat/>
    <w:rsid w:val="00317EE7"/>
    <w:pPr>
      <w:spacing w:after="60"/>
    </w:pPr>
    <w:rPr>
      <w:rFonts w:ascii="Arial" w:hAnsi="Arial"/>
      <w:i/>
      <w:noProof/>
      <w:sz w:val="22"/>
    </w:rPr>
  </w:style>
  <w:style w:type="character" w:customStyle="1" w:styleId="TablicaChar">
    <w:name w:val="Tablica Char"/>
    <w:link w:val="Tablica"/>
    <w:rsid w:val="00317EE7"/>
    <w:rPr>
      <w:rFonts w:ascii="Arial" w:eastAsia="Times New Roman" w:hAnsi="Arial" w:cs="Times New Roman"/>
      <w:i/>
      <w:noProof/>
      <w:szCs w:val="24"/>
      <w:lang w:eastAsia="hr-HR"/>
    </w:rPr>
  </w:style>
  <w:style w:type="paragraph" w:customStyle="1" w:styleId="TableParagraph">
    <w:name w:val="Table Paragraph"/>
    <w:basedOn w:val="Normal"/>
    <w:uiPriority w:val="1"/>
    <w:qFormat/>
    <w:rsid w:val="00317EE7"/>
    <w:pPr>
      <w:widowControl w:val="0"/>
    </w:pPr>
    <w:rPr>
      <w:rFonts w:ascii="Calibri" w:eastAsia="Calibri" w:hAnsi="Calibri"/>
      <w:noProof/>
      <w:sz w:val="22"/>
      <w:szCs w:val="22"/>
      <w:lang w:val="en-US" w:eastAsia="en-US"/>
    </w:rPr>
  </w:style>
  <w:style w:type="paragraph" w:customStyle="1" w:styleId="06Text">
    <w:name w:val="06_Text"/>
    <w:basedOn w:val="Normal"/>
    <w:qFormat/>
    <w:rsid w:val="00317EE7"/>
    <w:pPr>
      <w:spacing w:before="240" w:after="240" w:line="360" w:lineRule="auto"/>
      <w:jc w:val="both"/>
    </w:pPr>
    <w:rPr>
      <w:rFonts w:ascii="Palatino Linotype" w:eastAsia="Calibri" w:hAnsi="Palatino Linotype"/>
      <w:sz w:val="20"/>
      <w:szCs w:val="22"/>
      <w:lang w:eastAsia="en-US"/>
    </w:rPr>
  </w:style>
  <w:style w:type="paragraph" w:styleId="Revizija">
    <w:name w:val="Revision"/>
    <w:hidden/>
    <w:uiPriority w:val="99"/>
    <w:semiHidden/>
    <w:rsid w:val="00317EE7"/>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317EE7"/>
    <w:pPr>
      <w:spacing w:before="100" w:beforeAutospacing="1" w:after="100" w:afterAutospacing="1"/>
    </w:pPr>
    <w:rPr>
      <w:rFonts w:eastAsia="Calibri"/>
    </w:rPr>
  </w:style>
  <w:style w:type="table" w:customStyle="1" w:styleId="Reetkatablice1">
    <w:name w:val="Rešetka tablice1"/>
    <w:basedOn w:val="Obinatablica"/>
    <w:next w:val="Reetkatablice"/>
    <w:uiPriority w:val="59"/>
    <w:rsid w:val="00317EE7"/>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1"/>
    <w:qFormat/>
    <w:rsid w:val="00317EE7"/>
    <w:pPr>
      <w:ind w:left="720"/>
      <w:contextualSpacing/>
    </w:pPr>
  </w:style>
  <w:style w:type="paragraph" w:styleId="Podnaslov">
    <w:name w:val="Subtitle"/>
    <w:basedOn w:val="Normal"/>
    <w:next w:val="Normal"/>
    <w:link w:val="PodnaslovChar"/>
    <w:qFormat/>
    <w:rsid w:val="00317E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rsid w:val="00317EE7"/>
    <w:rPr>
      <w:rFonts w:eastAsiaTheme="minorEastAsia"/>
      <w:color w:val="5A5A5A" w:themeColor="text1" w:themeTint="A5"/>
      <w:spacing w:val="15"/>
      <w:lang w:eastAsia="hr-HR"/>
    </w:rPr>
  </w:style>
  <w:style w:type="character" w:customStyle="1" w:styleId="Naslov5Char">
    <w:name w:val="Naslov 5 Char"/>
    <w:basedOn w:val="Zadanifontodlomka"/>
    <w:link w:val="Naslov5"/>
    <w:uiPriority w:val="9"/>
    <w:rsid w:val="007F396E"/>
    <w:rPr>
      <w:rFonts w:asciiTheme="majorHAnsi" w:eastAsiaTheme="majorEastAsia" w:hAnsiTheme="majorHAnsi" w:cstheme="majorBidi"/>
      <w:color w:val="243F60" w:themeColor="accent1" w:themeShade="7F"/>
      <w:sz w:val="24"/>
      <w:szCs w:val="24"/>
      <w:lang w:eastAsia="hr-HR"/>
    </w:rPr>
  </w:style>
  <w:style w:type="paragraph" w:styleId="StandardWeb">
    <w:name w:val="Normal (Web)"/>
    <w:basedOn w:val="Normal"/>
    <w:uiPriority w:val="99"/>
    <w:semiHidden/>
    <w:unhideWhenUsed/>
    <w:rsid w:val="001B18DF"/>
    <w:pPr>
      <w:spacing w:before="100" w:beforeAutospacing="1" w:after="100" w:afterAutospacing="1"/>
    </w:pPr>
  </w:style>
  <w:style w:type="paragraph" w:customStyle="1" w:styleId="AZOTablice">
    <w:name w:val="AZO Tablice"/>
    <w:basedOn w:val="Normal"/>
    <w:autoRedefine/>
    <w:qFormat/>
    <w:rsid w:val="00583DBD"/>
    <w:pPr>
      <w:spacing w:before="240" w:line="360" w:lineRule="auto"/>
      <w:ind w:left="-1134" w:firstLine="1134"/>
      <w:jc w:val="both"/>
    </w:pPr>
    <w:rPr>
      <w:rFonts w:ascii="Palatino Linotype" w:hAnsi="Palatino Linotype"/>
      <w:bCs/>
      <w:i/>
      <w:iCs/>
      <w:snapToGrid w:val="0"/>
      <w:sz w:val="20"/>
      <w:szCs w:val="20"/>
      <w:lang w:eastAsia="en-US"/>
    </w:rPr>
  </w:style>
  <w:style w:type="character" w:styleId="SlijeenaHiperveza">
    <w:name w:val="FollowedHyperlink"/>
    <w:basedOn w:val="Zadanifontodlomka"/>
    <w:semiHidden/>
    <w:unhideWhenUsed/>
    <w:rsid w:val="00AA4D81"/>
    <w:rPr>
      <w:color w:val="800080" w:themeColor="followedHyperlink"/>
      <w:u w:val="single"/>
    </w:rPr>
  </w:style>
  <w:style w:type="paragraph" w:styleId="TOCNaslov">
    <w:name w:val="TOC Heading"/>
    <w:basedOn w:val="Naslov1"/>
    <w:next w:val="Normal"/>
    <w:uiPriority w:val="39"/>
    <w:unhideWhenUsed/>
    <w:qFormat/>
    <w:rsid w:val="00430E7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adraj1">
    <w:name w:val="toc 1"/>
    <w:basedOn w:val="Normal"/>
    <w:next w:val="Normal"/>
    <w:autoRedefine/>
    <w:uiPriority w:val="39"/>
    <w:unhideWhenUsed/>
    <w:rsid w:val="00430E79"/>
    <w:pPr>
      <w:spacing w:after="100"/>
    </w:pPr>
  </w:style>
  <w:style w:type="paragraph" w:styleId="Sadraj2">
    <w:name w:val="toc 2"/>
    <w:basedOn w:val="Normal"/>
    <w:next w:val="Normal"/>
    <w:autoRedefine/>
    <w:uiPriority w:val="39"/>
    <w:unhideWhenUsed/>
    <w:rsid w:val="00430E79"/>
    <w:pPr>
      <w:spacing w:after="100"/>
      <w:ind w:left="240"/>
    </w:pPr>
  </w:style>
  <w:style w:type="paragraph" w:styleId="Sadraj3">
    <w:name w:val="toc 3"/>
    <w:basedOn w:val="Normal"/>
    <w:next w:val="Normal"/>
    <w:autoRedefine/>
    <w:uiPriority w:val="39"/>
    <w:unhideWhenUsed/>
    <w:rsid w:val="00430E79"/>
    <w:pPr>
      <w:spacing w:after="100"/>
      <w:ind w:left="480"/>
    </w:pPr>
  </w:style>
  <w:style w:type="paragraph" w:customStyle="1" w:styleId="CM10">
    <w:name w:val="CM10"/>
    <w:basedOn w:val="Normal"/>
    <w:next w:val="Normal"/>
    <w:uiPriority w:val="99"/>
    <w:rsid w:val="00C16409"/>
    <w:pPr>
      <w:widowControl w:val="0"/>
      <w:autoSpaceDE w:val="0"/>
      <w:autoSpaceDN w:val="0"/>
      <w:adjustRightInd w:val="0"/>
      <w:spacing w:line="231" w:lineRule="atLeast"/>
    </w:pPr>
    <w:rPr>
      <w:rFonts w:ascii="JLCBI N+ Minion Pro" w:eastAsiaTheme="minorEastAsia" w:hAnsi="JLCBI N+ Minion Pro" w:cstheme="minorBidi"/>
    </w:rPr>
  </w:style>
  <w:style w:type="paragraph" w:customStyle="1" w:styleId="CM11">
    <w:name w:val="CM11"/>
    <w:basedOn w:val="Normal"/>
    <w:next w:val="Normal"/>
    <w:uiPriority w:val="99"/>
    <w:rsid w:val="00C16409"/>
    <w:pPr>
      <w:widowControl w:val="0"/>
      <w:autoSpaceDE w:val="0"/>
      <w:autoSpaceDN w:val="0"/>
      <w:adjustRightInd w:val="0"/>
      <w:spacing w:line="233" w:lineRule="atLeast"/>
    </w:pPr>
    <w:rPr>
      <w:rFonts w:ascii="JLCBI N+ Minion Pro" w:eastAsiaTheme="minorEastAsia" w:hAnsi="JLCBI N+ Minion Pro"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2579">
      <w:bodyDiv w:val="1"/>
      <w:marLeft w:val="0"/>
      <w:marRight w:val="0"/>
      <w:marTop w:val="0"/>
      <w:marBottom w:val="0"/>
      <w:divBdr>
        <w:top w:val="none" w:sz="0" w:space="0" w:color="auto"/>
        <w:left w:val="none" w:sz="0" w:space="0" w:color="auto"/>
        <w:bottom w:val="none" w:sz="0" w:space="0" w:color="auto"/>
        <w:right w:val="none" w:sz="0" w:space="0" w:color="auto"/>
      </w:divBdr>
    </w:div>
    <w:div w:id="1084573134">
      <w:bodyDiv w:val="1"/>
      <w:marLeft w:val="0"/>
      <w:marRight w:val="0"/>
      <w:marTop w:val="0"/>
      <w:marBottom w:val="0"/>
      <w:divBdr>
        <w:top w:val="none" w:sz="0" w:space="0" w:color="auto"/>
        <w:left w:val="none" w:sz="0" w:space="0" w:color="auto"/>
        <w:bottom w:val="none" w:sz="0" w:space="0" w:color="auto"/>
        <w:right w:val="none" w:sz="0" w:space="0" w:color="auto"/>
      </w:divBdr>
    </w:div>
    <w:div w:id="1380936830">
      <w:bodyDiv w:val="1"/>
      <w:marLeft w:val="0"/>
      <w:marRight w:val="0"/>
      <w:marTop w:val="0"/>
      <w:marBottom w:val="0"/>
      <w:divBdr>
        <w:top w:val="none" w:sz="0" w:space="0" w:color="auto"/>
        <w:left w:val="none" w:sz="0" w:space="0" w:color="auto"/>
        <w:bottom w:val="none" w:sz="0" w:space="0" w:color="auto"/>
        <w:right w:val="none" w:sz="0" w:space="0" w:color="auto"/>
      </w:divBdr>
    </w:div>
    <w:div w:id="21314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png"/><Relationship Id="rId21" Type="http://schemas.openxmlformats.org/officeDocument/2006/relationships/image" Target="media/image10.emf"/><Relationship Id="rId34" Type="http://schemas.openxmlformats.org/officeDocument/2006/relationships/image" Target="cid:image001.png@01D4FAAD.C75A582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emf"/><Relationship Id="rId32" Type="http://schemas.openxmlformats.org/officeDocument/2006/relationships/image" Target="cid:image007.png@01D4FAAE.07BA244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cid:image004.png@01D4FAAD.C75A582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cid:image003.png@01D4FAAD.C75A582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FB0BB5FD16674DBA3C20501867D00F" ma:contentTypeVersion="6" ma:contentTypeDescription="Create a new document." ma:contentTypeScope="" ma:versionID="d39957049e8ecc67be0e23e515534ac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68C2-B306-4117-8701-7C3905490C8A}">
  <ds:schemaRefs>
    <ds:schemaRef ds:uri="http://schemas.microsoft.com/sharepoint/v3/contenttype/forms"/>
  </ds:schemaRefs>
</ds:datastoreItem>
</file>

<file path=customXml/itemProps2.xml><?xml version="1.0" encoding="utf-8"?>
<ds:datastoreItem xmlns:ds="http://schemas.openxmlformats.org/officeDocument/2006/customXml" ds:itemID="{F380285E-9434-4CD5-9B84-BA5CE3C4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B9F627-AA07-486D-AE75-3BE43A951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79E9BE-E0E3-4C56-85BB-84A6D54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50</Pages>
  <Words>18825</Words>
  <Characters>107307</Characters>
  <Application>Microsoft Office Word</Application>
  <DocSecurity>0</DocSecurity>
  <Lines>894</Lines>
  <Paragraphs>251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MZOPUG</Company>
  <LinksUpToDate>false</LinksUpToDate>
  <CharactersWithSpaces>125881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Kuharić</dc:creator>
  <cp:keywords/>
  <dc:description/>
  <cp:lastModifiedBy>Damir Bartolić</cp:lastModifiedBy>
  <cp:revision>63</cp:revision>
  <cp:lastPrinted>2019-03-01T09:33:00Z</cp:lastPrinted>
  <dcterms:created xsi:type="dcterms:W3CDTF">2019-05-10T09:41:00Z</dcterms:created>
  <dcterms:modified xsi:type="dcterms:W3CDTF">2019-05-14T07:48:00Z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0x010100C8FB0BB5FD16674DBA3C20501867D00F</vt:lpwstr>
  </property>
</Properties>
</file>