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BC" w:rsidRDefault="00E44DBC" w:rsidP="00E44DB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6585"/>
      </w:tblGrid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77A55" w:rsidRDefault="00177A55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:rsidR="00177A55" w:rsidRDefault="00177A55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:rsidR="00177A55" w:rsidRDefault="00177A55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77A55" w:rsidTr="00177A5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5" w:rsidRDefault="00177A55">
            <w:pPr>
              <w:pStyle w:val="tb-na16"/>
              <w:spacing w:after="240" w:afterAutospacing="0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Standardni obrazac sadržaja dokumenta za savjetovanje o nacrtu prijedloga: </w:t>
            </w:r>
          </w:p>
          <w:p w:rsidR="00177A55" w:rsidRDefault="001354DD" w:rsidP="00383B71">
            <w:pPr>
              <w:pStyle w:val="tb-na16"/>
              <w:spacing w:after="240" w:afterAutospacing="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>Prethodna procjena za izmjenu i dopunu Zakona o održivom gospodarenju otpadom</w:t>
            </w:r>
          </w:p>
        </w:tc>
      </w:tr>
      <w:tr w:rsidR="00177A55" w:rsidTr="00177A5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Pr="001C019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1C0195">
              <w:rPr>
                <w:rFonts w:ascii="Arial" w:eastAsia="Simsun (Founder Extended)" w:hAnsi="Arial" w:cs="Arial"/>
                <w:b/>
                <w:sz w:val="20"/>
                <w:szCs w:val="20"/>
              </w:rPr>
              <w:t>Ministarstvo zaštite okoliša i energetike</w:t>
            </w:r>
          </w:p>
        </w:tc>
      </w:tr>
      <w:tr w:rsidR="00177A55" w:rsidTr="0004659C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5" w:rsidRPr="00534BF7" w:rsidRDefault="001354DD" w:rsidP="00F421E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4DD">
              <w:rPr>
                <w:b/>
              </w:rPr>
              <w:t>Zakon o izmjenama i dopuni Zakona o održivom gospodarenju otpadom donosi se radi usklađenja sa Zakonom o sustavu državne uprave („Narodne novine“, broj 66/19) koji je na snazi od 18. srpnja 2019. godine u cilju provedbe Nacionalnog programa reformi 2019., u okviru reformskog prioriteta „Unaprjeđenje javne uprave“ koji uključuje mjeru „Decentralizacija i racionalizacija“.</w:t>
            </w:r>
          </w:p>
        </w:tc>
      </w:tr>
      <w:tr w:rsidR="00177A55" w:rsidTr="00177A5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354DD" w:rsidP="00AD4272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18</w:t>
            </w:r>
            <w:r w:rsidR="007F00B6">
              <w:rPr>
                <w:rFonts w:ascii="Arial" w:eastAsia="Simsun (Founder Extended)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7</w:t>
            </w:r>
            <w:r w:rsidR="00177A55">
              <w:rPr>
                <w:rFonts w:ascii="Arial" w:eastAsia="Simsun (Founder Extended)" w:hAnsi="Arial" w:cs="Arial"/>
                <w:b/>
                <w:sz w:val="20"/>
                <w:szCs w:val="20"/>
              </w:rPr>
              <w:t>.201</w:t>
            </w:r>
            <w:r w:rsidR="00AD4272">
              <w:rPr>
                <w:rFonts w:ascii="Arial" w:eastAsia="Simsun (Founder Extended)" w:hAnsi="Arial" w:cs="Arial"/>
                <w:b/>
                <w:sz w:val="20"/>
                <w:szCs w:val="20"/>
              </w:rPr>
              <w:t>9</w:t>
            </w:r>
            <w:r w:rsidR="00177A55">
              <w:rPr>
                <w:rFonts w:ascii="Arial" w:eastAsia="Simsun (Founder Extended)" w:hAnsi="Arial" w:cs="Arial"/>
                <w:sz w:val="20"/>
                <w:szCs w:val="20"/>
              </w:rPr>
              <w:t xml:space="preserve">. </w:t>
            </w:r>
          </w:p>
        </w:tc>
      </w:tr>
      <w:tr w:rsidR="00177A55" w:rsidTr="00177A5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Prva verzija za savjetovanje sa zainteresiranom javnošću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04" w:rsidRPr="00DF508A" w:rsidRDefault="00EE1C04" w:rsidP="00EE1C04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08A">
              <w:rPr>
                <w:rFonts w:ascii="Arial" w:hAnsi="Arial" w:cs="Arial"/>
                <w:sz w:val="20"/>
                <w:szCs w:val="20"/>
              </w:rPr>
              <w:t xml:space="preserve">sažetak (po mogućnosti ne duži od jedne stranice)  </w:t>
            </w:r>
          </w:p>
          <w:p w:rsidR="00177A55" w:rsidRPr="00184B5F" w:rsidRDefault="001354DD" w:rsidP="005912C0">
            <w:pPr>
              <w:spacing w:before="120" w:after="0" w:line="240" w:lineRule="auto"/>
              <w:jc w:val="both"/>
              <w:rPr>
                <w:b/>
              </w:rPr>
            </w:pPr>
            <w:r w:rsidRPr="001354DD">
              <w:rPr>
                <w:b/>
              </w:rPr>
              <w:t>Zakon o izmjenama i dopuni Zakona o održivom gospodarenju otpadom donosi se radi usklađenja sa Zakonom o sustavu državne uprave („Narodne novine“, broj 66/19) koji je na snazi od 18. srpnja 2019. godine u cilju provedbe Nacionalnog programa reformi 2019., u okviru reformskog prioriteta „Unaprjeđenje javne uprave“ koji uključuje mjeru „Decentralizacija i racionalizacija“. Ovim Zakonom uređuje se promjena nadležnosti nadzora zakonitosti Odluke o načinu pružanja javne usluge prikupljanja miješanog komunalnog otpada i prikupljanja biorazgradivog komunalnog otpada iz članka 30. stavka 7. Zakona o održivom gospodarenju otpadom (NN 94/13, 73/17 i 14/19), Odluke o obvezi plaćanja namjenske naknade iz članka 33. stavka 13. istoga Zakona i Odluke o provedbi posebnih mjera sprječavanja odbacivanja otpada iz članka 36. stavka 10. istoga Zakona i to na način da se nadležnost za navedeno prenosi s nadležnog ureda državne uprave u županiji na mjesno nadležno upravno tijelo te se dodatno, propisuje se da nadležnost za nadzor zakonitosti Odluke o načinu pružanja javne usluge prikupljanja miješanog komunalnog otpada i prikupljanja biorazgradivog komunalnog otpada iz članka 30. stavka 7. ovoga Zakona Grada Zagreba obavlja Ministarstvo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opis teme, prijedloga ili problema o kojemu se provodi savjetovanje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Opisano u sažetku dokumenta </w:t>
            </w:r>
          </w:p>
        </w:tc>
      </w:tr>
      <w:tr w:rsidR="00177A55" w:rsidRPr="00A60BFD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Pr="00A60BFD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60BFD">
              <w:rPr>
                <w:rFonts w:ascii="Arial" w:eastAsia="Simsun (Founder Extended)" w:hAnsi="Arial" w:cs="Arial"/>
                <w:sz w:val="20"/>
                <w:szCs w:val="20"/>
              </w:rPr>
              <w:t>svrha savjetovanja i, gdje je to prikladno, cilj koji bi se prijedlogom želio postići</w:t>
            </w:r>
          </w:p>
          <w:p w:rsidR="00177A55" w:rsidRPr="00090DE1" w:rsidRDefault="001354DD" w:rsidP="0013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Upoznavanje javnosti s p</w:t>
            </w:r>
            <w:r w:rsidRP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>rethodn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om procjenom</w:t>
            </w:r>
            <w:r w:rsidRP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 za izmjenu i dopunu Zakona o održivom gospodarenju otpadom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.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metoda savjetovanja koja će se primijeniti (internetsko savjetovanje, javna rasprava/javni skup, fokus-grupe, savjetodavni sastanci i sl.) uz napomenu da će se po potrebi kombinirati različite metode</w:t>
            </w:r>
          </w:p>
          <w:p w:rsidR="00177A55" w:rsidRDefault="00177A55" w:rsidP="00AD4272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Internetsko savjetovanje pute</w:t>
            </w:r>
            <w:r w:rsidR="00AD4272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m portala 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e-Savjetovanj</w:t>
            </w:r>
            <w:r w:rsidR="00AD4272">
              <w:rPr>
                <w:rFonts w:ascii="Arial" w:eastAsia="Simsun (Founder Extended)" w:hAnsi="Arial" w:cs="Arial"/>
                <w:b/>
                <w:sz w:val="20"/>
                <w:szCs w:val="20"/>
              </w:rPr>
              <w:t>a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problemi o kojima se traže stajališta; gdje god je moguće, probleme treba iznijeti u obliku jasnih pitanja i/ili jasno razloženih opcija, a valjalo bi izbjegavati jednostavne „da/ne“ odgovore; poželjna je kombinacija otvorenih i zatvorenih pitanja, a potrebno je uvijek ostaviti mogućnost da se izrazi stajalište i o temama koje nisu izrijekom obuhvaćene ponuđenim pitanjima.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objašnjenje eventualnih već donesenih odluka i pojašnjenje razloga za odabir pojedine opcije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ako je relevantno, različiti izvori mišljenja i informacija te činjenični podaci s temeljitim popratnim referencama (npr. znanstvenika ili skupina korisnika)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</w:t>
            </w:r>
          </w:p>
        </w:tc>
      </w:tr>
      <w:tr w:rsidR="00177A55" w:rsidTr="004531F3">
        <w:trPr>
          <w:trHeight w:val="1446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gdje je prikladno, objašnjenje o tome na koga bi prijedlog mogao utjecati i na koji način, uključujući procjenu odnosno izjavu o utjecaju koja se odnosi na vjerojatan utjecaj određenog prijedloga na određene sektore/ciljane skupine (primjerice, na bilo koju provedbenu ulogu ili predviđeno povećanje troškova)</w:t>
            </w:r>
          </w:p>
          <w:p w:rsidR="00177A55" w:rsidRDefault="00210A72" w:rsidP="001354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210A72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Pravilnikom se ne uvode naknade i davanja koja bi imala  učinke na financijske rezultate poslovanja poduzetnika. 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gdje je prikladno, poziv dionicima da podastru svoje zamisli ili procjenu o načinu na koji će komentari i prijedlozi utjecati na organizacije civilnoga društva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Pr="003A6CBE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3A6CBE">
              <w:rPr>
                <w:rFonts w:ascii="Arial" w:eastAsia="Simsun (Founder Extended)" w:hAnsi="Arial" w:cs="Arial"/>
                <w:sz w:val="20"/>
                <w:szCs w:val="20"/>
              </w:rPr>
              <w:t>rok zaprimanja komentara i, gdje god je moguće, prijedlog rokova za ostatak procesa savjetovanja, uključujući izjavu o načinu na koji će biti pružena povratna informacija</w:t>
            </w:r>
          </w:p>
          <w:p w:rsidR="00177A55" w:rsidRPr="003A6CBE" w:rsidRDefault="00177A55" w:rsidP="001354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Rok za zaprimanje komentara je </w:t>
            </w:r>
            <w:r w:rsid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>15</w:t>
            </w: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 dana od dana objave, od </w:t>
            </w:r>
            <w:r w:rsid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>23</w:t>
            </w: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. </w:t>
            </w:r>
            <w:r w:rsid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>srpnja</w:t>
            </w: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 do </w:t>
            </w:r>
            <w:r w:rsid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>7</w:t>
            </w: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. </w:t>
            </w:r>
            <w:r w:rsid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>kolovoza</w:t>
            </w: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 201</w:t>
            </w:r>
            <w:r w:rsidR="00192630"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>9</w:t>
            </w: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. godine, a očekivana objava izvješća je do </w:t>
            </w:r>
            <w:r w:rsid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>7</w:t>
            </w: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. </w:t>
            </w:r>
            <w:r w:rsidR="001354DD">
              <w:rPr>
                <w:rFonts w:ascii="Arial" w:eastAsia="Simsun (Founder Extended)" w:hAnsi="Arial" w:cs="Arial"/>
                <w:b/>
                <w:sz w:val="20"/>
                <w:szCs w:val="20"/>
              </w:rPr>
              <w:t>rujna</w:t>
            </w: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 201</w:t>
            </w:r>
            <w:r w:rsidR="00192630"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>9</w:t>
            </w:r>
            <w:r w:rsidRPr="003A6CBE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. godine. </w:t>
            </w:r>
            <w:bookmarkStart w:id="0" w:name="_GoBack"/>
            <w:bookmarkEnd w:id="0"/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ime, adresa i, gdje god je moguće, broj telefona i e-mail adresa osobe kojoj se sudionici savjetovanja mogu obratiti za dodatne upite (koordinator savjetovanja)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popis osoba/institucija ili sl. s kojima se provodi savjetovanje; u dokumentu bi se moglo također tražiti od konzultiranih stranaka da predlože organizaciju ili pojedince koji bi/s kojima bi valjalo obaviti savjetovanje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zahtjev dionicima da objasne tko su i, gdje je relevantno, koga predstavljaju i koga su posebno dodatno konzultirali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izjava da će zaprimljeni komentari biti javno dostupni, osim anonimnih, uvredljivih i irelevantnih komentara koji se neće objaviti</w:t>
            </w:r>
          </w:p>
          <w:p w:rsidR="00177A55" w:rsidRDefault="00177A55" w:rsidP="00AD4272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Zaprimljeni komentari su javno dostupni na </w:t>
            </w:r>
            <w:r w:rsidR="00AD4272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portalu 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e-Savjetovanj</w:t>
            </w:r>
            <w:r w:rsidR="00AD4272">
              <w:rPr>
                <w:rFonts w:ascii="Arial" w:eastAsia="Simsun (Founder Extended)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. Evidentiraju se automatski u </w:t>
            </w:r>
            <w:r w:rsidR="002C42C9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trenutku </w:t>
            </w:r>
            <w:r w:rsidR="00AD4272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kad su zaprimljeni isto kao i odgovori 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od Ministarstva zaštite okoliša i energetike.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pojašnjenje eventualnih ograničenja koja bi mogla dovesti u pitanje potpunu primjenu Kodeksa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</w:t>
            </w:r>
          </w:p>
        </w:tc>
      </w:tr>
      <w:tr w:rsidR="00177A55" w:rsidTr="00177A55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5" w:rsidRDefault="00177A55" w:rsidP="00097839">
            <w:pPr>
              <w:numPr>
                <w:ilvl w:val="0"/>
                <w:numId w:val="3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poziv za dostavu povratnih informacija o samom procesu savjetovanja te prijedloga za poboljšanje savjetovanja u budućnosti</w:t>
            </w:r>
          </w:p>
          <w:p w:rsidR="00177A55" w:rsidRDefault="00177A5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</w:tc>
      </w:tr>
    </w:tbl>
    <w:p w:rsidR="00E44DBC" w:rsidRDefault="00E44DBC" w:rsidP="00E44DBC">
      <w:pPr>
        <w:rPr>
          <w:rFonts w:ascii="Arial" w:hAnsi="Arial" w:cs="Arial"/>
          <w:sz w:val="20"/>
          <w:szCs w:val="20"/>
        </w:rPr>
      </w:pPr>
    </w:p>
    <w:p w:rsidR="009B1015" w:rsidRDefault="009B1015"/>
    <w:sectPr w:rsidR="009B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4F31"/>
    <w:multiLevelType w:val="hybridMultilevel"/>
    <w:tmpl w:val="C51C5B74"/>
    <w:lvl w:ilvl="0" w:tplc="FDEAC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1B1CD9"/>
    <w:multiLevelType w:val="hybridMultilevel"/>
    <w:tmpl w:val="E33400F8"/>
    <w:lvl w:ilvl="0" w:tplc="98929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C381E"/>
    <w:multiLevelType w:val="hybridMultilevel"/>
    <w:tmpl w:val="A25E831A"/>
    <w:lvl w:ilvl="0" w:tplc="00948D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BC"/>
    <w:rsid w:val="00000545"/>
    <w:rsid w:val="00011E21"/>
    <w:rsid w:val="0004659C"/>
    <w:rsid w:val="00090DE1"/>
    <w:rsid w:val="000C0861"/>
    <w:rsid w:val="001354DD"/>
    <w:rsid w:val="00177A55"/>
    <w:rsid w:val="00184B5F"/>
    <w:rsid w:val="00192630"/>
    <w:rsid w:val="001C0195"/>
    <w:rsid w:val="00210A72"/>
    <w:rsid w:val="00223F4D"/>
    <w:rsid w:val="00267B83"/>
    <w:rsid w:val="002B24DD"/>
    <w:rsid w:val="002C42C9"/>
    <w:rsid w:val="002D7F77"/>
    <w:rsid w:val="0034330F"/>
    <w:rsid w:val="0037643E"/>
    <w:rsid w:val="00383B71"/>
    <w:rsid w:val="003A6CBE"/>
    <w:rsid w:val="003D2305"/>
    <w:rsid w:val="00410076"/>
    <w:rsid w:val="0042128D"/>
    <w:rsid w:val="004531F3"/>
    <w:rsid w:val="0047644E"/>
    <w:rsid w:val="00480383"/>
    <w:rsid w:val="004932C0"/>
    <w:rsid w:val="004E0609"/>
    <w:rsid w:val="00534BF7"/>
    <w:rsid w:val="00556479"/>
    <w:rsid w:val="00564AD6"/>
    <w:rsid w:val="00571662"/>
    <w:rsid w:val="0057396C"/>
    <w:rsid w:val="0058114F"/>
    <w:rsid w:val="005912C0"/>
    <w:rsid w:val="005A3441"/>
    <w:rsid w:val="005C41C1"/>
    <w:rsid w:val="0060505E"/>
    <w:rsid w:val="006051A7"/>
    <w:rsid w:val="0064670F"/>
    <w:rsid w:val="00656867"/>
    <w:rsid w:val="00682F37"/>
    <w:rsid w:val="00683A5E"/>
    <w:rsid w:val="00695930"/>
    <w:rsid w:val="0071029D"/>
    <w:rsid w:val="007A59B8"/>
    <w:rsid w:val="007C2B5A"/>
    <w:rsid w:val="007C7A76"/>
    <w:rsid w:val="007E5364"/>
    <w:rsid w:val="007F00B6"/>
    <w:rsid w:val="00830390"/>
    <w:rsid w:val="00905134"/>
    <w:rsid w:val="00913369"/>
    <w:rsid w:val="009A7F9F"/>
    <w:rsid w:val="009B1015"/>
    <w:rsid w:val="00A60BFD"/>
    <w:rsid w:val="00AD4272"/>
    <w:rsid w:val="00AF03C5"/>
    <w:rsid w:val="00B22F0A"/>
    <w:rsid w:val="00B44064"/>
    <w:rsid w:val="00B94CD7"/>
    <w:rsid w:val="00CD6EE9"/>
    <w:rsid w:val="00CE3B78"/>
    <w:rsid w:val="00D02A34"/>
    <w:rsid w:val="00D02E43"/>
    <w:rsid w:val="00D46279"/>
    <w:rsid w:val="00DE5D86"/>
    <w:rsid w:val="00DF508A"/>
    <w:rsid w:val="00E218C9"/>
    <w:rsid w:val="00E403E5"/>
    <w:rsid w:val="00E44DBC"/>
    <w:rsid w:val="00E468DA"/>
    <w:rsid w:val="00E978B4"/>
    <w:rsid w:val="00EE1C04"/>
    <w:rsid w:val="00EE7D12"/>
    <w:rsid w:val="00F1092C"/>
    <w:rsid w:val="00F1589D"/>
    <w:rsid w:val="00F32440"/>
    <w:rsid w:val="00F421E7"/>
    <w:rsid w:val="00F7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49C4"/>
  <w15:docId w15:val="{C1E2CA7F-A419-44AB-8929-3E2C0DD4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4DBC"/>
    <w:pPr>
      <w:spacing w:after="0" w:line="240" w:lineRule="auto"/>
      <w:ind w:left="720"/>
      <w:contextualSpacing/>
    </w:pPr>
  </w:style>
  <w:style w:type="paragraph" w:customStyle="1" w:styleId="tb-na16">
    <w:name w:val="tb-na16"/>
    <w:basedOn w:val="Normal"/>
    <w:rsid w:val="00E44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5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Etica Markuš</dc:creator>
  <cp:lastModifiedBy>Tonćika Jarak</cp:lastModifiedBy>
  <cp:revision>3</cp:revision>
  <dcterms:created xsi:type="dcterms:W3CDTF">2019-07-23T09:16:00Z</dcterms:created>
  <dcterms:modified xsi:type="dcterms:W3CDTF">2019-07-23T09:25:00Z</dcterms:modified>
</cp:coreProperties>
</file>