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86"/>
        <w:gridCol w:w="268"/>
        <w:gridCol w:w="885"/>
        <w:gridCol w:w="30"/>
        <w:gridCol w:w="885"/>
      </w:tblGrid>
      <w:tr w:rsidR="00BE4768" w:rsidRPr="00BE4768" w:rsidTr="00341000">
        <w:tc>
          <w:tcPr>
            <w:tcW w:w="892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Title"/>
              <w:jc w:val="center"/>
              <w:rPr>
                <w:rFonts w:eastAsiaTheme="minorEastAsia"/>
                <w:lang w:eastAsia="hr-HR"/>
              </w:rPr>
            </w:pPr>
            <w:r w:rsidRPr="00BE4768">
              <w:rPr>
                <w:rFonts w:eastAsiaTheme="minorEastAsia"/>
                <w:lang w:eastAsia="hr-HR"/>
              </w:rPr>
              <w:t>PRILOG 1.</w:t>
            </w:r>
          </w:p>
          <w:p w:rsidR="00BE4768" w:rsidRPr="00BE4768" w:rsidRDefault="00BE4768" w:rsidP="0032334C">
            <w:pPr>
              <w:pStyle w:val="Title"/>
              <w:jc w:val="center"/>
              <w:rPr>
                <w:rFonts w:eastAsiaTheme="minorEastAsia"/>
                <w:lang w:eastAsia="hr-HR"/>
              </w:rPr>
            </w:pPr>
            <w:r w:rsidRPr="00BE4768">
              <w:rPr>
                <w:rFonts w:eastAsiaTheme="minorEastAsia"/>
                <w:lang w:eastAsia="hr-HR"/>
              </w:rPr>
              <w:t>OBRAZAC PRETHODNE PROCJENE</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OPĆE INFORMACIJE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D22B4A"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softHyphen/>
              <w:t>Ministarstvo mora, prometa i infrastrukture</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D22B4A" w:rsidP="00341000">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cestama</w:t>
            </w:r>
            <w:r w:rsidR="00BE4768" w:rsidRPr="00BE4768">
              <w:rPr>
                <w:rFonts w:ascii="Times New Roman" w:eastAsiaTheme="minorEastAsia" w:hAnsi="Times New Roman" w:cs="Times New Roman"/>
                <w:sz w:val="24"/>
                <w:szCs w:val="24"/>
                <w:lang w:eastAsia="hr-HR"/>
              </w:rPr>
              <w:t xml:space="preser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9F4A49"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w:t>
            </w:r>
            <w:r w:rsidR="00341000">
              <w:rPr>
                <w:rFonts w:ascii="Times New Roman" w:eastAsiaTheme="minorEastAsia" w:hAnsi="Times New Roman" w:cs="Times New Roman"/>
                <w:sz w:val="24"/>
                <w:szCs w:val="24"/>
                <w:lang w:eastAsia="hr-HR"/>
              </w:rPr>
              <w:t>. srpnja 2019</w:t>
            </w:r>
            <w:r w:rsidR="00BE4768" w:rsidRPr="00BE4768">
              <w:rPr>
                <w:rFonts w:ascii="Times New Roman" w:eastAsiaTheme="minorEastAsia" w:hAnsi="Times New Roman" w:cs="Times New Roman"/>
                <w:sz w:val="24"/>
                <w:szCs w:val="24"/>
                <w:lang w:eastAsia="hr-HR"/>
              </w:rPr>
              <w:t xml:space="preser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D22B4A" w:rsidRPr="009B65D3" w:rsidRDefault="00D22B4A" w:rsidP="00D22B4A">
            <w:pPr>
              <w:shd w:val="clear" w:color="auto" w:fill="FFFFFF"/>
              <w:spacing w:after="0" w:line="240" w:lineRule="auto"/>
              <w:rPr>
                <w:rFonts w:ascii="Times New Roman" w:eastAsiaTheme="minorEastAsia" w:hAnsi="Times New Roman" w:cs="Times New Roman"/>
                <w:sz w:val="24"/>
                <w:szCs w:val="24"/>
                <w:lang w:eastAsia="hr-HR"/>
              </w:rPr>
            </w:pPr>
            <w:r w:rsidRPr="009B65D3">
              <w:rPr>
                <w:rFonts w:ascii="Times New Roman" w:eastAsiaTheme="minorEastAsia" w:hAnsi="Times New Roman" w:cs="Times New Roman"/>
                <w:sz w:val="24"/>
                <w:szCs w:val="24"/>
                <w:lang w:eastAsia="hr-HR"/>
              </w:rPr>
              <w:t>Glavno tajništvo</w:t>
            </w:r>
          </w:p>
          <w:p w:rsidR="00D22B4A" w:rsidRPr="009B65D3" w:rsidRDefault="00D22B4A" w:rsidP="00D22B4A">
            <w:pPr>
              <w:shd w:val="clear" w:color="auto" w:fill="FFFFFF"/>
              <w:spacing w:after="0" w:line="240" w:lineRule="auto"/>
              <w:rPr>
                <w:rFonts w:ascii="Times New Roman" w:eastAsiaTheme="minorEastAsia" w:hAnsi="Times New Roman" w:cs="Times New Roman"/>
                <w:sz w:val="24"/>
                <w:szCs w:val="24"/>
                <w:lang w:eastAsia="hr-HR"/>
              </w:rPr>
            </w:pPr>
            <w:r w:rsidRPr="009B65D3">
              <w:rPr>
                <w:rFonts w:ascii="Times New Roman" w:eastAsiaTheme="minorEastAsia" w:hAnsi="Times New Roman" w:cs="Times New Roman"/>
                <w:sz w:val="24"/>
                <w:szCs w:val="24"/>
                <w:lang w:eastAsia="hr-HR"/>
              </w:rPr>
              <w:t>Dražen Ivanušec, Glavni tajnik</w:t>
            </w:r>
          </w:p>
          <w:p w:rsidR="00D22B4A" w:rsidRPr="009B65D3" w:rsidRDefault="00D22B4A" w:rsidP="00D22B4A">
            <w:pPr>
              <w:shd w:val="clear" w:color="auto" w:fill="FFFFFF"/>
              <w:spacing w:after="0" w:line="240" w:lineRule="auto"/>
            </w:pPr>
            <w:r w:rsidRPr="009B65D3">
              <w:rPr>
                <w:rFonts w:ascii="Times New Roman" w:eastAsiaTheme="minorEastAsia" w:hAnsi="Times New Roman" w:cs="Times New Roman"/>
                <w:sz w:val="24"/>
                <w:szCs w:val="24"/>
                <w:lang w:eastAsia="hr-HR"/>
              </w:rPr>
              <w:t>tel. 01/</w:t>
            </w:r>
            <w:r w:rsidRPr="009B65D3">
              <w:t xml:space="preserve"> </w:t>
            </w:r>
            <w:r w:rsidRPr="009B65D3">
              <w:rPr>
                <w:rFonts w:ascii="Times New Roman" w:eastAsiaTheme="minorEastAsia" w:hAnsi="Times New Roman" w:cs="Times New Roman"/>
                <w:sz w:val="24"/>
                <w:szCs w:val="24"/>
                <w:lang w:eastAsia="hr-HR"/>
              </w:rPr>
              <w:t xml:space="preserve">6169 150, e-pošta: </w:t>
            </w:r>
            <w:hyperlink r:id="rId5" w:history="1">
              <w:r w:rsidR="004F0C6A" w:rsidRPr="00115D72">
                <w:rPr>
                  <w:rStyle w:val="Hyperlink"/>
                </w:rPr>
                <w:t>drazen.ivanusec@mmpi.hr</w:t>
              </w:r>
            </w:hyperlink>
          </w:p>
          <w:p w:rsidR="00BE4768" w:rsidRPr="00BE4768" w:rsidRDefault="00BE4768" w:rsidP="00D22B4A">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FF4E09"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FF4E09" w:rsidRDefault="00FF4E09" w:rsidP="00FF4E09">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Naziv akta: Nacionalni program reformi 2019.</w:t>
            </w:r>
          </w:p>
          <w:p w:rsidR="00FF4E09" w:rsidRDefault="00FF4E09" w:rsidP="00FF4E09">
            <w:pPr>
              <w:shd w:val="clear" w:color="auto" w:fill="FFFFFF"/>
              <w:spacing w:after="0" w:line="240" w:lineRule="auto"/>
              <w:rPr>
                <w:rFonts w:ascii="Times New Roman" w:eastAsiaTheme="minorEastAsia" w:hAnsi="Times New Roman" w:cs="Times New Roman"/>
                <w:sz w:val="24"/>
                <w:szCs w:val="24"/>
                <w:lang w:eastAsia="hr-HR"/>
              </w:rPr>
            </w:pPr>
          </w:p>
          <w:p w:rsidR="00BE4768" w:rsidRPr="00BE4768" w:rsidRDefault="00FF4E09" w:rsidP="00FF4E09">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Opis mjere: Provedba mjere 1.4.4. Decentralizacija i racionalizacija</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r w:rsidR="00BE4768" w:rsidRPr="00BE4768" w:rsidTr="00341000">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ANALIZA POSTOJEĆEG STANJA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341000"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novog </w:t>
            </w:r>
            <w:r w:rsidR="00D22B4A">
              <w:rPr>
                <w:rFonts w:ascii="Times New Roman" w:eastAsiaTheme="minorEastAsia" w:hAnsi="Times New Roman" w:cs="Times New Roman"/>
                <w:sz w:val="24"/>
                <w:szCs w:val="24"/>
                <w:lang w:eastAsia="hr-HR"/>
              </w:rPr>
              <w:t>Zakona o izmjenama zakona o cestama</w:t>
            </w:r>
            <w:r w:rsidR="00341000">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je</w:t>
            </w:r>
            <w:r w:rsidR="00341000">
              <w:rPr>
                <w:rFonts w:ascii="Times New Roman" w:eastAsiaTheme="minorEastAsia" w:hAnsi="Times New Roman" w:cs="Times New Roman"/>
                <w:sz w:val="24"/>
                <w:szCs w:val="24"/>
                <w:lang w:eastAsia="hr-HR"/>
              </w:rPr>
              <w:t xml:space="preserve"> jedinstvenost pravnog sustava Republike Hrvatske, a s obzirom da je Zakon o sustavu državne uprave („Narodne novine“, broj 66/19) na snazi od 18. srpnja 2019. godine</w:t>
            </w:r>
            <w:r w:rsidR="002A1927">
              <w:rPr>
                <w:rFonts w:ascii="Times New Roman" w:eastAsiaTheme="minorEastAsia" w:hAnsi="Times New Roman" w:cs="Times New Roman"/>
                <w:sz w:val="24"/>
                <w:szCs w:val="24"/>
                <w:lang w:eastAsia="hr-HR"/>
              </w:rPr>
              <w:t xml:space="preserve">. Zakon o sustavu državne uprave donijet je u cilju provedbe Nacionalnog programa reformi 2019., u okviru reformskog prioriteta „Unaprjeđenje javne uprave“ koji uključuje mjeru „Decentralizacija i racionalizacija“, a </w:t>
            </w:r>
            <w:r w:rsidR="00860C1E">
              <w:rPr>
                <w:rFonts w:ascii="Times New Roman" w:eastAsiaTheme="minorEastAsia" w:hAnsi="Times New Roman" w:cs="Times New Roman"/>
                <w:sz w:val="24"/>
                <w:szCs w:val="24"/>
                <w:lang w:eastAsia="hr-HR"/>
              </w:rPr>
              <w:t>imajući u vidu</w:t>
            </w:r>
            <w:r w:rsidR="002A1927">
              <w:rPr>
                <w:rFonts w:ascii="Times New Roman" w:eastAsiaTheme="minorEastAsia" w:hAnsi="Times New Roman" w:cs="Times New Roman"/>
                <w:sz w:val="24"/>
                <w:szCs w:val="24"/>
                <w:lang w:eastAsia="hr-HR"/>
              </w:rPr>
              <w:t>:</w:t>
            </w:r>
          </w:p>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-fragmentiran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sidR="002A1927">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w:t>
            </w:r>
            <w:r w:rsidRPr="00BE4768">
              <w:rPr>
                <w:rFonts w:ascii="Times New Roman" w:eastAsiaTheme="minorEastAsia" w:hAnsi="Times New Roman" w:cs="Times New Roman"/>
                <w:sz w:val="24"/>
                <w:szCs w:val="24"/>
                <w:lang w:eastAsia="hr-HR"/>
              </w:rPr>
              <w:lastRenderedPageBreak/>
              <w:t xml:space="preserve">nadležnosti središnjih tijela državne uprave u županijama, gradovima i općinama ustrojeno ukupno 1299 područnih jedinica središnjih tijela državne uprave i njihovih ispostava; </w:t>
            </w:r>
          </w:p>
          <w:p w:rsid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002A1927">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sidR="002A1927">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sidR="002A1927">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sidR="002A1927">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sidR="002A1927">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sidR="00860C1E">
              <w:rPr>
                <w:rFonts w:ascii="Times New Roman" w:eastAsiaTheme="minorEastAsia" w:hAnsi="Times New Roman" w:cs="Times New Roman"/>
                <w:sz w:val="24"/>
                <w:szCs w:val="24"/>
                <w:lang w:eastAsia="hr-HR"/>
              </w:rPr>
              <w:t>tanje ne uređuje detaljnije.</w:t>
            </w:r>
          </w:p>
          <w:p w:rsidR="00BE4768" w:rsidRPr="00BE4768" w:rsidRDefault="00BE4768" w:rsidP="00723B93">
            <w:pPr>
              <w:spacing w:after="0" w:line="240" w:lineRule="auto"/>
              <w:jc w:val="both"/>
              <w:rPr>
                <w:rFonts w:ascii="Times New Roman" w:eastAsiaTheme="minorEastAsia" w:hAnsi="Times New Roman" w:cs="Times New Roman"/>
                <w:sz w:val="24"/>
                <w:szCs w:val="24"/>
                <w:lang w:eastAsia="hr-HR"/>
              </w:rPr>
            </w:pP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Default="00723B93" w:rsidP="00BE4768">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Izrada predmetnog Zakona potrebna je radi radi uspostave jedinstvenog pravnog poretka Republike Hrvatske, budući da je stupio na snagu Zakon o sustavu državne uprave. Potrebno je uspostaviti </w:t>
            </w:r>
            <w:r w:rsidR="00BE4768"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00BE4768"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00BE4768"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723B93" w:rsidRPr="00BE4768" w:rsidRDefault="00723B93" w:rsidP="00F31467">
            <w:pPr>
              <w:spacing w:after="0" w:line="240" w:lineRule="auto"/>
              <w:jc w:val="both"/>
              <w:rPr>
                <w:rFonts w:ascii="Times New Roman" w:eastAsiaTheme="minorEastAsia" w:hAnsi="Times New Roman" w:cs="Times New Roman"/>
                <w:sz w:val="24"/>
                <w:szCs w:val="24"/>
                <w:lang w:eastAsia="hr-HR"/>
              </w:rPr>
            </w:pPr>
          </w:p>
        </w:tc>
      </w:tr>
      <w:tr w:rsidR="00BE4768" w:rsidRPr="00BE4768" w:rsidTr="00341000">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360047" w:rsidP="00360047">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BE4768" w:rsidRPr="00BE4768" w:rsidTr="00341000">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UTVRĐIVANJE ISHODA ODNOSNO PROMJENA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preglednu i jasnu sliku mreža institucija kojima se mogu obratiti u ostvarivanju svojih pojedinih prava, uređenje obavljanja upravnih funkcija i poslova, utvrđivanje kriterija za povjeravanje poslova državne uprave jedinicama lokalne i područne (regionalne) samouprave i pravnim osobama s javnim ovlastima te </w:t>
            </w:r>
            <w:r w:rsidRPr="00BE4768">
              <w:rPr>
                <w:rFonts w:ascii="Times New Roman" w:eastAsiaTheme="minorEastAsia" w:hAnsi="Times New Roman" w:cs="Times New Roman"/>
                <w:sz w:val="24"/>
                <w:szCs w:val="24"/>
                <w:lang w:eastAsia="hr-HR"/>
              </w:rPr>
              <w:lastRenderedPageBreak/>
              <w:t xml:space="preserve">unaprjeđenje  horizontalne i vertikalne suradnje tijela državne uprave. </w:t>
            </w:r>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textAlignment w:val="baseline"/>
              <w:rPr>
                <w:rFonts w:ascii="Times New Roman" w:eastAsiaTheme="minorEastAsia" w:hAnsi="Times New Roman" w:cs="Times New Roman"/>
                <w:sz w:val="24"/>
                <w:szCs w:val="24"/>
                <w:lang w:eastAsia="hr-HR"/>
              </w:rPr>
            </w:pPr>
            <w:bookmarkStart w:id="0" w:name="_GoBack"/>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bookmarkEnd w:id="0"/>
          </w:p>
        </w:tc>
      </w:tr>
      <w:tr w:rsidR="00BE4768" w:rsidRPr="00BE4768" w:rsidTr="00341000">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sidR="00360047">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r w:rsidR="00BE4768" w:rsidRPr="00BE4768" w:rsidTr="00341000">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UTVRĐIVANJE RJEŠENJA </w:t>
            </w:r>
          </w:p>
        </w:tc>
      </w:tr>
      <w:tr w:rsidR="00BE4768" w:rsidRPr="00BE4768" w:rsidTr="00341000">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sidR="00D22B4A">
              <w:rPr>
                <w:rFonts w:ascii="Times New Roman" w:eastAsiaTheme="minorEastAsia" w:hAnsi="Times New Roman" w:cs="Times New Roman"/>
                <w:sz w:val="24"/>
                <w:szCs w:val="24"/>
                <w:lang w:eastAsia="hr-HR"/>
              </w:rPr>
              <w:t>Zakona o izmjenama zakona o cestama</w:t>
            </w:r>
          </w:p>
        </w:tc>
      </w:tr>
      <w:tr w:rsidR="00BE4768" w:rsidRPr="00BE4768" w:rsidTr="00341000">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D22B4A" w:rsidP="00BE4768">
            <w:pPr>
              <w:spacing w:after="0" w:line="240" w:lineRule="auto"/>
              <w:jc w:val="both"/>
              <w:rPr>
                <w:rFonts w:ascii="Times New Roman" w:eastAsiaTheme="minorEastAsia" w:hAnsi="Times New Roman" w:cs="Times New Roman"/>
                <w:sz w:val="24"/>
                <w:szCs w:val="24"/>
                <w:lang w:eastAsia="hr-HR"/>
              </w:rPr>
            </w:pPr>
            <w:r w:rsidRPr="00D22B4A">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D22B4A">
              <w:rPr>
                <w:rFonts w:ascii="Times New Roman" w:eastAsiaTheme="minorEastAsia" w:hAnsi="Times New Roman" w:cs="Times New Roman"/>
                <w:sz w:val="24"/>
                <w:szCs w:val="24"/>
                <w:lang w:eastAsia="hr-HR"/>
              </w:rPr>
              <w:t xml:space="preserve"> o izmjenama zakona o cestama </w:t>
            </w:r>
            <w:r w:rsidR="00BE4768" w:rsidRPr="00BE4768">
              <w:rPr>
                <w:rFonts w:ascii="Times New Roman" w:eastAsiaTheme="minorEastAsia" w:hAnsi="Times New Roman" w:cs="Times New Roman"/>
                <w:sz w:val="24"/>
                <w:szCs w:val="24"/>
                <w:lang w:eastAsia="hr-HR"/>
              </w:rPr>
              <w:t xml:space="preserve">osigurati će se zakonske pretpostavke za rješavanje uočenih problema i nedostataka </w:t>
            </w:r>
          </w:p>
        </w:tc>
      </w:tr>
      <w:tr w:rsidR="00BE4768" w:rsidRPr="00BE4768" w:rsidTr="00341000">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BE4768" w:rsidRPr="00BE4768" w:rsidTr="00341000">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UTVRĐIVANJE IZRAVNIH UČINAKA I ADRESATA </w:t>
            </w:r>
          </w:p>
        </w:tc>
      </w:tr>
      <w:tr w:rsidR="00BE4768" w:rsidRPr="00BE4768" w:rsidTr="00341000">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BE4768" w:rsidRPr="00BE4768" w:rsidTr="00341000">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341000">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5.1.28.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341000">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sidRPr="00D22B4A">
              <w:rPr>
                <w:rFonts w:ascii="Times New Roman" w:eastAsiaTheme="minorEastAsia" w:hAnsi="Times New Roman" w:cs="Times New Roman"/>
                <w:sz w:val="24"/>
                <w:szCs w:val="24"/>
                <w:lang w:eastAsia="hr-HR"/>
              </w:rPr>
              <w:t>Zakon</w:t>
            </w:r>
            <w:r w:rsidR="00D22B4A">
              <w:rPr>
                <w:rFonts w:ascii="Times New Roman" w:eastAsiaTheme="minorEastAsia" w:hAnsi="Times New Roman" w:cs="Times New Roman"/>
                <w:sz w:val="24"/>
                <w:szCs w:val="24"/>
                <w:lang w:eastAsia="hr-HR"/>
              </w:rPr>
              <w:t>om</w:t>
            </w:r>
            <w:r w:rsidR="00D22B4A" w:rsidRPr="00D22B4A">
              <w:rPr>
                <w:rFonts w:ascii="Times New Roman" w:eastAsiaTheme="minorEastAsia" w:hAnsi="Times New Roman" w:cs="Times New Roman"/>
                <w:sz w:val="24"/>
                <w:szCs w:val="24"/>
                <w:lang w:eastAsia="hr-HR"/>
              </w:rPr>
              <w:t xml:space="preserve"> o izmjenama zakona o cestama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341000">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rad i tržište rada. </w:t>
            </w:r>
          </w:p>
        </w:tc>
      </w:tr>
      <w:tr w:rsidR="00BE4768" w:rsidRPr="00BE4768" w:rsidTr="00341000">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roofErr w:type="spellStart"/>
            <w:r w:rsidRPr="00BE4768">
              <w:rPr>
                <w:rFonts w:ascii="Times New Roman" w:eastAsiaTheme="minorEastAsia" w:hAnsi="Times New Roman" w:cs="Times New Roman"/>
                <w:sz w:val="24"/>
                <w:szCs w:val="24"/>
                <w:lang w:eastAsia="hr-HR"/>
              </w:rPr>
              <w:t>Bioraznolikost</w:t>
            </w:r>
            <w:proofErr w:type="spellEnd"/>
            <w:r w:rsidRPr="00BE4768">
              <w:rPr>
                <w:rFonts w:ascii="Times New Roman" w:eastAsiaTheme="minorEastAsia" w:hAnsi="Times New Roman" w:cs="Times New Roman"/>
                <w:sz w:val="24"/>
                <w:szCs w:val="24"/>
                <w:lang w:eastAsia="hr-HR"/>
              </w:rPr>
              <w:t xml:space="preserve"> biljnog i životinjskog svijeta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w:t>
            </w:r>
            <w:r w:rsidRPr="00BE4768">
              <w:rPr>
                <w:rFonts w:ascii="Times New Roman" w:eastAsiaTheme="minorEastAsia" w:hAnsi="Times New Roman" w:cs="Times New Roman"/>
                <w:sz w:val="24"/>
                <w:szCs w:val="24"/>
                <w:lang w:eastAsia="hr-HR"/>
              </w:rPr>
              <w:lastRenderedPageBreak/>
              <w:t xml:space="preserve">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341000">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341000">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Pr>
                <w:rFonts w:ascii="Times New Roman" w:eastAsiaTheme="minorEastAsia" w:hAnsi="Times New Roman" w:cs="Times New Roman"/>
                <w:sz w:val="24"/>
                <w:szCs w:val="24"/>
                <w:lang w:eastAsia="hr-HR"/>
              </w:rPr>
              <w:t>Zakonom o izmjenama zakona o cestama</w:t>
            </w:r>
            <w:r w:rsidR="00D22B4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341000">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Prethodni test malog i srednjeg poduzetništva (Prethodni MSP test)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6.1.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D22B4A"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cestama</w:t>
            </w:r>
            <w:r w:rsidRPr="00BE4768">
              <w:rPr>
                <w:rFonts w:ascii="Times New Roman" w:eastAsiaTheme="minorEastAsia" w:hAnsi="Times New Roman" w:cs="Times New Roman"/>
                <w:sz w:val="24"/>
                <w:szCs w:val="24"/>
                <w:lang w:eastAsia="hr-HR"/>
              </w:rPr>
              <w:t xml:space="preserve"> </w:t>
            </w:r>
            <w:r w:rsidR="00BE4768" w:rsidRPr="00BE4768">
              <w:rPr>
                <w:rFonts w:ascii="Times New Roman" w:eastAsiaTheme="minorEastAsia" w:hAnsi="Times New Roman" w:cs="Times New Roman"/>
                <w:sz w:val="24"/>
                <w:szCs w:val="24"/>
                <w:lang w:eastAsia="hr-HR"/>
              </w:rPr>
              <w:t xml:space="preserve">se neće propisivati dodatne administrativne obveze za poduzetnike.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D22B4A" w:rsidP="00BE4768">
            <w:pPr>
              <w:shd w:val="clear" w:color="auto" w:fill="FFFFFF"/>
              <w:spacing w:after="0" w:line="240" w:lineRule="auto"/>
              <w:rPr>
                <w:rFonts w:ascii="Times New Roman" w:eastAsiaTheme="minorEastAsia" w:hAnsi="Times New Roman" w:cs="Times New Roman"/>
                <w:sz w:val="24"/>
                <w:szCs w:val="24"/>
                <w:lang w:eastAsia="hr-HR"/>
              </w:rPr>
            </w:pPr>
            <w:r w:rsidRPr="00D22B4A">
              <w:rPr>
                <w:rFonts w:ascii="Times New Roman" w:eastAsiaTheme="minorEastAsia" w:hAnsi="Times New Roman" w:cs="Times New Roman"/>
                <w:sz w:val="24"/>
                <w:szCs w:val="24"/>
                <w:lang w:eastAsia="hr-HR"/>
              </w:rPr>
              <w:t xml:space="preserve">Zakon o izmjenama zakona o cestama </w:t>
            </w:r>
            <w:r w:rsidR="00BE4768" w:rsidRPr="00BE4768">
              <w:rPr>
                <w:rFonts w:ascii="Times New Roman" w:eastAsiaTheme="minorEastAsia" w:hAnsi="Times New Roman" w:cs="Times New Roman"/>
                <w:sz w:val="24"/>
                <w:szCs w:val="24"/>
                <w:lang w:eastAsia="hr-HR"/>
              </w:rPr>
              <w:t xml:space="preserve">neće imati učinke na tržišnu konkurenciju ni konkurentnost unutarnjeg tržišta EU u smislu prepreka slobodi tržišne konkurencije.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D22B4A" w:rsidP="00BE4768">
            <w:pPr>
              <w:shd w:val="clear" w:color="auto" w:fill="FFFFFF"/>
              <w:spacing w:after="0" w:line="240" w:lineRule="auto"/>
              <w:rPr>
                <w:rFonts w:ascii="Times New Roman" w:eastAsiaTheme="minorEastAsia" w:hAnsi="Times New Roman" w:cs="Times New Roman"/>
                <w:sz w:val="24"/>
                <w:szCs w:val="24"/>
                <w:lang w:eastAsia="hr-HR"/>
              </w:rPr>
            </w:pPr>
            <w:r w:rsidRPr="00D22B4A">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D22B4A">
              <w:rPr>
                <w:rFonts w:ascii="Times New Roman" w:eastAsiaTheme="minorEastAsia" w:hAnsi="Times New Roman" w:cs="Times New Roman"/>
                <w:sz w:val="24"/>
                <w:szCs w:val="24"/>
                <w:lang w:eastAsia="hr-HR"/>
              </w:rPr>
              <w:t xml:space="preserve"> o izmjenama zakona o cestama </w:t>
            </w:r>
            <w:r w:rsidR="00BE4768" w:rsidRPr="00BE4768">
              <w:rPr>
                <w:rFonts w:ascii="Times New Roman" w:eastAsiaTheme="minorEastAsia" w:hAnsi="Times New Roman" w:cs="Times New Roman"/>
                <w:sz w:val="24"/>
                <w:szCs w:val="24"/>
                <w:lang w:eastAsia="hr-HR"/>
              </w:rPr>
              <w:t xml:space="preserve">se neće propisivati dodatne naknade ni davanja za poduzetnike.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D22B4A" w:rsidP="00BE4768">
            <w:pPr>
              <w:shd w:val="clear" w:color="auto" w:fill="FFFFFF"/>
              <w:spacing w:after="0" w:line="240" w:lineRule="auto"/>
              <w:rPr>
                <w:rFonts w:ascii="Times New Roman" w:eastAsiaTheme="minorEastAsia" w:hAnsi="Times New Roman" w:cs="Times New Roman"/>
                <w:sz w:val="24"/>
                <w:szCs w:val="24"/>
                <w:lang w:eastAsia="hr-HR"/>
              </w:rPr>
            </w:pPr>
            <w:r w:rsidRPr="00D22B4A">
              <w:rPr>
                <w:rFonts w:ascii="Times New Roman" w:eastAsiaTheme="minorEastAsia" w:hAnsi="Times New Roman" w:cs="Times New Roman"/>
                <w:sz w:val="24"/>
                <w:szCs w:val="24"/>
                <w:lang w:eastAsia="hr-HR"/>
              </w:rPr>
              <w:t xml:space="preserve">Zakon o izmjenama zakona o cestama </w:t>
            </w:r>
            <w:r w:rsidR="00BE4768" w:rsidRPr="00BE4768">
              <w:rPr>
                <w:rFonts w:ascii="Times New Roman" w:eastAsiaTheme="minorEastAsia" w:hAnsi="Times New Roman" w:cs="Times New Roman"/>
                <w:sz w:val="24"/>
                <w:szCs w:val="24"/>
                <w:lang w:eastAsia="hr-HR"/>
              </w:rPr>
              <w:t xml:space="preserve">neće imati učinke na poduzetnike, a samim tim niti na mikro poduzetnike. </w:t>
            </w:r>
          </w:p>
        </w:tc>
      </w:tr>
      <w:tr w:rsidR="00BE4768" w:rsidRPr="00BE4768" w:rsidTr="00341000">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BE4768" w:rsidRPr="00BE4768" w:rsidTr="0034100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D22B4A" w:rsidRPr="00D22B4A">
              <w:rPr>
                <w:rFonts w:ascii="Times New Roman" w:eastAsiaTheme="minorEastAsia" w:hAnsi="Times New Roman" w:cs="Times New Roman"/>
                <w:sz w:val="24"/>
                <w:szCs w:val="24"/>
                <w:lang w:eastAsia="hr-HR"/>
              </w:rPr>
              <w:t>Zakon</w:t>
            </w:r>
            <w:r w:rsidR="00D22B4A">
              <w:rPr>
                <w:rFonts w:ascii="Times New Roman" w:eastAsiaTheme="minorEastAsia" w:hAnsi="Times New Roman" w:cs="Times New Roman"/>
                <w:sz w:val="24"/>
                <w:szCs w:val="24"/>
                <w:lang w:eastAsia="hr-HR"/>
              </w:rPr>
              <w:t>om</w:t>
            </w:r>
            <w:r w:rsidR="00D22B4A" w:rsidRPr="00D22B4A">
              <w:rPr>
                <w:rFonts w:ascii="Times New Roman" w:eastAsiaTheme="minorEastAsia" w:hAnsi="Times New Roman" w:cs="Times New Roman"/>
                <w:sz w:val="24"/>
                <w:szCs w:val="24"/>
                <w:lang w:eastAsia="hr-HR"/>
              </w:rPr>
              <w:t xml:space="preserve"> o izmjenama zakona o cestama </w:t>
            </w:r>
            <w:r w:rsidRPr="00BE4768">
              <w:rPr>
                <w:rFonts w:ascii="Times New Roman" w:eastAsiaTheme="minorEastAsia" w:hAnsi="Times New Roman" w:cs="Times New Roman"/>
                <w:sz w:val="24"/>
                <w:szCs w:val="24"/>
                <w:lang w:eastAsia="hr-HR"/>
              </w:rPr>
              <w:t xml:space="preserve">su takva da neće imati izravnih učinaka na male i srednje poduzetnike.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Utvrđivanje potrebe za provođenjem SCM metodologije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6"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lastRenderedPageBreak/>
              <w:t xml:space="preserve">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32334C">
            <w:pPr>
              <w:pStyle w:val="Heading1"/>
            </w:pPr>
            <w:r w:rsidRPr="00BE4768">
              <w:t xml:space="preserve">SAŽETAK REZULTATA PRETHODNE PROCJENE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Potpis: </w:t>
            </w:r>
            <w:r w:rsidR="00D22B4A">
              <w:rPr>
                <w:rFonts w:ascii="Times New Roman" w:eastAsiaTheme="minorEastAsia" w:hAnsi="Times New Roman" w:cs="Times New Roman"/>
                <w:sz w:val="24"/>
                <w:szCs w:val="24"/>
                <w:lang w:eastAsia="hr-HR"/>
              </w:rPr>
              <w:t>ministar</w:t>
            </w:r>
            <w:r w:rsidR="00D22B4A" w:rsidRPr="00BE4768">
              <w:rPr>
                <w:rFonts w:ascii="Times New Roman" w:eastAsiaTheme="minorEastAsia" w:hAnsi="Times New Roman" w:cs="Times New Roman"/>
                <w:sz w:val="24"/>
                <w:szCs w:val="24"/>
                <w:lang w:eastAsia="hr-HR"/>
              </w:rPr>
              <w:t xml:space="preserve"> </w:t>
            </w:r>
            <w:r w:rsidR="00D22B4A">
              <w:rPr>
                <w:rFonts w:ascii="Times New Roman" w:eastAsiaTheme="minorEastAsia" w:hAnsi="Times New Roman" w:cs="Times New Roman"/>
                <w:sz w:val="24"/>
                <w:szCs w:val="24"/>
                <w:lang w:eastAsia="hr-HR"/>
              </w:rPr>
              <w:t>Oleg Butković</w:t>
            </w:r>
          </w:p>
          <w:p w:rsidR="00BE4768" w:rsidRPr="00BE4768" w:rsidRDefault="00BE4768" w:rsidP="009F4A49">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sidR="009F4A49">
              <w:rPr>
                <w:rFonts w:ascii="Times New Roman" w:eastAsiaTheme="minorEastAsia" w:hAnsi="Times New Roman" w:cs="Times New Roman"/>
                <w:sz w:val="24"/>
                <w:szCs w:val="24"/>
                <w:lang w:eastAsia="hr-HR"/>
              </w:rPr>
              <w:t>18</w:t>
            </w:r>
            <w:r w:rsidRPr="00BE4768">
              <w:rPr>
                <w:rFonts w:ascii="Times New Roman" w:eastAsiaTheme="minorEastAsia" w:hAnsi="Times New Roman" w:cs="Times New Roman"/>
                <w:sz w:val="24"/>
                <w:szCs w:val="24"/>
                <w:lang w:eastAsia="hr-HR"/>
              </w:rPr>
              <w:t xml:space="preserve">. </w:t>
            </w:r>
            <w:r w:rsidR="009F4A49">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sidR="009F4A49">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BE4768" w:rsidRPr="00BE4768" w:rsidTr="00341000">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5F2668" w:rsidRDefault="005F2668"/>
    <w:sectPr w:rsidR="005F2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8"/>
    <w:rsid w:val="00113D97"/>
    <w:rsid w:val="00222BDE"/>
    <w:rsid w:val="002A1927"/>
    <w:rsid w:val="0032334C"/>
    <w:rsid w:val="00341000"/>
    <w:rsid w:val="00360047"/>
    <w:rsid w:val="004F0C6A"/>
    <w:rsid w:val="005F2668"/>
    <w:rsid w:val="00723B93"/>
    <w:rsid w:val="008217D9"/>
    <w:rsid w:val="00860C1E"/>
    <w:rsid w:val="00954D81"/>
    <w:rsid w:val="009F4A49"/>
    <w:rsid w:val="00B532A6"/>
    <w:rsid w:val="00BE4768"/>
    <w:rsid w:val="00D22B4A"/>
    <w:rsid w:val="00F02148"/>
    <w:rsid w:val="00F31467"/>
    <w:rsid w:val="00F6421E"/>
    <w:rsid w:val="00FF4E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BE4768"/>
  </w:style>
  <w:style w:type="character" w:styleId="Hyperlink">
    <w:name w:val="Hyperlink"/>
    <w:basedOn w:val="DefaultParagraphFont"/>
    <w:uiPriority w:val="99"/>
    <w:unhideWhenUsed/>
    <w:rsid w:val="00BE4768"/>
    <w:rPr>
      <w:color w:val="0000FF"/>
      <w:u w:val="single"/>
    </w:rPr>
  </w:style>
  <w:style w:type="character" w:styleId="FollowedHyperlink">
    <w:name w:val="FollowedHyperlink"/>
    <w:basedOn w:val="DefaultParagraphFont"/>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BE4768"/>
    <w:rPr>
      <w:rFonts w:ascii="Calibri Light" w:hAnsi="Calibri Light" w:cs="Calibri Light" w:hint="default"/>
      <w:b w:val="0"/>
      <w:bCs w:val="0"/>
      <w:sz w:val="56"/>
      <w:szCs w:val="56"/>
    </w:rPr>
  </w:style>
  <w:style w:type="character" w:customStyle="1" w:styleId="000001">
    <w:name w:val="000001"/>
    <w:basedOn w:val="DefaultParagraphFont"/>
    <w:rsid w:val="00BE4768"/>
    <w:rPr>
      <w:b w:val="0"/>
      <w:bCs w:val="0"/>
      <w:sz w:val="22"/>
      <w:szCs w:val="22"/>
    </w:rPr>
  </w:style>
  <w:style w:type="character" w:customStyle="1" w:styleId="zadanifontodlomka-000005">
    <w:name w:val="zadanifontodlomka-000005"/>
    <w:basedOn w:val="DefaultParagraphFont"/>
    <w:rsid w:val="00BE4768"/>
    <w:rPr>
      <w:rFonts w:ascii="Times New Roman" w:hAnsi="Times New Roman" w:cs="Times New Roman" w:hint="default"/>
      <w:b/>
      <w:bCs/>
      <w:sz w:val="24"/>
      <w:szCs w:val="24"/>
    </w:rPr>
  </w:style>
  <w:style w:type="character" w:customStyle="1" w:styleId="000006">
    <w:name w:val="000006"/>
    <w:basedOn w:val="DefaultParagraphFont"/>
    <w:rsid w:val="00BE4768"/>
    <w:rPr>
      <w:b/>
      <w:bCs/>
      <w:sz w:val="24"/>
      <w:szCs w:val="24"/>
    </w:rPr>
  </w:style>
  <w:style w:type="character" w:customStyle="1" w:styleId="zadanifontodlomka-000009">
    <w:name w:val="zadanifontodlomka-000009"/>
    <w:basedOn w:val="DefaultParagraphFont"/>
    <w:rsid w:val="00BE4768"/>
    <w:rPr>
      <w:rFonts w:ascii="Times New Roman" w:hAnsi="Times New Roman" w:cs="Times New Roman" w:hint="default"/>
      <w:b w:val="0"/>
      <w:bCs w:val="0"/>
      <w:sz w:val="24"/>
      <w:szCs w:val="24"/>
    </w:rPr>
  </w:style>
  <w:style w:type="character" w:customStyle="1" w:styleId="000015">
    <w:name w:val="000015"/>
    <w:basedOn w:val="DefaultParagraphFont"/>
    <w:rsid w:val="00BE4768"/>
    <w:rPr>
      <w:b w:val="0"/>
      <w:bCs w:val="0"/>
      <w:sz w:val="24"/>
      <w:szCs w:val="24"/>
    </w:rPr>
  </w:style>
  <w:style w:type="character" w:customStyle="1" w:styleId="000018">
    <w:name w:val="000018"/>
    <w:basedOn w:val="DefaultParagraphFont"/>
    <w:rsid w:val="00BE4768"/>
    <w:rPr>
      <w:rFonts w:ascii="Symbol" w:hAnsi="Symbol" w:hint="default"/>
      <w:b w:val="0"/>
      <w:bCs w:val="0"/>
      <w:sz w:val="24"/>
      <w:szCs w:val="24"/>
    </w:rPr>
  </w:style>
  <w:style w:type="character" w:customStyle="1" w:styleId="000019">
    <w:name w:val="000019"/>
    <w:basedOn w:val="DefaultParagraphFont"/>
    <w:rsid w:val="00BE4768"/>
  </w:style>
  <w:style w:type="character" w:customStyle="1" w:styleId="zadanifontodlomka-000020">
    <w:name w:val="zadanifontodlomka-000020"/>
    <w:basedOn w:val="DefaultParagraphFont"/>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BE4768"/>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BE4768"/>
    <w:rPr>
      <w:rFonts w:ascii="Cambria" w:hAnsi="Cambria" w:hint="default"/>
      <w:b/>
      <w:bCs/>
      <w:color w:val="365F91"/>
      <w:sz w:val="28"/>
      <w:szCs w:val="28"/>
    </w:rPr>
  </w:style>
  <w:style w:type="character" w:customStyle="1" w:styleId="zadanifontodlomka-000030">
    <w:name w:val="zadanifontodlomka-000030"/>
    <w:basedOn w:val="DefaultParagraphFont"/>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BE4768"/>
    <w:rPr>
      <w:rFonts w:ascii="Times New Roman" w:hAnsi="Times New Roman" w:cs="Times New Roman" w:hint="default"/>
      <w:b w:val="0"/>
      <w:bCs w:val="0"/>
      <w:color w:val="000000"/>
      <w:sz w:val="24"/>
      <w:szCs w:val="24"/>
    </w:rPr>
  </w:style>
  <w:style w:type="character" w:customStyle="1" w:styleId="000050">
    <w:name w:val="000050"/>
    <w:basedOn w:val="DefaultParagraphFont"/>
    <w:rsid w:val="00BE4768"/>
    <w:rPr>
      <w:rFonts w:ascii="Times New Roman" w:hAnsi="Times New Roman" w:cs="Times New Roman" w:hint="default"/>
      <w:b w:val="0"/>
      <w:bCs w:val="0"/>
      <w:sz w:val="24"/>
      <w:szCs w:val="24"/>
    </w:rPr>
  </w:style>
  <w:style w:type="character" w:customStyle="1" w:styleId="000051">
    <w:name w:val="000051"/>
    <w:basedOn w:val="DefaultParagraphFont"/>
    <w:rsid w:val="00BE4768"/>
  </w:style>
  <w:style w:type="character" w:customStyle="1" w:styleId="zadanifontodlomka-000054">
    <w:name w:val="zadanifontodlomka-000054"/>
    <w:basedOn w:val="DefaultParagraphFont"/>
    <w:rsid w:val="00BE4768"/>
    <w:rPr>
      <w:rFonts w:ascii="Times New Roman" w:hAnsi="Times New Roman" w:cs="Times New Roman" w:hint="default"/>
      <w:b/>
      <w:bCs/>
      <w:color w:val="000000"/>
      <w:sz w:val="24"/>
      <w:szCs w:val="24"/>
    </w:rPr>
  </w:style>
  <w:style w:type="character" w:customStyle="1" w:styleId="000061">
    <w:name w:val="000061"/>
    <w:basedOn w:val="DefaultParagraphFont"/>
    <w:rsid w:val="00BE4768"/>
    <w:rPr>
      <w:b w:val="0"/>
      <w:bCs w:val="0"/>
      <w:color w:val="000000"/>
      <w:sz w:val="24"/>
      <w:szCs w:val="24"/>
    </w:rPr>
  </w:style>
  <w:style w:type="character" w:customStyle="1" w:styleId="000062">
    <w:name w:val="000062"/>
    <w:basedOn w:val="DefaultParagraphFont"/>
    <w:rsid w:val="00BE4768"/>
    <w:rPr>
      <w:b/>
      <w:bCs/>
      <w:color w:val="000000"/>
      <w:sz w:val="24"/>
      <w:szCs w:val="24"/>
    </w:rPr>
  </w:style>
  <w:style w:type="character" w:customStyle="1" w:styleId="000079">
    <w:name w:val="000079"/>
    <w:basedOn w:val="DefaultParagraphFont"/>
    <w:rsid w:val="00BE4768"/>
  </w:style>
  <w:style w:type="character" w:customStyle="1" w:styleId="000080">
    <w:name w:val="000080"/>
    <w:basedOn w:val="DefaultParagraphFont"/>
    <w:rsid w:val="00BE4768"/>
    <w:rPr>
      <w:b w:val="0"/>
      <w:bCs w:val="0"/>
      <w:i/>
      <w:iCs/>
      <w:sz w:val="24"/>
      <w:szCs w:val="24"/>
    </w:rPr>
  </w:style>
  <w:style w:type="character" w:customStyle="1" w:styleId="zadanifontodlomka-000085">
    <w:name w:val="zadanifontodlomka-000085"/>
    <w:basedOn w:val="DefaultParagraphFont"/>
    <w:rsid w:val="00BE4768"/>
    <w:rPr>
      <w:rFonts w:ascii="Calibri" w:hAnsi="Calibri" w:cs="Calibri" w:hint="default"/>
      <w:b w:val="0"/>
      <w:bCs w:val="0"/>
      <w:i/>
      <w:iCs/>
    </w:rPr>
  </w:style>
  <w:style w:type="character" w:customStyle="1" w:styleId="000088">
    <w:name w:val="000088"/>
    <w:basedOn w:val="DefaultParagraphFont"/>
    <w:rsid w:val="00BE4768"/>
  </w:style>
  <w:style w:type="character" w:customStyle="1" w:styleId="zadanifontodlomka-000089">
    <w:name w:val="zadanifontodlomka-000089"/>
    <w:basedOn w:val="DefaultParagraphFont"/>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BE4768"/>
    <w:rPr>
      <w:rFonts w:ascii="Times New Roman" w:hAnsi="Times New Roman" w:cs="Times New Roman" w:hint="default"/>
      <w:b w:val="0"/>
      <w:bCs w:val="0"/>
      <w:sz w:val="28"/>
      <w:szCs w:val="28"/>
    </w:rPr>
  </w:style>
  <w:style w:type="paragraph" w:styleId="Title">
    <w:name w:val="Title"/>
    <w:basedOn w:val="Normal"/>
    <w:next w:val="Normal"/>
    <w:link w:val="TitleChar"/>
    <w:uiPriority w:val="10"/>
    <w:qFormat/>
    <w:rsid w:val="003233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34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ingo.hr/page/standard-cost-model" TargetMode="External"/><Relationship Id="rId5" Type="http://schemas.openxmlformats.org/officeDocument/2006/relationships/hyperlink" Target="mailto:drazen.ivanusec@mmpi.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42B9-804E-44A0-839E-844D8F0F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Antonio Hadrović</cp:lastModifiedBy>
  <cp:revision>2</cp:revision>
  <dcterms:created xsi:type="dcterms:W3CDTF">2019-07-24T07:33:00Z</dcterms:created>
  <dcterms:modified xsi:type="dcterms:W3CDTF">2019-07-24T07:33:00Z</dcterms:modified>
</cp:coreProperties>
</file>