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F4" w:rsidRPr="00395566" w:rsidRDefault="00A86EF4" w:rsidP="00112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12B12" w:rsidRPr="00395566">
        <w:rPr>
          <w:rFonts w:ascii="Times New Roman" w:hAnsi="Times New Roman" w:cs="Times New Roman"/>
          <w:sz w:val="24"/>
          <w:szCs w:val="24"/>
        </w:rPr>
        <w:t xml:space="preserve">Na temelju članka </w:t>
      </w:r>
      <w:proofErr w:type="spellStart"/>
      <w:r w:rsidR="00112B12" w:rsidRPr="00395566">
        <w:rPr>
          <w:rFonts w:ascii="Times New Roman" w:hAnsi="Times New Roman" w:cs="Times New Roman"/>
          <w:sz w:val="24"/>
          <w:szCs w:val="24"/>
        </w:rPr>
        <w:t>139</w:t>
      </w:r>
      <w:proofErr w:type="spellEnd"/>
      <w:r w:rsidR="00112B12" w:rsidRPr="00395566">
        <w:rPr>
          <w:rFonts w:ascii="Times New Roman" w:hAnsi="Times New Roman" w:cs="Times New Roman"/>
          <w:sz w:val="24"/>
          <w:szCs w:val="24"/>
        </w:rPr>
        <w:t xml:space="preserve">. stavka 6. Zakona o službi u Oružanim snagama Republike Hrvatske (Narodne novine, br. </w:t>
      </w:r>
      <w:proofErr w:type="spellStart"/>
      <w:r w:rsidR="00112B12" w:rsidRPr="00395566">
        <w:rPr>
          <w:rFonts w:ascii="Times New Roman" w:hAnsi="Times New Roman" w:cs="Times New Roman"/>
          <w:sz w:val="24"/>
          <w:szCs w:val="24"/>
        </w:rPr>
        <w:t>73</w:t>
      </w:r>
      <w:proofErr w:type="spellEnd"/>
      <w:r w:rsidR="00112B12" w:rsidRPr="0039556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12B12" w:rsidRPr="00395566">
        <w:rPr>
          <w:rFonts w:ascii="Times New Roman" w:hAnsi="Times New Roman" w:cs="Times New Roman"/>
          <w:sz w:val="24"/>
          <w:szCs w:val="24"/>
        </w:rPr>
        <w:t>13</w:t>
      </w:r>
      <w:proofErr w:type="spellEnd"/>
      <w:r w:rsidR="00112B12" w:rsidRPr="003955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2B12" w:rsidRPr="00395566">
        <w:rPr>
          <w:rFonts w:ascii="Times New Roman" w:hAnsi="Times New Roman" w:cs="Times New Roman"/>
          <w:sz w:val="24"/>
          <w:szCs w:val="24"/>
        </w:rPr>
        <w:t>75</w:t>
      </w:r>
      <w:proofErr w:type="spellEnd"/>
      <w:r w:rsidR="00112B12" w:rsidRPr="0039556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12B12" w:rsidRPr="00395566">
        <w:rPr>
          <w:rFonts w:ascii="Times New Roman" w:hAnsi="Times New Roman" w:cs="Times New Roman"/>
          <w:sz w:val="24"/>
          <w:szCs w:val="24"/>
        </w:rPr>
        <w:t>15</w:t>
      </w:r>
      <w:proofErr w:type="spellEnd"/>
      <w:r w:rsidR="00112B12" w:rsidRPr="003955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2B12" w:rsidRPr="00395566">
        <w:rPr>
          <w:rFonts w:ascii="Times New Roman" w:hAnsi="Times New Roman" w:cs="Times New Roman"/>
          <w:sz w:val="24"/>
          <w:szCs w:val="24"/>
        </w:rPr>
        <w:t>50</w:t>
      </w:r>
      <w:proofErr w:type="spellEnd"/>
      <w:r w:rsidR="00112B12" w:rsidRPr="0039556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12B12" w:rsidRPr="00395566">
        <w:rPr>
          <w:rFonts w:ascii="Times New Roman" w:hAnsi="Times New Roman" w:cs="Times New Roman"/>
          <w:sz w:val="24"/>
          <w:szCs w:val="24"/>
        </w:rPr>
        <w:t>16</w:t>
      </w:r>
      <w:proofErr w:type="spellEnd"/>
      <w:r w:rsidR="00112B12" w:rsidRPr="0039556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12B12" w:rsidRPr="00395566">
        <w:rPr>
          <w:rFonts w:ascii="Times New Roman" w:hAnsi="Times New Roman" w:cs="Times New Roman"/>
          <w:sz w:val="24"/>
          <w:szCs w:val="24"/>
        </w:rPr>
        <w:t>30</w:t>
      </w:r>
      <w:proofErr w:type="spellEnd"/>
      <w:r w:rsidR="00112B12" w:rsidRPr="0039556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12B12" w:rsidRPr="00395566">
        <w:rPr>
          <w:rFonts w:ascii="Times New Roman" w:hAnsi="Times New Roman" w:cs="Times New Roman"/>
          <w:sz w:val="24"/>
          <w:szCs w:val="24"/>
        </w:rPr>
        <w:t>18</w:t>
      </w:r>
      <w:proofErr w:type="spellEnd"/>
      <w:r w:rsidR="00112B12" w:rsidRPr="00395566">
        <w:rPr>
          <w:rFonts w:ascii="Times New Roman" w:hAnsi="Times New Roman" w:cs="Times New Roman"/>
          <w:sz w:val="24"/>
          <w:szCs w:val="24"/>
        </w:rPr>
        <w:t>) donosim</w:t>
      </w:r>
    </w:p>
    <w:p w:rsidR="00C15CC0" w:rsidRDefault="00C15CC0" w:rsidP="0039556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2B12" w:rsidRPr="00395566" w:rsidRDefault="00112B12" w:rsidP="0039556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5566">
        <w:rPr>
          <w:rFonts w:ascii="Times New Roman" w:hAnsi="Times New Roman" w:cs="Times New Roman"/>
          <w:b/>
          <w:color w:val="000000"/>
          <w:sz w:val="28"/>
          <w:szCs w:val="28"/>
        </w:rPr>
        <w:t>P R A V I L N I K</w:t>
      </w:r>
    </w:p>
    <w:p w:rsidR="009B668F" w:rsidRDefault="00112B12" w:rsidP="00A86E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55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O IZMJENAMA</w:t>
      </w:r>
      <w:r w:rsidR="00054718" w:rsidRPr="003955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54718" w:rsidRPr="00395566">
        <w:rPr>
          <w:rFonts w:ascii="Times New Roman" w:hAnsi="Times New Roman" w:cs="Times New Roman"/>
          <w:b/>
          <w:sz w:val="28"/>
          <w:szCs w:val="28"/>
        </w:rPr>
        <w:t>I DOPUNAMA</w:t>
      </w:r>
      <w:r w:rsidRPr="00395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5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PRAVILNIKA O DODACIMA </w:t>
      </w:r>
    </w:p>
    <w:p w:rsidR="00112B12" w:rsidRDefault="00112B12" w:rsidP="00A86E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5566">
        <w:rPr>
          <w:rFonts w:ascii="Times New Roman" w:hAnsi="Times New Roman" w:cs="Times New Roman"/>
          <w:b/>
          <w:color w:val="000000"/>
          <w:sz w:val="28"/>
          <w:szCs w:val="28"/>
        </w:rPr>
        <w:t>NA PLAĆU DJELATNIH VOJNIH OSOBA</w:t>
      </w:r>
    </w:p>
    <w:p w:rsidR="006F1A33" w:rsidRPr="00A86EF4" w:rsidRDefault="006F1A33" w:rsidP="00A86E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5CC0" w:rsidRDefault="00C15CC0" w:rsidP="00F91EB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1EB8" w:rsidRDefault="00112B12" w:rsidP="00F91EB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566">
        <w:rPr>
          <w:rFonts w:ascii="Times New Roman" w:hAnsi="Times New Roman" w:cs="Times New Roman"/>
          <w:b/>
          <w:color w:val="000000"/>
          <w:sz w:val="24"/>
          <w:szCs w:val="24"/>
        </w:rPr>
        <w:t>Članak 1.</w:t>
      </w:r>
    </w:p>
    <w:p w:rsidR="00C15CC0" w:rsidRPr="00395566" w:rsidRDefault="00C15CC0" w:rsidP="00F91EB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2B12" w:rsidRPr="00395566" w:rsidRDefault="00112B12" w:rsidP="008B70FF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566">
        <w:rPr>
          <w:rFonts w:ascii="Times New Roman" w:hAnsi="Times New Roman" w:cs="Times New Roman"/>
          <w:color w:val="000000"/>
          <w:sz w:val="24"/>
          <w:szCs w:val="24"/>
        </w:rPr>
        <w:t xml:space="preserve">U Pravilniku o dodacima na plaću djelatnih vojnih osoba (Narodne novine, br. </w:t>
      </w:r>
      <w:proofErr w:type="spellStart"/>
      <w:r w:rsidRPr="00395566">
        <w:rPr>
          <w:rFonts w:ascii="Times New Roman" w:hAnsi="Times New Roman" w:cs="Times New Roman"/>
          <w:color w:val="000000"/>
          <w:sz w:val="24"/>
          <w:szCs w:val="24"/>
        </w:rPr>
        <w:t>33</w:t>
      </w:r>
      <w:proofErr w:type="spellEnd"/>
      <w:r w:rsidRPr="00395566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395566">
        <w:rPr>
          <w:rFonts w:ascii="Times New Roman" w:hAnsi="Times New Roman" w:cs="Times New Roman"/>
          <w:color w:val="000000"/>
          <w:sz w:val="24"/>
          <w:szCs w:val="24"/>
        </w:rPr>
        <w:t>14</w:t>
      </w:r>
      <w:proofErr w:type="spellEnd"/>
      <w:r w:rsidRPr="0039556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566">
        <w:rPr>
          <w:rFonts w:ascii="Times New Roman" w:hAnsi="Times New Roman" w:cs="Times New Roman"/>
          <w:color w:val="000000"/>
          <w:sz w:val="24"/>
          <w:szCs w:val="24"/>
        </w:rPr>
        <w:t>41</w:t>
      </w:r>
      <w:proofErr w:type="spellEnd"/>
      <w:r w:rsidRPr="00395566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395566">
        <w:rPr>
          <w:rFonts w:ascii="Times New Roman" w:hAnsi="Times New Roman" w:cs="Times New Roman"/>
          <w:color w:val="000000"/>
          <w:sz w:val="24"/>
          <w:szCs w:val="24"/>
        </w:rPr>
        <w:t>14</w:t>
      </w:r>
      <w:proofErr w:type="spellEnd"/>
      <w:r w:rsidRPr="0039556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566">
        <w:rPr>
          <w:rFonts w:ascii="Times New Roman" w:hAnsi="Times New Roman" w:cs="Times New Roman"/>
          <w:color w:val="000000"/>
          <w:sz w:val="24"/>
          <w:szCs w:val="24"/>
        </w:rPr>
        <w:t>53</w:t>
      </w:r>
      <w:proofErr w:type="spellEnd"/>
      <w:r w:rsidRPr="00395566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395566">
        <w:rPr>
          <w:rFonts w:ascii="Times New Roman" w:hAnsi="Times New Roman" w:cs="Times New Roman"/>
          <w:color w:val="000000"/>
          <w:sz w:val="24"/>
          <w:szCs w:val="24"/>
        </w:rPr>
        <w:t>14</w:t>
      </w:r>
      <w:proofErr w:type="spellEnd"/>
      <w:r w:rsidRPr="0039556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95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566">
        <w:rPr>
          <w:rFonts w:ascii="Times New Roman" w:hAnsi="Times New Roman" w:cs="Times New Roman"/>
          <w:color w:val="000000"/>
          <w:sz w:val="24"/>
          <w:szCs w:val="24"/>
        </w:rPr>
        <w:t>114</w:t>
      </w:r>
      <w:proofErr w:type="spellEnd"/>
      <w:r w:rsidRPr="00395566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395566">
        <w:rPr>
          <w:rFonts w:ascii="Times New Roman" w:hAnsi="Times New Roman" w:cs="Times New Roman"/>
          <w:color w:val="000000"/>
          <w:sz w:val="24"/>
          <w:szCs w:val="24"/>
        </w:rPr>
        <w:t>14</w:t>
      </w:r>
      <w:proofErr w:type="spellEnd"/>
      <w:r w:rsidRPr="0039556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566">
        <w:rPr>
          <w:rFonts w:ascii="Times New Roman" w:hAnsi="Times New Roman" w:cs="Times New Roman"/>
          <w:color w:val="000000"/>
          <w:sz w:val="24"/>
          <w:szCs w:val="24"/>
        </w:rPr>
        <w:t>72</w:t>
      </w:r>
      <w:proofErr w:type="spellEnd"/>
      <w:r w:rsidRPr="00395566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395566">
        <w:rPr>
          <w:rFonts w:ascii="Times New Roman" w:hAnsi="Times New Roman" w:cs="Times New Roman"/>
          <w:color w:val="000000"/>
          <w:sz w:val="24"/>
          <w:szCs w:val="24"/>
        </w:rPr>
        <w:t>15</w:t>
      </w:r>
      <w:proofErr w:type="spellEnd"/>
      <w:r w:rsidRPr="00395566">
        <w:rPr>
          <w:rFonts w:ascii="Times New Roman" w:hAnsi="Times New Roman" w:cs="Times New Roman"/>
          <w:color w:val="000000"/>
          <w:sz w:val="24"/>
          <w:szCs w:val="24"/>
        </w:rPr>
        <w:t>, 5/</w:t>
      </w:r>
      <w:proofErr w:type="spellStart"/>
      <w:r w:rsidRPr="00395566">
        <w:rPr>
          <w:rFonts w:ascii="Times New Roman" w:hAnsi="Times New Roman" w:cs="Times New Roman"/>
          <w:color w:val="000000"/>
          <w:sz w:val="24"/>
          <w:szCs w:val="24"/>
        </w:rPr>
        <w:t>17</w:t>
      </w:r>
      <w:proofErr w:type="spellEnd"/>
      <w:r w:rsidRPr="0039556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566">
        <w:rPr>
          <w:rFonts w:ascii="Times New Roman" w:hAnsi="Times New Roman" w:cs="Times New Roman"/>
          <w:color w:val="000000"/>
          <w:sz w:val="24"/>
          <w:szCs w:val="24"/>
        </w:rPr>
        <w:t>116</w:t>
      </w:r>
      <w:proofErr w:type="spellEnd"/>
      <w:r w:rsidRPr="00395566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395566">
        <w:rPr>
          <w:rFonts w:ascii="Times New Roman" w:hAnsi="Times New Roman" w:cs="Times New Roman"/>
          <w:color w:val="000000"/>
          <w:sz w:val="24"/>
          <w:szCs w:val="24"/>
        </w:rPr>
        <w:t>17</w:t>
      </w:r>
      <w:proofErr w:type="spellEnd"/>
      <w:r w:rsidRPr="0039556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566">
        <w:rPr>
          <w:rFonts w:ascii="Times New Roman" w:hAnsi="Times New Roman" w:cs="Times New Roman"/>
          <w:color w:val="000000"/>
          <w:sz w:val="24"/>
          <w:szCs w:val="24"/>
        </w:rPr>
        <w:t>39</w:t>
      </w:r>
      <w:proofErr w:type="spellEnd"/>
      <w:r w:rsidRPr="00395566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395566">
        <w:rPr>
          <w:rFonts w:ascii="Times New Roman" w:hAnsi="Times New Roman" w:cs="Times New Roman"/>
          <w:color w:val="000000"/>
          <w:sz w:val="24"/>
          <w:szCs w:val="24"/>
        </w:rPr>
        <w:t>18</w:t>
      </w:r>
      <w:proofErr w:type="spellEnd"/>
      <w:r w:rsidRPr="00395566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395566">
        <w:rPr>
          <w:rFonts w:ascii="Times New Roman" w:hAnsi="Times New Roman" w:cs="Times New Roman"/>
          <w:color w:val="000000"/>
          <w:sz w:val="24"/>
          <w:szCs w:val="24"/>
        </w:rPr>
        <w:t>44</w:t>
      </w:r>
      <w:proofErr w:type="spellEnd"/>
      <w:r w:rsidRPr="00395566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395566">
        <w:rPr>
          <w:rFonts w:ascii="Times New Roman" w:hAnsi="Times New Roman" w:cs="Times New Roman"/>
          <w:color w:val="000000"/>
          <w:sz w:val="24"/>
          <w:szCs w:val="24"/>
        </w:rPr>
        <w:t>19</w:t>
      </w:r>
      <w:proofErr w:type="spellEnd"/>
      <w:r w:rsidRPr="0039556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32221" w:rsidRPr="00395566">
        <w:rPr>
          <w:rFonts w:ascii="Times New Roman" w:hAnsi="Times New Roman" w:cs="Times New Roman"/>
          <w:color w:val="000000"/>
          <w:sz w:val="24"/>
          <w:szCs w:val="24"/>
        </w:rPr>
        <w:t xml:space="preserve"> u</w:t>
      </w:r>
      <w:r w:rsidRPr="00395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2221" w:rsidRPr="00395566">
        <w:rPr>
          <w:rFonts w:ascii="Times New Roman" w:hAnsi="Times New Roman" w:cs="Times New Roman"/>
          <w:color w:val="000000"/>
          <w:sz w:val="24"/>
          <w:szCs w:val="24"/>
        </w:rPr>
        <w:t>članku 6. stavak 1. mijenja se i glasi:</w:t>
      </w:r>
    </w:p>
    <w:p w:rsidR="006F6F22" w:rsidRPr="00395566" w:rsidRDefault="00C32221" w:rsidP="008B70FF">
      <w:pPr>
        <w:pStyle w:val="box457493"/>
        <w:spacing w:before="0" w:beforeAutospacing="0" w:after="0" w:afterAutospacing="0"/>
        <w:ind w:firstLine="708"/>
      </w:pPr>
      <w:r w:rsidRPr="00395566">
        <w:t xml:space="preserve">„ </w:t>
      </w:r>
      <w:r w:rsidR="006F6F22" w:rsidRPr="00395566">
        <w:t xml:space="preserve">(1) </w:t>
      </w:r>
      <w:r w:rsidR="008825BE">
        <w:tab/>
      </w:r>
      <w:r w:rsidR="006F6F22" w:rsidRPr="00395566">
        <w:t>Dodatak za vojnu službu ostvaruju sve djelatne vojne osobe u iznosima:</w:t>
      </w:r>
    </w:p>
    <w:p w:rsidR="006F6F22" w:rsidRPr="00395566" w:rsidRDefault="006F6F22" w:rsidP="00395566">
      <w:pPr>
        <w:pStyle w:val="box457493"/>
        <w:ind w:firstLine="708"/>
        <w:jc w:val="both"/>
        <w:rPr>
          <w:b/>
        </w:rPr>
      </w:pPr>
      <w:r w:rsidRPr="00395566">
        <w:t xml:space="preserve">– </w:t>
      </w:r>
      <w:r w:rsidR="00395566">
        <w:tab/>
      </w:r>
      <w:proofErr w:type="spellStart"/>
      <w:r w:rsidRPr="00395566">
        <w:t>24</w:t>
      </w:r>
      <w:proofErr w:type="spellEnd"/>
      <w:r w:rsidR="00395566">
        <w:t xml:space="preserve"> </w:t>
      </w:r>
      <w:r w:rsidRPr="00395566">
        <w:t xml:space="preserve">% </w:t>
      </w:r>
      <w:r w:rsidR="00395566" w:rsidRPr="00395566">
        <w:t xml:space="preserve">vojnici, dočasnici i časnici </w:t>
      </w:r>
      <w:r w:rsidR="00395566">
        <w:t xml:space="preserve">raspoređeni u Središte za razvoj vođa „Marko Babić“, </w:t>
      </w:r>
      <w:r w:rsidRPr="00395566">
        <w:t>vojnici, dočasnici i časnici raspoređeni u Zapovjedništ</w:t>
      </w:r>
      <w:r w:rsidR="004B33BB" w:rsidRPr="00395566">
        <w:t>vo specijalnih snaga do razine g</w:t>
      </w:r>
      <w:r w:rsidRPr="00395566">
        <w:t>rupe specijalnih snaga</w:t>
      </w:r>
      <w:r w:rsidR="00366FB2" w:rsidRPr="00395566">
        <w:t xml:space="preserve"> i </w:t>
      </w:r>
      <w:r w:rsidR="007346AD" w:rsidRPr="00395566">
        <w:t xml:space="preserve">desetinu službenih pasa </w:t>
      </w:r>
      <w:proofErr w:type="spellStart"/>
      <w:r w:rsidR="007346AD" w:rsidRPr="00395566">
        <w:t>K9</w:t>
      </w:r>
      <w:proofErr w:type="spellEnd"/>
      <w:r w:rsidR="007346AD" w:rsidRPr="00395566">
        <w:t xml:space="preserve"> Satnije za potporu</w:t>
      </w:r>
      <w:r w:rsidR="00DC5DB3" w:rsidRPr="00395566">
        <w:t xml:space="preserve"> Zapovjedništva specijalnih snaga</w:t>
      </w:r>
      <w:r w:rsidR="00395566">
        <w:t xml:space="preserve">, </w:t>
      </w:r>
      <w:r w:rsidR="00DC404B" w:rsidRPr="00395566">
        <w:t>osim</w:t>
      </w:r>
      <w:r w:rsidR="009579B5" w:rsidRPr="00395566">
        <w:t xml:space="preserve"> vojnika, dočasnika i časnika r</w:t>
      </w:r>
      <w:r w:rsidR="00DC404B" w:rsidRPr="00395566">
        <w:t>aspoređenih u ostale ustrojstvene</w:t>
      </w:r>
      <w:r w:rsidR="00DC404B" w:rsidRPr="00395566">
        <w:rPr>
          <w:b/>
        </w:rPr>
        <w:t xml:space="preserve"> </w:t>
      </w:r>
      <w:r w:rsidR="00DC404B" w:rsidRPr="00395566">
        <w:t>jedinice Satnije za potporu</w:t>
      </w:r>
      <w:r w:rsidR="0055574A" w:rsidRPr="00395566">
        <w:t xml:space="preserve"> i Doma zapovjedništva</w:t>
      </w:r>
      <w:r w:rsidR="00DC5DB3" w:rsidRPr="00395566">
        <w:t xml:space="preserve"> Zapovjedništva specijalnih snaga</w:t>
      </w:r>
    </w:p>
    <w:p w:rsidR="006F6F22" w:rsidRPr="00BD15AC" w:rsidRDefault="006F6F22" w:rsidP="00BD15AC">
      <w:pPr>
        <w:pStyle w:val="box457493"/>
        <w:ind w:firstLine="708"/>
        <w:jc w:val="both"/>
        <w:rPr>
          <w:b/>
        </w:rPr>
      </w:pPr>
      <w:r w:rsidRPr="00395566">
        <w:t xml:space="preserve">– </w:t>
      </w:r>
      <w:r w:rsidR="00395566">
        <w:tab/>
      </w:r>
      <w:proofErr w:type="spellStart"/>
      <w:r w:rsidRPr="00395566">
        <w:t>19</w:t>
      </w:r>
      <w:proofErr w:type="spellEnd"/>
      <w:r w:rsidR="00395566">
        <w:t xml:space="preserve"> </w:t>
      </w:r>
      <w:r w:rsidRPr="00395566">
        <w:t xml:space="preserve">% vojnici, dočasnici i časnici raspoređeni u mehanizirane, motorizirane i tenkovske satnije gardijskih brigada, u izvidničke vodove, timove bliske zračne potpore i timove prednjih zračnih kontrolora zapovjednih satnija gardijskih brigada i zapovjednih satnija bojni gardijskih brigada, </w:t>
      </w:r>
      <w:r w:rsidR="00BD15AC" w:rsidRPr="00C15CC0">
        <w:t xml:space="preserve">desetine za rukovanje vatrom samohodne </w:t>
      </w:r>
      <w:proofErr w:type="spellStart"/>
      <w:r w:rsidR="00BD15AC" w:rsidRPr="00C15CC0">
        <w:t>haubičke</w:t>
      </w:r>
      <w:proofErr w:type="spellEnd"/>
      <w:r w:rsidR="00BD15AC" w:rsidRPr="00C15CC0">
        <w:t xml:space="preserve"> bojne </w:t>
      </w:r>
      <w:proofErr w:type="spellStart"/>
      <w:r w:rsidR="00BD15AC" w:rsidRPr="00C15CC0">
        <w:t>155</w:t>
      </w:r>
      <w:proofErr w:type="spellEnd"/>
      <w:r w:rsidR="00BD15AC" w:rsidRPr="00C15CC0">
        <w:t xml:space="preserve"> mm Topničko raketne pukovnije,</w:t>
      </w:r>
      <w:r w:rsidR="00BD15AC" w:rsidRPr="00BD15AC">
        <w:rPr>
          <w:b/>
        </w:rPr>
        <w:t xml:space="preserve"> </w:t>
      </w:r>
      <w:r w:rsidRPr="00395566">
        <w:t>u satniju mornaričkog desantnog pješaštva,</w:t>
      </w:r>
      <w:r w:rsidR="003A5CCD" w:rsidRPr="00395566">
        <w:t xml:space="preserve"> </w:t>
      </w:r>
      <w:r w:rsidRPr="00395566">
        <w:t>u satn</w:t>
      </w:r>
      <w:r w:rsidR="007C7E93" w:rsidRPr="00395566">
        <w:t>iju za zaštitu VIP</w:t>
      </w:r>
      <w:r w:rsidRPr="00395566">
        <w:t xml:space="preserve"> Pukovnije vojne policije na zadaćama neposrednog osiguranja štićenih osoba, zapovjednici gardijskih brigada, zapovjednik Obalne straže Republike Hrvatske, zapovjednik Flotile Hrvatske ratne mornarice, zapovjednici bojni gardijskih brigada, </w:t>
      </w:r>
      <w:r w:rsidR="00BD15AC" w:rsidRPr="00C15CC0">
        <w:t xml:space="preserve">zapovjednik samohodne </w:t>
      </w:r>
      <w:proofErr w:type="spellStart"/>
      <w:r w:rsidR="00BD15AC" w:rsidRPr="00C15CC0">
        <w:t>haubičke</w:t>
      </w:r>
      <w:proofErr w:type="spellEnd"/>
      <w:r w:rsidR="00BD15AC" w:rsidRPr="00C15CC0">
        <w:t xml:space="preserve"> bojne </w:t>
      </w:r>
      <w:proofErr w:type="spellStart"/>
      <w:r w:rsidR="00BD15AC" w:rsidRPr="00C15CC0">
        <w:t>155</w:t>
      </w:r>
      <w:proofErr w:type="spellEnd"/>
      <w:r w:rsidR="00BD15AC" w:rsidRPr="00C15CC0">
        <w:t xml:space="preserve"> mm Topničko raketne pukovnije, </w:t>
      </w:r>
      <w:r w:rsidRPr="00395566">
        <w:t xml:space="preserve">zapovjednici </w:t>
      </w:r>
      <w:proofErr w:type="spellStart"/>
      <w:r w:rsidRPr="00395566">
        <w:t>divizijuna</w:t>
      </w:r>
      <w:proofErr w:type="spellEnd"/>
      <w:r w:rsidRPr="00395566">
        <w:t>-odreda brodova borbene namjene, zapovjednici brodo</w:t>
      </w:r>
      <w:r w:rsidR="00395566">
        <w:t xml:space="preserve">va borbene namjene, zapovjednik </w:t>
      </w:r>
      <w:r w:rsidRPr="00395566">
        <w:t>Zapovjedništva specijalnih snaga, zapovjednik Počasno-za</w:t>
      </w:r>
      <w:r w:rsidR="009579B5" w:rsidRPr="00395566">
        <w:t>štitne bojne, zapovjednik Obavještajne pukovnije</w:t>
      </w:r>
    </w:p>
    <w:p w:rsidR="006F6F22" w:rsidRPr="00395566" w:rsidRDefault="006F6F22" w:rsidP="00395566">
      <w:pPr>
        <w:pStyle w:val="box457493"/>
        <w:ind w:firstLine="708"/>
        <w:jc w:val="both"/>
      </w:pPr>
      <w:r w:rsidRPr="00395566">
        <w:t xml:space="preserve">– </w:t>
      </w:r>
      <w:r w:rsidR="00395566">
        <w:tab/>
      </w:r>
      <w:proofErr w:type="spellStart"/>
      <w:r w:rsidRPr="00395566">
        <w:t>15</w:t>
      </w:r>
      <w:proofErr w:type="spellEnd"/>
      <w:r w:rsidR="00395566">
        <w:t xml:space="preserve"> </w:t>
      </w:r>
      <w:r w:rsidRPr="00395566">
        <w:t>% ostali vojnici raspoređeni u gardijske brigade</w:t>
      </w:r>
      <w:r w:rsidR="00BD15AC">
        <w:t xml:space="preserve">, </w:t>
      </w:r>
      <w:r w:rsidR="00BD15AC" w:rsidRPr="00C15CC0">
        <w:t xml:space="preserve">samohodnu </w:t>
      </w:r>
      <w:proofErr w:type="spellStart"/>
      <w:r w:rsidR="00BD15AC" w:rsidRPr="00C15CC0">
        <w:t>haubičku</w:t>
      </w:r>
      <w:proofErr w:type="spellEnd"/>
      <w:r w:rsidR="00BD15AC" w:rsidRPr="00C15CC0">
        <w:t xml:space="preserve"> bojnu </w:t>
      </w:r>
      <w:proofErr w:type="spellStart"/>
      <w:r w:rsidR="00BD15AC" w:rsidRPr="00C15CC0">
        <w:t>155</w:t>
      </w:r>
      <w:proofErr w:type="spellEnd"/>
      <w:r w:rsidR="00BD15AC" w:rsidRPr="00C15CC0">
        <w:t xml:space="preserve"> mm Topničko raketne pukovnije,</w:t>
      </w:r>
      <w:r w:rsidRPr="00395566">
        <w:t xml:space="preserve"> i Zapovjedništvo specijalnih snaga, ostali dočasnici i časnici raspoređeni u satnije gardijskih brigada (osim raspoređenih u mehanizirane, motorizirane i tenkovske satnije), zapovjednici brodova pomoćne namjene</w:t>
      </w:r>
    </w:p>
    <w:p w:rsidR="006F6F22" w:rsidRPr="00395566" w:rsidRDefault="006F6F22" w:rsidP="00395566">
      <w:pPr>
        <w:pStyle w:val="box457493"/>
        <w:ind w:firstLine="708"/>
        <w:jc w:val="both"/>
      </w:pPr>
      <w:r w:rsidRPr="00395566">
        <w:t xml:space="preserve">– </w:t>
      </w:r>
      <w:r w:rsidR="00395566">
        <w:tab/>
      </w:r>
      <w:proofErr w:type="spellStart"/>
      <w:r w:rsidRPr="00395566">
        <w:t>14</w:t>
      </w:r>
      <w:proofErr w:type="spellEnd"/>
      <w:r w:rsidR="00395566">
        <w:t xml:space="preserve"> </w:t>
      </w:r>
      <w:r w:rsidRPr="00395566">
        <w:t>% vojnici, dočasnici i časnici raspoređeni u Počasno-za</w:t>
      </w:r>
      <w:r w:rsidR="009579B5" w:rsidRPr="00395566">
        <w:t>štitnu bojnu, Vojni ured, Obavještajnu pukovniju</w:t>
      </w:r>
      <w:r w:rsidRPr="00395566">
        <w:t>, mornari raspoređeni na brodove borbene namjene, prvi dočasnici u postrojbama razine brigade, prvi dočasnici grana, Zapovjedništva za potporu, Hrvatskog vojnog učilišta</w:t>
      </w:r>
      <w:r w:rsidR="004715C4">
        <w:t xml:space="preserve"> „D</w:t>
      </w:r>
      <w:r w:rsidR="00395566">
        <w:t>r. Franjo Tuđman“</w:t>
      </w:r>
      <w:r w:rsidRPr="00395566">
        <w:t xml:space="preserve"> i prvi dočasnik Oružanih snaga Republike Hrvatske (u daljnjem tekstu Oružane snage), vojnici, dočasnici i časnici raspoređeni u eskadrile i zrakoplovno-tehničke bojne</w:t>
      </w:r>
    </w:p>
    <w:p w:rsidR="006F6F22" w:rsidRPr="00395566" w:rsidRDefault="006F6F22" w:rsidP="00395566">
      <w:pPr>
        <w:pStyle w:val="box457493"/>
        <w:ind w:firstLine="708"/>
        <w:jc w:val="both"/>
      </w:pPr>
      <w:r w:rsidRPr="00395566">
        <w:lastRenderedPageBreak/>
        <w:t xml:space="preserve">– </w:t>
      </w:r>
      <w:r w:rsidR="00395566">
        <w:tab/>
      </w:r>
      <w:proofErr w:type="spellStart"/>
      <w:r w:rsidRPr="00395566">
        <w:t>12</w:t>
      </w:r>
      <w:proofErr w:type="spellEnd"/>
      <w:r w:rsidR="00395566">
        <w:t xml:space="preserve"> </w:t>
      </w:r>
      <w:r w:rsidRPr="00395566">
        <w:t>% vojnici raspoređeni u ostale postrojbe i mornari raspoređeni na brodove pomoćne namjene</w:t>
      </w:r>
    </w:p>
    <w:p w:rsidR="006F6F22" w:rsidRPr="00C15CC0" w:rsidRDefault="006F6F22" w:rsidP="00BD15AC">
      <w:pPr>
        <w:pStyle w:val="box457493"/>
        <w:ind w:firstLine="708"/>
        <w:jc w:val="both"/>
      </w:pPr>
      <w:r w:rsidRPr="00395566">
        <w:t xml:space="preserve">– </w:t>
      </w:r>
      <w:r w:rsidR="00395566">
        <w:tab/>
      </w:r>
      <w:proofErr w:type="spellStart"/>
      <w:r w:rsidRPr="00395566">
        <w:t>11</w:t>
      </w:r>
      <w:proofErr w:type="spellEnd"/>
      <w:r w:rsidR="00395566">
        <w:t xml:space="preserve"> </w:t>
      </w:r>
      <w:r w:rsidRPr="00395566">
        <w:t>% ostali dočasnici i časnici raspoređeni u gardijske brigade</w:t>
      </w:r>
      <w:r w:rsidR="00BD15AC">
        <w:t xml:space="preserve"> </w:t>
      </w:r>
      <w:r w:rsidR="00BD15AC" w:rsidRPr="00C15CC0">
        <w:t xml:space="preserve">i samohodnu </w:t>
      </w:r>
      <w:proofErr w:type="spellStart"/>
      <w:r w:rsidR="00BD15AC" w:rsidRPr="00C15CC0">
        <w:t>haubičku</w:t>
      </w:r>
      <w:proofErr w:type="spellEnd"/>
      <w:r w:rsidR="00BD15AC" w:rsidRPr="00C15CC0">
        <w:t xml:space="preserve"> bojnu </w:t>
      </w:r>
      <w:proofErr w:type="spellStart"/>
      <w:r w:rsidR="00BD15AC" w:rsidRPr="00C15CC0">
        <w:t>15</w:t>
      </w:r>
      <w:r w:rsidR="00C15CC0">
        <w:t>5</w:t>
      </w:r>
      <w:proofErr w:type="spellEnd"/>
      <w:r w:rsidR="00C15CC0">
        <w:t xml:space="preserve"> mm Topničko raketne pukovnije</w:t>
      </w:r>
    </w:p>
    <w:p w:rsidR="006F6F22" w:rsidRPr="00395566" w:rsidRDefault="006F6F22" w:rsidP="00395566">
      <w:pPr>
        <w:pStyle w:val="box457493"/>
        <w:ind w:firstLine="708"/>
        <w:jc w:val="both"/>
      </w:pPr>
      <w:r w:rsidRPr="00395566">
        <w:t xml:space="preserve">– </w:t>
      </w:r>
      <w:r w:rsidR="00395566">
        <w:t xml:space="preserve"> </w:t>
      </w:r>
      <w:r w:rsidR="00395566">
        <w:tab/>
      </w:r>
      <w:proofErr w:type="spellStart"/>
      <w:r w:rsidRPr="00395566">
        <w:t>10</w:t>
      </w:r>
      <w:proofErr w:type="spellEnd"/>
      <w:r w:rsidR="00395566">
        <w:t xml:space="preserve"> </w:t>
      </w:r>
      <w:r w:rsidRPr="00395566">
        <w:t>% ostali dočasnici i časnici raspoređeni na brodove borbene namjene, postaje obalnog motrenja, radarske postaje, operativna središta, Zapovjedništvo specijalnih snaga, instruktori za obuku, časnici i dočasnici tehničke službe raspoređeni u postrojbe za tehničko održavanje u II. i III. stupnju tehničkog održavanja – Pomorske baze, Bojnu za opću logističku potporu i Remontni zavod</w:t>
      </w:r>
    </w:p>
    <w:p w:rsidR="006F6F22" w:rsidRPr="00395566" w:rsidRDefault="006F6F22" w:rsidP="00395566">
      <w:pPr>
        <w:pStyle w:val="box457493"/>
        <w:ind w:firstLine="708"/>
        <w:jc w:val="both"/>
      </w:pPr>
      <w:r w:rsidRPr="00395566">
        <w:t>–</w:t>
      </w:r>
      <w:r w:rsidR="00395566">
        <w:t xml:space="preserve">         </w:t>
      </w:r>
      <w:r w:rsidRPr="00395566">
        <w:t>8</w:t>
      </w:r>
      <w:r w:rsidR="00395566">
        <w:t xml:space="preserve"> </w:t>
      </w:r>
      <w:r w:rsidRPr="00395566">
        <w:t>% dočasnici i časnici na zapovjednim ili voditeljskim dužnostima u Oružanim snagama, Glavnom stožeru Oružanih snaga, Ministarstvu obrane te časnici i dočasnici na brodovima pomoćne namjene te vojni piloti na zapovjednim ili voditeljskim dužnostima u Oružanim snagama, Glavnom stožeru Oružanih snaga i Ministarstvu obrane</w:t>
      </w:r>
    </w:p>
    <w:p w:rsidR="00812511" w:rsidRPr="00395566" w:rsidRDefault="006F6F22" w:rsidP="00395566">
      <w:pPr>
        <w:pStyle w:val="box457493"/>
        <w:ind w:firstLine="708"/>
        <w:jc w:val="both"/>
      </w:pPr>
      <w:r w:rsidRPr="00395566">
        <w:t xml:space="preserve">– </w:t>
      </w:r>
      <w:r w:rsidR="00395566">
        <w:tab/>
      </w:r>
      <w:r w:rsidRPr="00395566">
        <w:t>5</w:t>
      </w:r>
      <w:r w:rsidR="00395566">
        <w:t xml:space="preserve"> </w:t>
      </w:r>
      <w:r w:rsidRPr="00395566">
        <w:t>% dočasnici i časnici raspoređeni na ostale dužnosti u Oružanim snagama, Glavnom stožeru Oružanih snaga i Ministarstvu obrane, časnici i dočasnici izvan Oružanih snaga i Ministarstva obrane te vojni piloti na ostalim dužnostima u Oružanim snagama, Glavnom stožeru Oružanih snaga i Ministarstvu obrane.</w:t>
      </w:r>
      <w:r w:rsidR="00C32221" w:rsidRPr="00395566">
        <w:t>“</w:t>
      </w:r>
      <w:r w:rsidR="00395566">
        <w:t>.</w:t>
      </w:r>
    </w:p>
    <w:p w:rsidR="001C221F" w:rsidRDefault="001C221F" w:rsidP="00F91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:rsidR="00C15CC0" w:rsidRPr="00395566" w:rsidRDefault="00C15CC0" w:rsidP="00F91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C221F" w:rsidRPr="00395566" w:rsidRDefault="001C221F" w:rsidP="00F91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7. stavku 1. iza točke 9. dodaje se točka </w:t>
      </w:r>
      <w:proofErr w:type="spellStart"/>
      <w:r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proofErr w:type="spellEnd"/>
      <w:r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>. koja glasi</w:t>
      </w:r>
      <w:r w:rsidR="00715380"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78246E" w:rsidRPr="00395566" w:rsidRDefault="001C221F" w:rsidP="00395566">
      <w:pPr>
        <w:pStyle w:val="t-9-8"/>
        <w:ind w:firstLine="708"/>
        <w:jc w:val="both"/>
      </w:pPr>
      <w:r w:rsidRPr="00395566">
        <w:t>„</w:t>
      </w:r>
      <w:proofErr w:type="spellStart"/>
      <w:r w:rsidRPr="00395566">
        <w:t>10</w:t>
      </w:r>
      <w:proofErr w:type="spellEnd"/>
      <w:r w:rsidR="00812511" w:rsidRPr="00395566">
        <w:t>.</w:t>
      </w:r>
      <w:r w:rsidRPr="00395566">
        <w:t xml:space="preserve"> </w:t>
      </w:r>
      <w:r w:rsidR="00395566">
        <w:tab/>
      </w:r>
      <w:r w:rsidR="00395566" w:rsidRPr="00395566">
        <w:t xml:space="preserve">te na dužnostima </w:t>
      </w:r>
      <w:r w:rsidRPr="00395566">
        <w:t>u Središtu za razvoj vođa „Marko Babić“</w:t>
      </w:r>
      <w:r w:rsidR="00395566">
        <w:t>.</w:t>
      </w:r>
    </w:p>
    <w:p w:rsidR="0078246E" w:rsidRDefault="0078246E" w:rsidP="00F91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:rsidR="00C15CC0" w:rsidRPr="00395566" w:rsidRDefault="00C15CC0" w:rsidP="00F91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8246E" w:rsidRPr="00395566" w:rsidRDefault="0078246E" w:rsidP="003955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8. iza stavka 2. dodaje se novi stavak 3. koji glasi: </w:t>
      </w:r>
    </w:p>
    <w:p w:rsidR="0078246E" w:rsidRPr="00395566" w:rsidRDefault="00395566" w:rsidP="003955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„(3)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Vojni piloti a</w:t>
      </w:r>
      <w:r w:rsidR="0078246E"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>krobatske grupe „Krila Oluje“ prilikom izračuna letačkog dodatka ostvaruj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pravo na dodatni koeficijent a</w:t>
      </w:r>
      <w:r w:rsidR="0078246E"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>krobatske grupe „Krila Oluje“.“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8246E" w:rsidRPr="00395566" w:rsidRDefault="0078246E" w:rsidP="003955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>Dosadašnji stavak 3. postaj</w:t>
      </w:r>
      <w:r w:rsid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>e stavak 4. te se mijenja</w:t>
      </w:r>
      <w:r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glasi: </w:t>
      </w:r>
    </w:p>
    <w:p w:rsidR="00395566" w:rsidRDefault="0078246E" w:rsidP="008B70F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„(4) </w:t>
      </w:r>
      <w:r w:rsid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iznos letačkog dodatka za vojne pilote čini zbroj koeficijenta spremnosti (A), koeficijenta za nadzvučne borbene avione (B), koeficijenta dodatnih letačkih zvanja (C) </w:t>
      </w:r>
      <w:r w:rsidR="00395566"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>i koeficijenta a</w:t>
      </w:r>
      <w:r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krobatske grupe „Krila </w:t>
      </w:r>
      <w:r w:rsidR="00395566"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>Oluje“</w:t>
      </w:r>
      <w:r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>(D) i množi se s osnovicom za obračun plaće u skladu s tablicom:</w:t>
      </w:r>
    </w:p>
    <w:p w:rsidR="00C15CC0" w:rsidRDefault="00C15CC0" w:rsidP="008B70F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5CC0" w:rsidRDefault="00C15CC0" w:rsidP="008B70F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5CC0" w:rsidRDefault="00C15CC0" w:rsidP="008B70F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5CC0" w:rsidRPr="00395566" w:rsidRDefault="00C15CC0" w:rsidP="00C15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674"/>
        <w:gridCol w:w="708"/>
        <w:gridCol w:w="794"/>
        <w:gridCol w:w="2254"/>
        <w:gridCol w:w="1971"/>
        <w:gridCol w:w="1975"/>
      </w:tblGrid>
      <w:tr w:rsidR="0078246E" w:rsidRPr="00395566" w:rsidTr="00137DF4">
        <w:tc>
          <w:tcPr>
            <w:tcW w:w="817" w:type="dxa"/>
            <w:vMerge w:val="restart"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Osobni čin</w:t>
            </w:r>
          </w:p>
        </w:tc>
        <w:tc>
          <w:tcPr>
            <w:tcW w:w="2181" w:type="dxa"/>
            <w:gridSpan w:val="3"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2268" w:type="dxa"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</w:t>
            </w:r>
          </w:p>
        </w:tc>
        <w:tc>
          <w:tcPr>
            <w:tcW w:w="1984" w:type="dxa"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</w:t>
            </w:r>
          </w:p>
        </w:tc>
        <w:tc>
          <w:tcPr>
            <w:tcW w:w="1984" w:type="dxa"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</w:t>
            </w:r>
          </w:p>
        </w:tc>
      </w:tr>
      <w:tr w:rsidR="0078246E" w:rsidRPr="00395566" w:rsidTr="00137DF4">
        <w:tc>
          <w:tcPr>
            <w:tcW w:w="817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81" w:type="dxa"/>
            <w:gridSpan w:val="3"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Spremnost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Nadzvučni borbeni avioni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Dodatna letačka zvanja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8246E" w:rsidRPr="00395566" w:rsidRDefault="0078246E" w:rsidP="003955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Akrobatska grupa „Krila Oluje“</w:t>
            </w:r>
          </w:p>
        </w:tc>
      </w:tr>
      <w:tr w:rsidR="0078246E" w:rsidRPr="00395566" w:rsidTr="0012141A">
        <w:trPr>
          <w:trHeight w:val="743"/>
        </w:trPr>
        <w:tc>
          <w:tcPr>
            <w:tcW w:w="817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I. kat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II. kat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III. kat</w:t>
            </w:r>
          </w:p>
        </w:tc>
        <w:tc>
          <w:tcPr>
            <w:tcW w:w="2268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78246E" w:rsidRPr="00395566" w:rsidTr="00137DF4">
        <w:tc>
          <w:tcPr>
            <w:tcW w:w="817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</w:t>
            </w:r>
            <w:proofErr w:type="spellEnd"/>
          </w:p>
        </w:tc>
        <w:tc>
          <w:tcPr>
            <w:tcW w:w="676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</w:t>
            </w: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</w:t>
            </w: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</w:t>
            </w:r>
            <w:proofErr w:type="spellEnd"/>
          </w:p>
        </w:tc>
        <w:tc>
          <w:tcPr>
            <w:tcW w:w="796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0,2</w:t>
            </w:r>
          </w:p>
        </w:tc>
        <w:bookmarkStart w:id="0" w:name="_GoBack"/>
        <w:bookmarkEnd w:id="0"/>
      </w:tr>
      <w:tr w:rsidR="0078246E" w:rsidRPr="00395566" w:rsidTr="00137DF4">
        <w:tc>
          <w:tcPr>
            <w:tcW w:w="817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npr</w:t>
            </w:r>
            <w:proofErr w:type="spellEnd"/>
          </w:p>
        </w:tc>
        <w:tc>
          <w:tcPr>
            <w:tcW w:w="676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</w:t>
            </w: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55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</w:t>
            </w: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  <w:proofErr w:type="spellEnd"/>
          </w:p>
        </w:tc>
        <w:tc>
          <w:tcPr>
            <w:tcW w:w="796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1,3</w:t>
            </w:r>
          </w:p>
        </w:tc>
        <w:tc>
          <w:tcPr>
            <w:tcW w:w="2268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78246E" w:rsidRPr="00395566" w:rsidTr="00137DF4">
        <w:tc>
          <w:tcPr>
            <w:tcW w:w="817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stn</w:t>
            </w:r>
            <w:proofErr w:type="spellEnd"/>
          </w:p>
        </w:tc>
        <w:tc>
          <w:tcPr>
            <w:tcW w:w="676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</w:t>
            </w: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</w:t>
            </w: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55</w:t>
            </w:r>
            <w:proofErr w:type="spellEnd"/>
          </w:p>
        </w:tc>
        <w:tc>
          <w:tcPr>
            <w:tcW w:w="796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</w:t>
            </w:r>
          </w:p>
        </w:tc>
        <w:tc>
          <w:tcPr>
            <w:tcW w:w="2268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78246E" w:rsidRPr="00395566" w:rsidTr="00137DF4">
        <w:tc>
          <w:tcPr>
            <w:tcW w:w="817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bjn</w:t>
            </w:r>
            <w:proofErr w:type="spellEnd"/>
          </w:p>
        </w:tc>
        <w:tc>
          <w:tcPr>
            <w:tcW w:w="676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</w:t>
            </w: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85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</w:t>
            </w: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</w:t>
            </w:r>
            <w:proofErr w:type="spellEnd"/>
          </w:p>
        </w:tc>
        <w:tc>
          <w:tcPr>
            <w:tcW w:w="796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</w:t>
            </w:r>
          </w:p>
        </w:tc>
        <w:tc>
          <w:tcPr>
            <w:tcW w:w="2268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78246E" w:rsidRPr="00395566" w:rsidTr="00137DF4">
        <w:tc>
          <w:tcPr>
            <w:tcW w:w="817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pk</w:t>
            </w:r>
            <w:proofErr w:type="spellEnd"/>
          </w:p>
        </w:tc>
        <w:tc>
          <w:tcPr>
            <w:tcW w:w="676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</w:t>
            </w: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85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</w:t>
            </w: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</w:t>
            </w:r>
            <w:proofErr w:type="spellEnd"/>
          </w:p>
        </w:tc>
        <w:tc>
          <w:tcPr>
            <w:tcW w:w="796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1,6</w:t>
            </w:r>
          </w:p>
        </w:tc>
        <w:tc>
          <w:tcPr>
            <w:tcW w:w="2268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78246E" w:rsidRPr="00395566" w:rsidTr="00137DF4">
        <w:tc>
          <w:tcPr>
            <w:tcW w:w="817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brg</w:t>
            </w:r>
            <w:proofErr w:type="spellEnd"/>
          </w:p>
        </w:tc>
        <w:tc>
          <w:tcPr>
            <w:tcW w:w="676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</w:t>
            </w: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</w:t>
            </w: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55</w:t>
            </w:r>
            <w:proofErr w:type="spellEnd"/>
          </w:p>
        </w:tc>
        <w:tc>
          <w:tcPr>
            <w:tcW w:w="796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1,4</w:t>
            </w:r>
          </w:p>
        </w:tc>
        <w:tc>
          <w:tcPr>
            <w:tcW w:w="2268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78246E" w:rsidRPr="00395566" w:rsidTr="00137DF4">
        <w:tc>
          <w:tcPr>
            <w:tcW w:w="817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gbr</w:t>
            </w:r>
            <w:proofErr w:type="spellEnd"/>
          </w:p>
        </w:tc>
        <w:tc>
          <w:tcPr>
            <w:tcW w:w="676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</w:t>
            </w: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78246E" w:rsidRPr="00395566" w:rsidTr="00137DF4">
        <w:tc>
          <w:tcPr>
            <w:tcW w:w="817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gb</w:t>
            </w:r>
            <w:proofErr w:type="spellEnd"/>
          </w:p>
        </w:tc>
        <w:tc>
          <w:tcPr>
            <w:tcW w:w="676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1,0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</w:t>
            </w: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85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78246E" w:rsidRPr="00395566" w:rsidTr="00137DF4">
        <w:tc>
          <w:tcPr>
            <w:tcW w:w="817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gp</w:t>
            </w:r>
            <w:proofErr w:type="spellEnd"/>
          </w:p>
        </w:tc>
        <w:tc>
          <w:tcPr>
            <w:tcW w:w="676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0,8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</w:t>
            </w: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78246E" w:rsidRPr="00395566" w:rsidTr="00137DF4">
        <w:tc>
          <w:tcPr>
            <w:tcW w:w="817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gz</w:t>
            </w:r>
            <w:proofErr w:type="spellEnd"/>
          </w:p>
        </w:tc>
        <w:tc>
          <w:tcPr>
            <w:tcW w:w="676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0,6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</w:t>
            </w: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8246E" w:rsidRPr="00395566" w:rsidRDefault="0078246E" w:rsidP="007824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C15CC0" w:rsidRDefault="0078246E" w:rsidP="00C15CC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>Dosadašnji stavci</w:t>
      </w:r>
      <w:r w:rsidR="004715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4., 5 i 6. </w:t>
      </w:r>
      <w:r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>postaju stavci</w:t>
      </w:r>
      <w:r w:rsidR="004715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5., 6. i </w:t>
      </w:r>
      <w:r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</w:t>
      </w:r>
    </w:p>
    <w:p w:rsidR="00C15CC0" w:rsidRPr="00C15CC0" w:rsidRDefault="00C15CC0" w:rsidP="00C15C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4.</w:t>
      </w:r>
    </w:p>
    <w:p w:rsidR="00B45B08" w:rsidRDefault="00C15CC0" w:rsidP="00B45B08">
      <w:pPr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članku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stavak 1. mijenja se i glasi:</w:t>
      </w:r>
    </w:p>
    <w:p w:rsidR="003C7542" w:rsidRDefault="003C7542" w:rsidP="00B45B08">
      <w:pPr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7915" w:rsidRDefault="00C15CC0" w:rsidP="00B45B08">
      <w:pPr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2F7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Djelatnoj vojnoj osobi koja je stručno osposobljena i raspoređena na dužnosti pirotehničara unutar pionirske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satnije u sastavu Inženjerijske pukovnije te dočasnicima i časnicima ustrojbeno raspoređenim u Zapovjedništvu Inženjerijske pukovnije koji rade na poslovima nadzora i koordinacije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protuminskog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djelovanja </w:t>
      </w:r>
      <w:r w:rsidR="002F7915">
        <w:rPr>
          <w:rFonts w:ascii="Times New Roman" w:eastAsia="Times New Roman" w:hAnsi="Times New Roman" w:cs="Times New Roman"/>
          <w:color w:val="000000"/>
          <w:sz w:val="24"/>
          <w:szCs w:val="24"/>
        </w:rPr>
        <w:t>pripada osnovni pirotehnički dodatak u skladu s tablicom:</w:t>
      </w:r>
    </w:p>
    <w:p w:rsidR="000230AC" w:rsidRDefault="000230AC" w:rsidP="00B45B08">
      <w:pPr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186"/>
        <w:gridCol w:w="2796"/>
        <w:gridCol w:w="5274"/>
      </w:tblGrid>
      <w:tr w:rsidR="002F7915" w:rsidTr="000230AC">
        <w:trPr>
          <w:tblCellSpacing w:w="15" w:type="dxa"/>
        </w:trPr>
        <w:tc>
          <w:tcPr>
            <w:tcW w:w="915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F7915" w:rsidRPr="00C15CC0" w:rsidRDefault="002F7915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5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OSNOVNI PIROTEHNIČKI DODATAK</w:t>
            </w:r>
          </w:p>
        </w:tc>
      </w:tr>
      <w:tr w:rsidR="000230AC" w:rsidTr="002F791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230AC" w:rsidRPr="00B45B08" w:rsidRDefault="000230AC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</w:rPr>
            </w:pPr>
            <w:r w:rsidRPr="00B45B08">
              <w:rPr>
                <w:rFonts w:ascii="Times New Roman" w:eastAsia="Times New Roman" w:hAnsi="Times New Roman" w:cs="Times New Roman"/>
              </w:rPr>
              <w:t>Kategorija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230AC" w:rsidRPr="00B45B08" w:rsidRDefault="000230AC" w:rsidP="000B6F8F">
            <w:pPr>
              <w:spacing w:before="100" w:beforeAutospacing="1" w:after="225"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45B08">
              <w:rPr>
                <w:rFonts w:ascii="Times New Roman" w:eastAsia="Times New Roman" w:hAnsi="Times New Roman" w:cs="Times New Roman"/>
              </w:rPr>
              <w:t>I.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230AC" w:rsidRPr="00B45B08" w:rsidRDefault="000230AC" w:rsidP="000B6F8F">
            <w:pPr>
              <w:spacing w:before="100" w:beforeAutospacing="1" w:after="225"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45B08">
              <w:rPr>
                <w:rFonts w:ascii="Times New Roman" w:eastAsia="Times New Roman" w:hAnsi="Times New Roman" w:cs="Times New Roman"/>
              </w:rPr>
              <w:t>II.</w:t>
            </w:r>
          </w:p>
        </w:tc>
      </w:tr>
      <w:tr w:rsidR="000230AC" w:rsidTr="002F791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230AC" w:rsidRPr="00B45B08" w:rsidRDefault="000230AC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</w:rPr>
            </w:pPr>
            <w:r w:rsidRPr="00B45B0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230AC" w:rsidRPr="00B45B08" w:rsidRDefault="000230AC" w:rsidP="000B6F8F">
            <w:pPr>
              <w:spacing w:before="100" w:beforeAutospacing="1" w:after="225"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45B08">
              <w:rPr>
                <w:rFonts w:ascii="Times New Roman" w:eastAsia="Times New Roman" w:hAnsi="Times New Roman" w:cs="Times New Roman"/>
              </w:rPr>
              <w:t>40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230AC" w:rsidRPr="00B45B08" w:rsidRDefault="000230AC" w:rsidP="000B6F8F">
            <w:pPr>
              <w:spacing w:before="100" w:beforeAutospacing="1" w:after="225"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45B08">
              <w:rPr>
                <w:rFonts w:ascii="Times New Roman" w:eastAsia="Times New Roman" w:hAnsi="Times New Roman" w:cs="Times New Roman"/>
              </w:rPr>
              <w:t>30</w:t>
            </w:r>
            <w:proofErr w:type="spellEnd"/>
          </w:p>
        </w:tc>
      </w:tr>
      <w:tr w:rsidR="000230AC" w:rsidTr="002F791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230AC" w:rsidRPr="00B45B08" w:rsidRDefault="000230AC" w:rsidP="00C15CC0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</w:rPr>
            </w:pPr>
            <w:r w:rsidRPr="00B45B08">
              <w:rPr>
                <w:rFonts w:ascii="Times New Roman" w:eastAsia="Times New Roman" w:hAnsi="Times New Roman" w:cs="Times New Roman"/>
              </w:rPr>
              <w:t xml:space="preserve">ustrojbena mjesta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230AC" w:rsidRPr="00B45B08" w:rsidRDefault="000230AC" w:rsidP="00B45B08">
            <w:pPr>
              <w:spacing w:before="100" w:beforeAutospacing="1" w:after="225" w:line="336" w:lineRule="atLeast"/>
              <w:rPr>
                <w:rFonts w:ascii="Times New Roman" w:eastAsia="Times New Roman" w:hAnsi="Times New Roman" w:cs="Times New Roman"/>
              </w:rPr>
            </w:pPr>
            <w:r w:rsidRPr="00B45B08">
              <w:rPr>
                <w:rFonts w:ascii="Times New Roman" w:eastAsia="Times New Roman" w:hAnsi="Times New Roman" w:cs="Times New Roman"/>
              </w:rPr>
              <w:t>pionir, voditelji timova, zapovjednici vodova i desetina u pionirskoj satniji, dočasnici- pirotehničari, vojnici i  dočasnici izvidničko-</w:t>
            </w:r>
            <w:r w:rsidRPr="00B45B08">
              <w:rPr>
                <w:rFonts w:ascii="Times New Roman" w:eastAsia="Times New Roman" w:hAnsi="Times New Roman" w:cs="Times New Roman"/>
              </w:rPr>
              <w:br/>
              <w:t>-</w:t>
            </w:r>
            <w:proofErr w:type="spellStart"/>
            <w:r w:rsidRPr="00B45B08">
              <w:rPr>
                <w:rFonts w:ascii="Times New Roman" w:eastAsia="Times New Roman" w:hAnsi="Times New Roman" w:cs="Times New Roman"/>
              </w:rPr>
              <w:t>roniteljske</w:t>
            </w:r>
            <w:proofErr w:type="spellEnd"/>
            <w:r w:rsidRPr="00B45B08">
              <w:rPr>
                <w:rFonts w:ascii="Times New Roman" w:eastAsia="Times New Roman" w:hAnsi="Times New Roman" w:cs="Times New Roman"/>
              </w:rPr>
              <w:t xml:space="preserve"> desetine i pripadnici voda za uklanjanje eksplozivnih naprava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230AC" w:rsidRPr="00B45B08" w:rsidRDefault="000230AC" w:rsidP="00484937">
            <w:pPr>
              <w:spacing w:before="100" w:beforeAutospacing="1" w:after="225" w:line="336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5B08">
              <w:rPr>
                <w:rFonts w:ascii="Times New Roman" w:eastAsia="Times New Roman" w:hAnsi="Times New Roman" w:cs="Times New Roman"/>
              </w:rPr>
              <w:t xml:space="preserve">časnici i dočasnici ustrojbeno raspoređeni u </w:t>
            </w:r>
            <w:r w:rsidRPr="00B45B08">
              <w:rPr>
                <w:rFonts w:ascii="Times New Roman" w:eastAsia="Times New Roman" w:hAnsi="Times New Roman" w:cs="Times New Roman"/>
                <w:color w:val="000000"/>
              </w:rPr>
              <w:t xml:space="preserve">Zapovjedništvu Inženjerijske pukovnije na dužnosti operativnog časnika, zapovjednik i zamjenik zapovjednika satnije, prvi dočasnik satnije, dočasnici na poslovima nadzora humanitarnog razminiranja i drugim poslovima koordinacije poslova razminiranja </w:t>
            </w:r>
            <w:r w:rsidRPr="00B45B08">
              <w:rPr>
                <w:rFonts w:ascii="Times New Roman" w:eastAsia="Times New Roman" w:hAnsi="Times New Roman" w:cs="Times New Roman"/>
              </w:rPr>
              <w:t xml:space="preserve"> pionirske satnije</w:t>
            </w:r>
          </w:p>
        </w:tc>
      </w:tr>
    </w:tbl>
    <w:p w:rsidR="00C15CC0" w:rsidRDefault="00C15CC0" w:rsidP="00BD59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2F7915" w:rsidRDefault="002F7915" w:rsidP="00DE3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142708" w:rsidRPr="00395566" w:rsidRDefault="00BD5972" w:rsidP="00DE3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5</w:t>
      </w:r>
      <w:r w:rsidR="00AC48A4" w:rsidRPr="00395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BD5972" w:rsidRDefault="00142708" w:rsidP="00DE32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</w:t>
      </w:r>
    </w:p>
    <w:p w:rsidR="00AC48A4" w:rsidRPr="00395566" w:rsidRDefault="00142708" w:rsidP="00BD59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proofErr w:type="spellStart"/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13</w:t>
      </w:r>
      <w:proofErr w:type="spellEnd"/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mijenja se i glasi:</w:t>
      </w:r>
    </w:p>
    <w:p w:rsidR="000B3346" w:rsidRPr="00395566" w:rsidRDefault="00142708" w:rsidP="00395566">
      <w:pPr>
        <w:pStyle w:val="t-9-8"/>
        <w:ind w:firstLine="360"/>
        <w:jc w:val="both"/>
      </w:pPr>
      <w:r w:rsidRPr="00395566">
        <w:t>„</w:t>
      </w:r>
      <w:r w:rsidR="006D256A" w:rsidRPr="00395566">
        <w:t>1)</w:t>
      </w:r>
      <w:r w:rsidR="00395566" w:rsidRPr="00395566">
        <w:tab/>
        <w:t xml:space="preserve">  </w:t>
      </w:r>
      <w:r w:rsidR="006D256A" w:rsidRPr="00395566">
        <w:t xml:space="preserve"> Djelatnim vojnim osobama </w:t>
      </w:r>
      <w:r w:rsidR="00EE543A" w:rsidRPr="00395566">
        <w:t>raspoređenim u</w:t>
      </w:r>
      <w:r w:rsidR="005F0FA2" w:rsidRPr="00395566">
        <w:t xml:space="preserve"> </w:t>
      </w:r>
      <w:r w:rsidR="000B3346" w:rsidRPr="00395566">
        <w:t>specijalne i zaštitne postrojbe pripada dodatak za pripadnike specijalnih i zaštitnih postrojbi u iznosu od:</w:t>
      </w:r>
    </w:p>
    <w:p w:rsidR="000B3346" w:rsidRPr="00395566" w:rsidRDefault="006D256A" w:rsidP="000B3346">
      <w:pPr>
        <w:pStyle w:val="t-9-8"/>
        <w:numPr>
          <w:ilvl w:val="0"/>
          <w:numId w:val="1"/>
        </w:numPr>
        <w:jc w:val="both"/>
      </w:pPr>
      <w:r w:rsidRPr="00395566">
        <w:t xml:space="preserve">Zapovjedništvo specijalnih snaga </w:t>
      </w:r>
      <w:r w:rsidR="000B3346" w:rsidRPr="00395566">
        <w:t xml:space="preserve">: </w:t>
      </w:r>
    </w:p>
    <w:p w:rsidR="006D256A" w:rsidRPr="00395566" w:rsidRDefault="000B3346" w:rsidP="00B839AE">
      <w:pPr>
        <w:pStyle w:val="t-9-8"/>
        <w:numPr>
          <w:ilvl w:val="0"/>
          <w:numId w:val="2"/>
        </w:numPr>
        <w:jc w:val="both"/>
      </w:pPr>
      <w:r w:rsidRPr="00395566">
        <w:t xml:space="preserve">1., 2., 4. i 5. grupa specijalnih snaga </w:t>
      </w:r>
      <w:proofErr w:type="spellStart"/>
      <w:r w:rsidRPr="00395566">
        <w:t>35</w:t>
      </w:r>
      <w:proofErr w:type="spellEnd"/>
      <w:r w:rsidR="00395566">
        <w:t xml:space="preserve"> </w:t>
      </w:r>
      <w:r w:rsidRPr="00395566">
        <w:t>%</w:t>
      </w:r>
    </w:p>
    <w:p w:rsidR="005B47DB" w:rsidRPr="00395566" w:rsidRDefault="000B3346" w:rsidP="00B839AE">
      <w:pPr>
        <w:pStyle w:val="t-9-8"/>
        <w:numPr>
          <w:ilvl w:val="0"/>
          <w:numId w:val="2"/>
        </w:numPr>
        <w:jc w:val="both"/>
      </w:pPr>
      <w:r w:rsidRPr="00395566">
        <w:t xml:space="preserve">3. </w:t>
      </w:r>
      <w:r w:rsidR="00B839AE" w:rsidRPr="00395566">
        <w:t>g</w:t>
      </w:r>
      <w:r w:rsidRPr="00395566">
        <w:t>rupa specijalnih snaga</w:t>
      </w:r>
      <w:r w:rsidR="00395566">
        <w:t xml:space="preserve">   </w:t>
      </w:r>
      <w:r w:rsidR="00662B6C" w:rsidRPr="00395566">
        <w:t xml:space="preserve"> -</w:t>
      </w:r>
      <w:r w:rsidR="00D97765" w:rsidRPr="00395566">
        <w:t xml:space="preserve"> Zapovjedništvo i </w:t>
      </w:r>
      <w:r w:rsidR="00A4629F" w:rsidRPr="00395566">
        <w:t>S</w:t>
      </w:r>
      <w:r w:rsidR="005B47DB" w:rsidRPr="00395566">
        <w:t xml:space="preserve">atnija za obuku </w:t>
      </w:r>
      <w:proofErr w:type="spellStart"/>
      <w:r w:rsidR="005B47DB" w:rsidRPr="00395566">
        <w:t>35</w:t>
      </w:r>
      <w:proofErr w:type="spellEnd"/>
      <w:r w:rsidR="00395566">
        <w:t xml:space="preserve"> </w:t>
      </w:r>
      <w:r w:rsidR="005B47DB" w:rsidRPr="00395566">
        <w:t>%</w:t>
      </w:r>
    </w:p>
    <w:p w:rsidR="005B47DB" w:rsidRPr="00395566" w:rsidRDefault="005B47DB" w:rsidP="00F6085E">
      <w:pPr>
        <w:pStyle w:val="t-9-8"/>
        <w:numPr>
          <w:ilvl w:val="0"/>
          <w:numId w:val="2"/>
        </w:numPr>
        <w:tabs>
          <w:tab w:val="left" w:pos="3969"/>
        </w:tabs>
        <w:ind w:right="-286" w:firstLine="2748"/>
        <w:jc w:val="both"/>
      </w:pPr>
      <w:r w:rsidRPr="00395566">
        <w:t xml:space="preserve">desetina službenih pasa </w:t>
      </w:r>
      <w:proofErr w:type="spellStart"/>
      <w:r w:rsidRPr="00395566">
        <w:t>K9</w:t>
      </w:r>
      <w:proofErr w:type="spellEnd"/>
      <w:r w:rsidRPr="00395566">
        <w:t xml:space="preserve"> Satnije za potporu </w:t>
      </w:r>
      <w:proofErr w:type="spellStart"/>
      <w:r w:rsidRPr="00395566">
        <w:t>35</w:t>
      </w:r>
      <w:proofErr w:type="spellEnd"/>
      <w:r w:rsidR="00395566">
        <w:t xml:space="preserve"> </w:t>
      </w:r>
      <w:r w:rsidRPr="00395566">
        <w:t>%</w:t>
      </w:r>
    </w:p>
    <w:p w:rsidR="000B3346" w:rsidRPr="00395566" w:rsidRDefault="005B47DB" w:rsidP="00662B6C">
      <w:pPr>
        <w:pStyle w:val="t-9-8"/>
        <w:numPr>
          <w:ilvl w:val="0"/>
          <w:numId w:val="2"/>
        </w:numPr>
        <w:tabs>
          <w:tab w:val="left" w:pos="3969"/>
        </w:tabs>
        <w:ind w:firstLine="2748"/>
        <w:jc w:val="both"/>
      </w:pPr>
      <w:r w:rsidRPr="00395566">
        <w:t xml:space="preserve">Satnija za potporu </w:t>
      </w:r>
      <w:proofErr w:type="spellStart"/>
      <w:r w:rsidRPr="00395566">
        <w:t>10</w:t>
      </w:r>
      <w:proofErr w:type="spellEnd"/>
      <w:r w:rsidR="00395566">
        <w:t xml:space="preserve"> </w:t>
      </w:r>
      <w:r w:rsidRPr="00395566">
        <w:t>%</w:t>
      </w:r>
    </w:p>
    <w:p w:rsidR="00A4629F" w:rsidRPr="00395566" w:rsidRDefault="00A4629F" w:rsidP="00B839AE">
      <w:pPr>
        <w:pStyle w:val="t-9-8"/>
        <w:numPr>
          <w:ilvl w:val="0"/>
          <w:numId w:val="2"/>
        </w:numPr>
        <w:jc w:val="both"/>
      </w:pPr>
      <w:r w:rsidRPr="00395566">
        <w:t xml:space="preserve">Zapovjedništvo Zapovjedništva specijalnih snaga </w:t>
      </w:r>
      <w:proofErr w:type="spellStart"/>
      <w:r w:rsidRPr="00395566">
        <w:t>10</w:t>
      </w:r>
      <w:proofErr w:type="spellEnd"/>
      <w:r w:rsidR="00395566">
        <w:t xml:space="preserve"> </w:t>
      </w:r>
      <w:r w:rsidRPr="00395566">
        <w:t>%</w:t>
      </w:r>
    </w:p>
    <w:p w:rsidR="00A4629F" w:rsidRPr="00395566" w:rsidRDefault="00A4629F" w:rsidP="00B839AE">
      <w:pPr>
        <w:pStyle w:val="t-9-8"/>
        <w:numPr>
          <w:ilvl w:val="0"/>
          <w:numId w:val="2"/>
        </w:numPr>
        <w:jc w:val="both"/>
      </w:pPr>
      <w:r w:rsidRPr="00395566">
        <w:t xml:space="preserve">Dom zapovjedništva Zapovjedništva specijalnih snaga </w:t>
      </w:r>
      <w:proofErr w:type="spellStart"/>
      <w:r w:rsidRPr="00395566">
        <w:t>10</w:t>
      </w:r>
      <w:proofErr w:type="spellEnd"/>
      <w:r w:rsidR="00395566">
        <w:t xml:space="preserve"> </w:t>
      </w:r>
      <w:r w:rsidRPr="00395566">
        <w:t>%</w:t>
      </w:r>
    </w:p>
    <w:p w:rsidR="00B839AE" w:rsidRPr="00395566" w:rsidRDefault="00395566" w:rsidP="00B839AE">
      <w:pPr>
        <w:pStyle w:val="t-9-8"/>
        <w:numPr>
          <w:ilvl w:val="0"/>
          <w:numId w:val="1"/>
        </w:numPr>
        <w:jc w:val="both"/>
      </w:pPr>
      <w:r>
        <w:t>Obavještajna pukovnija</w:t>
      </w:r>
      <w:r w:rsidR="00B839AE" w:rsidRPr="00395566">
        <w:t xml:space="preserve">: </w:t>
      </w:r>
    </w:p>
    <w:p w:rsidR="00B839AE" w:rsidRPr="00395566" w:rsidRDefault="00B839AE" w:rsidP="00B839AE">
      <w:pPr>
        <w:pStyle w:val="t-9-8"/>
        <w:numPr>
          <w:ilvl w:val="0"/>
          <w:numId w:val="2"/>
        </w:numPr>
        <w:jc w:val="both"/>
      </w:pPr>
      <w:r w:rsidRPr="00395566">
        <w:t xml:space="preserve">Bojna za elektroničko izviđanje </w:t>
      </w:r>
      <w:proofErr w:type="spellStart"/>
      <w:r w:rsidRPr="00395566">
        <w:t>15</w:t>
      </w:r>
      <w:proofErr w:type="spellEnd"/>
      <w:r w:rsidR="00395566">
        <w:t xml:space="preserve"> </w:t>
      </w:r>
      <w:r w:rsidRPr="00395566">
        <w:t>%</w:t>
      </w:r>
    </w:p>
    <w:p w:rsidR="00B839AE" w:rsidRPr="00395566" w:rsidRDefault="00B839AE" w:rsidP="00B839AE">
      <w:pPr>
        <w:pStyle w:val="t-9-8"/>
        <w:numPr>
          <w:ilvl w:val="0"/>
          <w:numId w:val="2"/>
        </w:numPr>
        <w:jc w:val="both"/>
      </w:pPr>
      <w:r w:rsidRPr="00395566">
        <w:t xml:space="preserve">Bojna za obavještajnu potporu operacijama </w:t>
      </w:r>
      <w:proofErr w:type="spellStart"/>
      <w:r w:rsidRPr="00395566">
        <w:t>15</w:t>
      </w:r>
      <w:proofErr w:type="spellEnd"/>
      <w:r w:rsidR="00395566">
        <w:t xml:space="preserve"> </w:t>
      </w:r>
      <w:r w:rsidRPr="00395566">
        <w:t>%</w:t>
      </w:r>
    </w:p>
    <w:p w:rsidR="00B839AE" w:rsidRPr="00395566" w:rsidRDefault="00B839AE" w:rsidP="00B839AE">
      <w:pPr>
        <w:pStyle w:val="t-9-8"/>
        <w:numPr>
          <w:ilvl w:val="0"/>
          <w:numId w:val="2"/>
        </w:numPr>
        <w:jc w:val="both"/>
      </w:pPr>
      <w:r w:rsidRPr="00395566">
        <w:t xml:space="preserve">Zapovjedništvo Obavještajne pukovnije </w:t>
      </w:r>
      <w:proofErr w:type="spellStart"/>
      <w:r w:rsidRPr="00395566">
        <w:t>10</w:t>
      </w:r>
      <w:proofErr w:type="spellEnd"/>
      <w:r w:rsidR="00395566">
        <w:t xml:space="preserve"> </w:t>
      </w:r>
      <w:r w:rsidRPr="00395566">
        <w:t>%</w:t>
      </w:r>
    </w:p>
    <w:p w:rsidR="00B839AE" w:rsidRPr="00395566" w:rsidRDefault="00B839AE" w:rsidP="00B839AE">
      <w:pPr>
        <w:pStyle w:val="t-9-8"/>
        <w:numPr>
          <w:ilvl w:val="0"/>
          <w:numId w:val="2"/>
        </w:numPr>
        <w:jc w:val="both"/>
      </w:pPr>
      <w:r w:rsidRPr="00395566">
        <w:t>Združeno analitič</w:t>
      </w:r>
      <w:r w:rsidR="006F3B64" w:rsidRPr="00395566">
        <w:t xml:space="preserve">ko središte </w:t>
      </w:r>
      <w:proofErr w:type="spellStart"/>
      <w:r w:rsidR="006F3B64" w:rsidRPr="00395566">
        <w:t>10</w:t>
      </w:r>
      <w:proofErr w:type="spellEnd"/>
      <w:r w:rsidR="00395566">
        <w:t xml:space="preserve"> </w:t>
      </w:r>
      <w:r w:rsidR="006F3B64" w:rsidRPr="00395566">
        <w:t>%</w:t>
      </w:r>
    </w:p>
    <w:p w:rsidR="006F3B64" w:rsidRPr="00395566" w:rsidRDefault="006F3B64" w:rsidP="00B839AE">
      <w:pPr>
        <w:pStyle w:val="t-9-8"/>
        <w:numPr>
          <w:ilvl w:val="0"/>
          <w:numId w:val="2"/>
        </w:numPr>
        <w:jc w:val="both"/>
      </w:pPr>
      <w:r w:rsidRPr="00395566">
        <w:t xml:space="preserve">Središte za razvoj i obuku </w:t>
      </w:r>
      <w:proofErr w:type="spellStart"/>
      <w:r w:rsidRPr="00395566">
        <w:t>10</w:t>
      </w:r>
      <w:proofErr w:type="spellEnd"/>
      <w:r w:rsidR="00395566">
        <w:t xml:space="preserve"> </w:t>
      </w:r>
      <w:r w:rsidRPr="00395566">
        <w:t>%</w:t>
      </w:r>
    </w:p>
    <w:p w:rsidR="006F3B64" w:rsidRPr="00395566" w:rsidRDefault="006F3B64" w:rsidP="00B839AE">
      <w:pPr>
        <w:pStyle w:val="t-9-8"/>
        <w:numPr>
          <w:ilvl w:val="0"/>
          <w:numId w:val="2"/>
        </w:numPr>
        <w:jc w:val="both"/>
      </w:pPr>
      <w:r w:rsidRPr="00395566">
        <w:t xml:space="preserve">Zapovjedništvo Bojne za elektroničko izviđanje </w:t>
      </w:r>
      <w:proofErr w:type="spellStart"/>
      <w:r w:rsidRPr="00395566">
        <w:t>10</w:t>
      </w:r>
      <w:proofErr w:type="spellEnd"/>
      <w:r w:rsidR="00395566">
        <w:t xml:space="preserve"> </w:t>
      </w:r>
      <w:r w:rsidRPr="00395566">
        <w:t>%</w:t>
      </w:r>
    </w:p>
    <w:p w:rsidR="006F3B64" w:rsidRPr="00395566" w:rsidRDefault="006F3B64" w:rsidP="00B839AE">
      <w:pPr>
        <w:pStyle w:val="t-9-8"/>
        <w:numPr>
          <w:ilvl w:val="0"/>
          <w:numId w:val="2"/>
        </w:numPr>
        <w:jc w:val="both"/>
      </w:pPr>
      <w:r w:rsidRPr="00395566">
        <w:t xml:space="preserve">Zapovjedništvo Bojne za obavještajnu potporu operacijama </w:t>
      </w:r>
      <w:proofErr w:type="spellStart"/>
      <w:r w:rsidRPr="00395566">
        <w:t>10</w:t>
      </w:r>
      <w:proofErr w:type="spellEnd"/>
      <w:r w:rsidR="00395566">
        <w:t xml:space="preserve"> </w:t>
      </w:r>
      <w:r w:rsidRPr="00395566">
        <w:t>%</w:t>
      </w:r>
    </w:p>
    <w:p w:rsidR="006F3B64" w:rsidRPr="00395566" w:rsidRDefault="006F3B64" w:rsidP="00B839AE">
      <w:pPr>
        <w:pStyle w:val="t-9-8"/>
        <w:numPr>
          <w:ilvl w:val="0"/>
          <w:numId w:val="2"/>
        </w:numPr>
        <w:jc w:val="both"/>
      </w:pPr>
      <w:r w:rsidRPr="00395566">
        <w:t xml:space="preserve">Satnija za potporu </w:t>
      </w:r>
      <w:proofErr w:type="spellStart"/>
      <w:r w:rsidRPr="00395566">
        <w:t>10</w:t>
      </w:r>
      <w:proofErr w:type="spellEnd"/>
      <w:r w:rsidR="00395566">
        <w:t xml:space="preserve"> </w:t>
      </w:r>
      <w:r w:rsidRPr="00395566">
        <w:t>%</w:t>
      </w:r>
    </w:p>
    <w:p w:rsidR="008825BE" w:rsidRDefault="002F52C7" w:rsidP="008825BE">
      <w:pPr>
        <w:pStyle w:val="t-9-8"/>
        <w:numPr>
          <w:ilvl w:val="0"/>
          <w:numId w:val="1"/>
        </w:numPr>
        <w:spacing w:before="0" w:beforeAutospacing="0" w:after="0" w:afterAutospacing="0"/>
        <w:jc w:val="both"/>
      </w:pPr>
      <w:r w:rsidRPr="00395566">
        <w:t xml:space="preserve">Vojno-obavještajne satnije gardijskih brigada </w:t>
      </w:r>
      <w:proofErr w:type="spellStart"/>
      <w:r w:rsidRPr="00395566">
        <w:t>15</w:t>
      </w:r>
      <w:proofErr w:type="spellEnd"/>
      <w:r w:rsidRPr="00395566">
        <w:t>%</w:t>
      </w:r>
    </w:p>
    <w:p w:rsidR="008825BE" w:rsidRPr="00395566" w:rsidRDefault="008825BE" w:rsidP="008825BE">
      <w:pPr>
        <w:pStyle w:val="t-9-8"/>
        <w:spacing w:before="0" w:beforeAutospacing="0" w:after="0" w:afterAutospacing="0"/>
        <w:ind w:left="720"/>
        <w:jc w:val="both"/>
      </w:pPr>
    </w:p>
    <w:p w:rsidR="009B668F" w:rsidRDefault="002F52C7" w:rsidP="009B668F">
      <w:pPr>
        <w:pStyle w:val="t-9-8"/>
        <w:numPr>
          <w:ilvl w:val="0"/>
          <w:numId w:val="1"/>
        </w:numPr>
        <w:spacing w:before="0" w:beforeAutospacing="0" w:after="0" w:afterAutospacing="0"/>
        <w:jc w:val="both"/>
      </w:pPr>
      <w:r w:rsidRPr="00395566">
        <w:t xml:space="preserve">Počasno-zaštitna bojna </w:t>
      </w:r>
      <w:proofErr w:type="spellStart"/>
      <w:r w:rsidRPr="00395566">
        <w:t>10</w:t>
      </w:r>
      <w:proofErr w:type="spellEnd"/>
      <w:r w:rsidR="00395566">
        <w:t xml:space="preserve"> </w:t>
      </w:r>
      <w:r w:rsidRPr="00395566">
        <w:t>%.</w:t>
      </w:r>
      <w:r w:rsidR="00EA480E" w:rsidRPr="00395566">
        <w:t>“</w:t>
      </w:r>
      <w:r w:rsidR="00395566">
        <w:t>.</w:t>
      </w:r>
    </w:p>
    <w:p w:rsidR="009B668F" w:rsidRPr="009B668F" w:rsidRDefault="009B668F" w:rsidP="009B668F">
      <w:pPr>
        <w:pStyle w:val="t-9-8"/>
        <w:spacing w:before="0" w:beforeAutospacing="0" w:after="0" w:afterAutospacing="0"/>
        <w:jc w:val="both"/>
      </w:pPr>
    </w:p>
    <w:p w:rsidR="00852C2C" w:rsidRPr="009B668F" w:rsidRDefault="00BD5972" w:rsidP="009B668F">
      <w:pPr>
        <w:pStyle w:val="ListParagraph"/>
        <w:spacing w:after="0" w:line="240" w:lineRule="auto"/>
        <w:ind w:left="3552" w:firstLine="69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6</w:t>
      </w:r>
      <w:r w:rsidR="00852C2C" w:rsidRPr="00395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BD5972" w:rsidRDefault="00BD5972" w:rsidP="00FA15C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52C2C" w:rsidRPr="00395566" w:rsidRDefault="00852C2C" w:rsidP="00FA15C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</w:t>
      </w:r>
      <w:proofErr w:type="spellStart"/>
      <w:r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proofErr w:type="spellEnd"/>
      <w:r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stavak 2.</w:t>
      </w:r>
      <w:r w:rsidR="007C7E93"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955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mijenja se i glasi: </w:t>
      </w:r>
    </w:p>
    <w:p w:rsidR="00D73F42" w:rsidRPr="00395566" w:rsidRDefault="00D73F42" w:rsidP="002C79E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„(2) </w:t>
      </w:r>
      <w:r w:rsidR="002C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Iznosi dodataka određeni su u skladu s tablicom:</w:t>
      </w:r>
    </w:p>
    <w:tbl>
      <w:tblPr>
        <w:tblW w:w="0" w:type="auto"/>
        <w:tblCellSpacing w:w="15" w:type="dxa"/>
        <w:tblInd w:w="15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497"/>
        <w:gridCol w:w="497"/>
        <w:gridCol w:w="575"/>
        <w:gridCol w:w="608"/>
      </w:tblGrid>
      <w:tr w:rsidR="00D73F42" w:rsidRPr="00395566" w:rsidTr="002C79E9">
        <w:trPr>
          <w:tblCellSpacing w:w="15" w:type="dxa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F42" w:rsidRPr="00395566" w:rsidRDefault="00D73F42" w:rsidP="006479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VOJNOPOLICIJSKI DODATAK</w:t>
            </w:r>
          </w:p>
        </w:tc>
      </w:tr>
      <w:tr w:rsidR="00D73F42" w:rsidRPr="00395566" w:rsidTr="002C79E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F42" w:rsidRPr="00395566" w:rsidRDefault="00D73F42" w:rsidP="0064797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Kategorija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F42" w:rsidRPr="00395566" w:rsidRDefault="00D73F42" w:rsidP="006479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F42" w:rsidRPr="00395566" w:rsidRDefault="00D73F42" w:rsidP="006479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II.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F42" w:rsidRPr="00395566" w:rsidRDefault="00D73F42" w:rsidP="006479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III.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F42" w:rsidRPr="00395566" w:rsidRDefault="00D73F42" w:rsidP="006479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IV. </w:t>
            </w:r>
          </w:p>
        </w:tc>
      </w:tr>
      <w:tr w:rsidR="00D73F42" w:rsidRPr="00395566" w:rsidTr="002C79E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F42" w:rsidRPr="00395566" w:rsidRDefault="00D73F42" w:rsidP="0064797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F42" w:rsidRPr="00395566" w:rsidRDefault="00D73F42" w:rsidP="006479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F42" w:rsidRPr="00395566" w:rsidRDefault="00D73F42" w:rsidP="006479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F42" w:rsidRPr="00395566" w:rsidRDefault="00D73F42" w:rsidP="006479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F42" w:rsidRPr="00395566" w:rsidRDefault="00D73F42" w:rsidP="006479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95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  <w:proofErr w:type="spellEnd"/>
          </w:p>
        </w:tc>
      </w:tr>
    </w:tbl>
    <w:p w:rsidR="00D73F42" w:rsidRPr="00395566" w:rsidRDefault="002C79E9" w:rsidP="002C79E9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 w:rsidR="00D73F42"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I. kategorija </w:t>
      </w:r>
    </w:p>
    <w:p w:rsidR="00D73F42" w:rsidRPr="00395566" w:rsidRDefault="00D73F42" w:rsidP="00D73F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djelatnici </w:t>
      </w:r>
      <w:r w:rsidRPr="002C79E9">
        <w:rPr>
          <w:rFonts w:ascii="Times New Roman" w:eastAsia="Times New Roman" w:hAnsi="Times New Roman" w:cs="Times New Roman"/>
          <w:sz w:val="24"/>
          <w:szCs w:val="24"/>
          <w:lang w:eastAsia="hr-HR"/>
        </w:rPr>
        <w:t>satnije za zaštitu VIP</w:t>
      </w:r>
    </w:p>
    <w:p w:rsidR="00D73F42" w:rsidRPr="00395566" w:rsidRDefault="00D73F42" w:rsidP="00D73F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djelatnici raspoređeni na ustrojbena mjesta kriminalističke specijalnosti</w:t>
      </w:r>
    </w:p>
    <w:p w:rsidR="00D73F42" w:rsidRPr="00395566" w:rsidRDefault="00D73F42" w:rsidP="00D73F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II. kategorija</w:t>
      </w:r>
    </w:p>
    <w:p w:rsidR="00D73F42" w:rsidRPr="00395566" w:rsidRDefault="00D73F42" w:rsidP="00D73F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– djelatnici</w:t>
      </w:r>
      <w:r w:rsidR="0048294F"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8294F" w:rsidRPr="002C79E9">
        <w:rPr>
          <w:rFonts w:ascii="Times New Roman" w:eastAsia="Times New Roman" w:hAnsi="Times New Roman" w:cs="Times New Roman"/>
          <w:sz w:val="24"/>
          <w:szCs w:val="24"/>
          <w:lang w:eastAsia="hr-HR"/>
        </w:rPr>
        <w:t>satnije</w:t>
      </w:r>
      <w:r w:rsidRPr="002C79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antiterorističke vojne policije</w:t>
      </w:r>
    </w:p>
    <w:p w:rsidR="00D73F42" w:rsidRPr="00395566" w:rsidRDefault="00D73F42" w:rsidP="00D73F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III. kategorija</w:t>
      </w:r>
    </w:p>
    <w:p w:rsidR="00D73F42" w:rsidRPr="00395566" w:rsidRDefault="00D73F42" w:rsidP="00D73F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dočasnik pirotehničar za </w:t>
      </w:r>
      <w:proofErr w:type="spellStart"/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PDZ</w:t>
      </w:r>
      <w:proofErr w:type="spellEnd"/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RTG</w:t>
      </w:r>
    </w:p>
    <w:p w:rsidR="00D73F42" w:rsidRPr="00395566" w:rsidRDefault="00D73F42" w:rsidP="00D73F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voditelj </w:t>
      </w:r>
      <w:proofErr w:type="spellStart"/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pododsjeka</w:t>
      </w:r>
      <w:proofErr w:type="spellEnd"/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-pirotehničar za </w:t>
      </w:r>
      <w:proofErr w:type="spellStart"/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PDZ</w:t>
      </w:r>
      <w:proofErr w:type="spellEnd"/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RTG</w:t>
      </w:r>
    </w:p>
    <w:p w:rsidR="00D73F42" w:rsidRPr="00395566" w:rsidRDefault="00D73F42" w:rsidP="00D73F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voditelj odsjeka-pirotehničar</w:t>
      </w:r>
    </w:p>
    <w:p w:rsidR="00D73F42" w:rsidRPr="00395566" w:rsidRDefault="00D73F42" w:rsidP="00D73F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vodič pasa s DOS vodič psa za detekciju eksploziva, droga</w:t>
      </w:r>
    </w:p>
    <w:p w:rsidR="00D73F42" w:rsidRPr="00395566" w:rsidRDefault="00D73F42" w:rsidP="000F7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IV. kategorija</w:t>
      </w:r>
    </w:p>
    <w:p w:rsidR="00F6085E" w:rsidRPr="002C79E9" w:rsidRDefault="00D73F42" w:rsidP="002C79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ostale ovlaštene službene osobe Vojne policije.</w:t>
      </w:r>
      <w:r w:rsidR="00B62EA8"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2C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C79E9" w:rsidRDefault="00BD5972" w:rsidP="000F7DF1">
      <w:pPr>
        <w:pStyle w:val="ListParagraph"/>
        <w:spacing w:after="0" w:line="240" w:lineRule="auto"/>
        <w:ind w:left="3552" w:firstLine="696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7</w:t>
      </w:r>
      <w:r w:rsidR="003C793D" w:rsidRPr="003955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BD5972" w:rsidRDefault="00BD5972" w:rsidP="000F7DF1">
      <w:pPr>
        <w:pStyle w:val="ListParagraph"/>
        <w:spacing w:after="0" w:line="240" w:lineRule="auto"/>
        <w:ind w:left="3552" w:firstLine="696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C793D" w:rsidRPr="002C79E9" w:rsidRDefault="003C793D" w:rsidP="000F7DF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79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članka </w:t>
      </w:r>
      <w:proofErr w:type="spellStart"/>
      <w:r w:rsidRPr="002C79E9">
        <w:rPr>
          <w:rFonts w:ascii="Times New Roman" w:eastAsia="Times New Roman" w:hAnsi="Times New Roman" w:cs="Times New Roman"/>
          <w:sz w:val="24"/>
          <w:szCs w:val="24"/>
          <w:lang w:eastAsia="hr-HR"/>
        </w:rPr>
        <w:t>15.b</w:t>
      </w:r>
      <w:proofErr w:type="spellEnd"/>
      <w:r w:rsidRPr="002C79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dodaje se članak </w:t>
      </w:r>
      <w:proofErr w:type="spellStart"/>
      <w:r w:rsidRPr="002C79E9">
        <w:rPr>
          <w:rFonts w:ascii="Times New Roman" w:eastAsia="Times New Roman" w:hAnsi="Times New Roman" w:cs="Times New Roman"/>
          <w:sz w:val="24"/>
          <w:szCs w:val="24"/>
          <w:lang w:eastAsia="hr-HR"/>
        </w:rPr>
        <w:t>15.c</w:t>
      </w:r>
      <w:proofErr w:type="spellEnd"/>
      <w:r w:rsidR="00FE6B8A" w:rsidRPr="002C79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naslovom iznad njega</w:t>
      </w:r>
      <w:r w:rsidRPr="002C79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glase: </w:t>
      </w:r>
    </w:p>
    <w:p w:rsidR="00812511" w:rsidRPr="002C79E9" w:rsidRDefault="00FE6B8A" w:rsidP="002C79E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9E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2C79E9">
        <w:rPr>
          <w:rFonts w:ascii="Times New Roman" w:hAnsi="Times New Roman" w:cs="Times New Roman"/>
          <w:sz w:val="24"/>
          <w:szCs w:val="24"/>
        </w:rPr>
        <w:t>10</w:t>
      </w:r>
      <w:proofErr w:type="spellEnd"/>
      <w:r w:rsidRPr="002C79E9">
        <w:rPr>
          <w:rFonts w:ascii="Times New Roman" w:hAnsi="Times New Roman" w:cs="Times New Roman"/>
          <w:sz w:val="24"/>
          <w:szCs w:val="24"/>
        </w:rPr>
        <w:t>. Dodatak za dužnosti u Središtu za razvoj vođa „Marko Babić“</w:t>
      </w:r>
    </w:p>
    <w:p w:rsidR="00FE6B8A" w:rsidRPr="002C79E9" w:rsidRDefault="00FE6B8A" w:rsidP="00FE6B8A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9E9">
        <w:rPr>
          <w:rFonts w:ascii="Times New Roman" w:hAnsi="Times New Roman" w:cs="Times New Roman"/>
          <w:sz w:val="24"/>
          <w:szCs w:val="24"/>
        </w:rPr>
        <w:t xml:space="preserve">Članak </w:t>
      </w:r>
      <w:proofErr w:type="spellStart"/>
      <w:r w:rsidRPr="002C79E9">
        <w:rPr>
          <w:rFonts w:ascii="Times New Roman" w:hAnsi="Times New Roman" w:cs="Times New Roman"/>
          <w:sz w:val="24"/>
          <w:szCs w:val="24"/>
        </w:rPr>
        <w:t>15.c</w:t>
      </w:r>
      <w:proofErr w:type="spellEnd"/>
    </w:p>
    <w:p w:rsidR="00FE6B8A" w:rsidRPr="002C79E9" w:rsidRDefault="00FE6B8A" w:rsidP="000A6200">
      <w:pPr>
        <w:pStyle w:val="t-9-8"/>
        <w:ind w:firstLine="708"/>
        <w:jc w:val="both"/>
      </w:pPr>
      <w:r w:rsidRPr="002C79E9">
        <w:t xml:space="preserve">Djelatnim vojnim osobama raspoređenim u Središte za razvoj vođa „Marko Babić“ pripada dodatak </w:t>
      </w:r>
      <w:r w:rsidR="002C79E9">
        <w:t>i to</w:t>
      </w:r>
      <w:r w:rsidRPr="002C79E9">
        <w:t>:</w:t>
      </w:r>
    </w:p>
    <w:p w:rsidR="00D5408C" w:rsidRPr="002C79E9" w:rsidRDefault="00D5408C" w:rsidP="00D5408C">
      <w:pPr>
        <w:pStyle w:val="t-9-8"/>
        <w:numPr>
          <w:ilvl w:val="0"/>
          <w:numId w:val="2"/>
        </w:numPr>
        <w:jc w:val="both"/>
      </w:pPr>
      <w:proofErr w:type="spellStart"/>
      <w:r w:rsidRPr="002C79E9">
        <w:t>obučni</w:t>
      </w:r>
      <w:proofErr w:type="spellEnd"/>
      <w:r w:rsidRPr="002C79E9">
        <w:t xml:space="preserve"> timovi </w:t>
      </w:r>
      <w:r w:rsidR="002C79E9">
        <w:t xml:space="preserve">u iznosu od </w:t>
      </w:r>
      <w:proofErr w:type="spellStart"/>
      <w:r w:rsidRPr="002C79E9">
        <w:t>35</w:t>
      </w:r>
      <w:proofErr w:type="spellEnd"/>
      <w:r w:rsidR="002C79E9">
        <w:t xml:space="preserve"> </w:t>
      </w:r>
      <w:r w:rsidRPr="002C79E9">
        <w:t>%</w:t>
      </w:r>
    </w:p>
    <w:p w:rsidR="003C793D" w:rsidRPr="002C79E9" w:rsidRDefault="002C79E9" w:rsidP="000A6200">
      <w:pPr>
        <w:pStyle w:val="t-9-8"/>
        <w:numPr>
          <w:ilvl w:val="0"/>
          <w:numId w:val="2"/>
        </w:numPr>
        <w:spacing w:before="0" w:beforeAutospacing="0" w:after="0" w:afterAutospacing="0"/>
        <w:jc w:val="both"/>
      </w:pPr>
      <w:r>
        <w:t>ostale djelatne vojne osobe u Središtu</w:t>
      </w:r>
      <w:r w:rsidRPr="002C79E9">
        <w:t xml:space="preserve"> za razvoj vođa „Marko Babić“ </w:t>
      </w:r>
      <w:r>
        <w:t xml:space="preserve">u iznosu od </w:t>
      </w:r>
      <w:proofErr w:type="spellStart"/>
      <w:r w:rsidR="00CF7523" w:rsidRPr="002C79E9">
        <w:t>10</w:t>
      </w:r>
      <w:proofErr w:type="spellEnd"/>
      <w:r>
        <w:t xml:space="preserve"> </w:t>
      </w:r>
      <w:r w:rsidR="00CF7523" w:rsidRPr="002C79E9">
        <w:t>%</w:t>
      </w:r>
      <w:r w:rsidR="00D5408C" w:rsidRPr="002C79E9">
        <w:t>.“</w:t>
      </w:r>
      <w:r>
        <w:t>.</w:t>
      </w:r>
    </w:p>
    <w:p w:rsidR="00C14BC3" w:rsidRDefault="00C14BC3" w:rsidP="000A6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AC48A4" w:rsidRPr="00395566" w:rsidRDefault="00BD5972" w:rsidP="000A6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8</w:t>
      </w:r>
      <w:r w:rsidR="00AC48A4" w:rsidRPr="00395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BD5972" w:rsidRDefault="00BD5972" w:rsidP="000A62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D256A" w:rsidRPr="00395566" w:rsidRDefault="006F6F22" w:rsidP="000A62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Ovaj Pravilnik </w:t>
      </w:r>
      <w:r w:rsidR="002C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stupa na snagu prvoga dana od dana objave u </w:t>
      </w:r>
      <w:r w:rsidR="00AC48A4"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Narodnim novin</w:t>
      </w:r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ama</w:t>
      </w:r>
      <w:r w:rsidR="002F52C7"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6A7793" w:rsidRDefault="006A7793" w:rsidP="006A7793">
      <w:pPr>
        <w:spacing w:after="0" w:line="240" w:lineRule="auto"/>
        <w:ind w:left="28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</w:p>
    <w:p w:rsidR="0077601C" w:rsidRPr="00395566" w:rsidRDefault="0077601C" w:rsidP="006A7793">
      <w:pPr>
        <w:spacing w:after="0" w:line="240" w:lineRule="auto"/>
        <w:ind w:left="28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</w:p>
    <w:p w:rsidR="002F52C7" w:rsidRPr="00395566" w:rsidRDefault="002F52C7" w:rsidP="006A7793">
      <w:pPr>
        <w:spacing w:after="0" w:line="240" w:lineRule="auto"/>
        <w:ind w:left="28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</w:p>
    <w:p w:rsidR="00155ECB" w:rsidRPr="002C79E9" w:rsidRDefault="002C79E9" w:rsidP="006A7793">
      <w:pPr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C7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POTPREDSJEDNIK VLADE REPUBLIKE HRVATSKE</w:t>
      </w:r>
    </w:p>
    <w:p w:rsidR="006A7793" w:rsidRPr="002C79E9" w:rsidRDefault="002C79E9" w:rsidP="00155ECB">
      <w:pPr>
        <w:tabs>
          <w:tab w:val="center" w:pos="5975"/>
          <w:tab w:val="left" w:pos="7764"/>
        </w:tabs>
        <w:spacing w:after="0" w:line="240" w:lineRule="auto"/>
        <w:ind w:left="28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C7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  <w:t xml:space="preserve"> I MINISTAR OBRANE</w:t>
      </w:r>
      <w:r w:rsidRPr="002C7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</w:p>
    <w:p w:rsidR="006A7793" w:rsidRPr="00395566" w:rsidRDefault="006A7793" w:rsidP="006A7793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6A7793" w:rsidRPr="00395566" w:rsidRDefault="006A7793" w:rsidP="006A7793">
      <w:pPr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Damir </w:t>
      </w:r>
      <w:proofErr w:type="spellStart"/>
      <w:r w:rsidRPr="003955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Krstičević</w:t>
      </w:r>
      <w:proofErr w:type="spellEnd"/>
    </w:p>
    <w:p w:rsidR="006A7793" w:rsidRPr="00395566" w:rsidRDefault="006A7793" w:rsidP="006A77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77601C" w:rsidRDefault="0077601C" w:rsidP="006A77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D5972" w:rsidRDefault="00BD5972" w:rsidP="006A77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A7793" w:rsidRPr="00395566" w:rsidRDefault="006A7793" w:rsidP="006A77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 w:rsidR="002C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2C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023</w:t>
      </w:r>
      <w:proofErr w:type="spellEnd"/>
      <w:r w:rsidR="002C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proofErr w:type="spellStart"/>
      <w:r w:rsidR="002C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03</w:t>
      </w:r>
      <w:proofErr w:type="spellEnd"/>
      <w:r w:rsidR="002C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proofErr w:type="spellStart"/>
      <w:r w:rsidR="002C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19</w:t>
      </w:r>
      <w:proofErr w:type="spellEnd"/>
      <w:r w:rsidR="002C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proofErr w:type="spellStart"/>
      <w:r w:rsidR="002C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04</w:t>
      </w:r>
      <w:proofErr w:type="spellEnd"/>
      <w:r w:rsidR="002C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</w:t>
      </w:r>
    </w:p>
    <w:p w:rsidR="006A7793" w:rsidRPr="00395566" w:rsidRDefault="006A7793" w:rsidP="006A77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</w:t>
      </w:r>
      <w:proofErr w:type="spellEnd"/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2C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2C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512</w:t>
      </w:r>
      <w:proofErr w:type="spellEnd"/>
      <w:r w:rsidR="002C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proofErr w:type="spellStart"/>
      <w:r w:rsidR="002C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01</w:t>
      </w:r>
      <w:proofErr w:type="spellEnd"/>
      <w:r w:rsidR="002C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proofErr w:type="spellStart"/>
      <w:r w:rsidR="002C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19</w:t>
      </w:r>
      <w:proofErr w:type="spellEnd"/>
      <w:r w:rsidR="002C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-4</w:t>
      </w:r>
    </w:p>
    <w:p w:rsidR="00D73F42" w:rsidRPr="00395566" w:rsidRDefault="00D73F42" w:rsidP="006A77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D256A" w:rsidRPr="00395566" w:rsidRDefault="006A7793" w:rsidP="00D73F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55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Zagreb,</w:t>
      </w:r>
      <w:r w:rsidR="002C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</w:t>
      </w:r>
    </w:p>
    <w:sectPr w:rsidR="006D256A" w:rsidRPr="00395566" w:rsidSect="00D73F42">
      <w:footerReference w:type="default" r:id="rId9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02D" w:rsidRDefault="003C002D" w:rsidP="004C6EE4">
      <w:pPr>
        <w:spacing w:after="0" w:line="240" w:lineRule="auto"/>
      </w:pPr>
      <w:r>
        <w:separator/>
      </w:r>
    </w:p>
  </w:endnote>
  <w:endnote w:type="continuationSeparator" w:id="0">
    <w:p w:rsidR="003C002D" w:rsidRDefault="003C002D" w:rsidP="004C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1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5566" w:rsidRDefault="003955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9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5566" w:rsidRDefault="00395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02D" w:rsidRDefault="003C002D" w:rsidP="004C6EE4">
      <w:pPr>
        <w:spacing w:after="0" w:line="240" w:lineRule="auto"/>
      </w:pPr>
      <w:r>
        <w:separator/>
      </w:r>
    </w:p>
  </w:footnote>
  <w:footnote w:type="continuationSeparator" w:id="0">
    <w:p w:rsidR="003C002D" w:rsidRDefault="003C002D" w:rsidP="004C6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E7136"/>
    <w:multiLevelType w:val="hybridMultilevel"/>
    <w:tmpl w:val="4D24BBF4"/>
    <w:lvl w:ilvl="0" w:tplc="60CAB77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F84781"/>
    <w:multiLevelType w:val="hybridMultilevel"/>
    <w:tmpl w:val="F224E3DA"/>
    <w:lvl w:ilvl="0" w:tplc="04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BDD2F4A"/>
    <w:multiLevelType w:val="hybridMultilevel"/>
    <w:tmpl w:val="A7D06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A4"/>
    <w:rsid w:val="0000778A"/>
    <w:rsid w:val="000230AC"/>
    <w:rsid w:val="00030A2D"/>
    <w:rsid w:val="00054718"/>
    <w:rsid w:val="00080320"/>
    <w:rsid w:val="00083831"/>
    <w:rsid w:val="000964D4"/>
    <w:rsid w:val="000A09A9"/>
    <w:rsid w:val="000A6200"/>
    <w:rsid w:val="000B29D0"/>
    <w:rsid w:val="000B3346"/>
    <w:rsid w:val="000B6F8F"/>
    <w:rsid w:val="000F45BE"/>
    <w:rsid w:val="000F7DF1"/>
    <w:rsid w:val="00112B12"/>
    <w:rsid w:val="0012141A"/>
    <w:rsid w:val="00142708"/>
    <w:rsid w:val="00155ECB"/>
    <w:rsid w:val="001929F9"/>
    <w:rsid w:val="001B54CF"/>
    <w:rsid w:val="001C221F"/>
    <w:rsid w:val="001C79E7"/>
    <w:rsid w:val="001D0AD9"/>
    <w:rsid w:val="001E3640"/>
    <w:rsid w:val="0020076D"/>
    <w:rsid w:val="002132C7"/>
    <w:rsid w:val="0022366E"/>
    <w:rsid w:val="002256BB"/>
    <w:rsid w:val="00242253"/>
    <w:rsid w:val="0025442E"/>
    <w:rsid w:val="00257B1E"/>
    <w:rsid w:val="002A5FC8"/>
    <w:rsid w:val="002C79E9"/>
    <w:rsid w:val="002F52C7"/>
    <w:rsid w:val="002F7915"/>
    <w:rsid w:val="003056F7"/>
    <w:rsid w:val="00366FB2"/>
    <w:rsid w:val="0039295C"/>
    <w:rsid w:val="00395566"/>
    <w:rsid w:val="003A5CCD"/>
    <w:rsid w:val="003C002D"/>
    <w:rsid w:val="003C7542"/>
    <w:rsid w:val="003C793D"/>
    <w:rsid w:val="00401F3F"/>
    <w:rsid w:val="0044207F"/>
    <w:rsid w:val="004445B7"/>
    <w:rsid w:val="004610FF"/>
    <w:rsid w:val="004661AF"/>
    <w:rsid w:val="004715C4"/>
    <w:rsid w:val="0048294F"/>
    <w:rsid w:val="00484937"/>
    <w:rsid w:val="00496BC9"/>
    <w:rsid w:val="004A79D1"/>
    <w:rsid w:val="004B33BB"/>
    <w:rsid w:val="004C284D"/>
    <w:rsid w:val="004C6EE4"/>
    <w:rsid w:val="004E4EBA"/>
    <w:rsid w:val="004E6165"/>
    <w:rsid w:val="00506A92"/>
    <w:rsid w:val="005147F0"/>
    <w:rsid w:val="00536289"/>
    <w:rsid w:val="0055574A"/>
    <w:rsid w:val="00574364"/>
    <w:rsid w:val="005B47DB"/>
    <w:rsid w:val="005D168E"/>
    <w:rsid w:val="005D3065"/>
    <w:rsid w:val="005E062C"/>
    <w:rsid w:val="005F0FA2"/>
    <w:rsid w:val="00656367"/>
    <w:rsid w:val="00662B6C"/>
    <w:rsid w:val="006A7793"/>
    <w:rsid w:val="006D256A"/>
    <w:rsid w:val="006F1A33"/>
    <w:rsid w:val="006F3B64"/>
    <w:rsid w:val="006F6F22"/>
    <w:rsid w:val="00715380"/>
    <w:rsid w:val="007346AD"/>
    <w:rsid w:val="00747723"/>
    <w:rsid w:val="0077601C"/>
    <w:rsid w:val="0078246E"/>
    <w:rsid w:val="00796519"/>
    <w:rsid w:val="007C1E9B"/>
    <w:rsid w:val="007C1F4F"/>
    <w:rsid w:val="007C7E93"/>
    <w:rsid w:val="007F7695"/>
    <w:rsid w:val="00812511"/>
    <w:rsid w:val="00852C2C"/>
    <w:rsid w:val="008825BE"/>
    <w:rsid w:val="008A7611"/>
    <w:rsid w:val="008B1F42"/>
    <w:rsid w:val="008B70FF"/>
    <w:rsid w:val="008C0297"/>
    <w:rsid w:val="008E00AD"/>
    <w:rsid w:val="00934BA7"/>
    <w:rsid w:val="009579B5"/>
    <w:rsid w:val="009B668F"/>
    <w:rsid w:val="009D5D5B"/>
    <w:rsid w:val="00A21C25"/>
    <w:rsid w:val="00A2516F"/>
    <w:rsid w:val="00A33680"/>
    <w:rsid w:val="00A4629F"/>
    <w:rsid w:val="00A86EF4"/>
    <w:rsid w:val="00AC48A4"/>
    <w:rsid w:val="00B45B08"/>
    <w:rsid w:val="00B62EA8"/>
    <w:rsid w:val="00B70078"/>
    <w:rsid w:val="00B76230"/>
    <w:rsid w:val="00B839AE"/>
    <w:rsid w:val="00BB6BF3"/>
    <w:rsid w:val="00BD15AC"/>
    <w:rsid w:val="00BD5972"/>
    <w:rsid w:val="00C14BC3"/>
    <w:rsid w:val="00C15CC0"/>
    <w:rsid w:val="00C32221"/>
    <w:rsid w:val="00C41B62"/>
    <w:rsid w:val="00CF7523"/>
    <w:rsid w:val="00D5408C"/>
    <w:rsid w:val="00D67AFE"/>
    <w:rsid w:val="00D73F42"/>
    <w:rsid w:val="00D95092"/>
    <w:rsid w:val="00D97765"/>
    <w:rsid w:val="00DA3D3C"/>
    <w:rsid w:val="00DC404B"/>
    <w:rsid w:val="00DC5DB3"/>
    <w:rsid w:val="00DE3212"/>
    <w:rsid w:val="00DF6BC3"/>
    <w:rsid w:val="00EA480E"/>
    <w:rsid w:val="00EB0C20"/>
    <w:rsid w:val="00EC63B7"/>
    <w:rsid w:val="00EE18D1"/>
    <w:rsid w:val="00EE543A"/>
    <w:rsid w:val="00F6085E"/>
    <w:rsid w:val="00F72494"/>
    <w:rsid w:val="00F90C28"/>
    <w:rsid w:val="00F91EB8"/>
    <w:rsid w:val="00FA15C9"/>
    <w:rsid w:val="00FE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506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506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506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506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box456246">
    <w:name w:val="box_456246"/>
    <w:basedOn w:val="Normal"/>
    <w:rsid w:val="00F7249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7493">
    <w:name w:val="box_457493"/>
    <w:basedOn w:val="Normal"/>
    <w:rsid w:val="006F6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852C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EE4"/>
  </w:style>
  <w:style w:type="paragraph" w:styleId="Footer">
    <w:name w:val="footer"/>
    <w:basedOn w:val="Normal"/>
    <w:link w:val="FooterChar"/>
    <w:uiPriority w:val="99"/>
    <w:unhideWhenUsed/>
    <w:rsid w:val="004C6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E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506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506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506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506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box456246">
    <w:name w:val="box_456246"/>
    <w:basedOn w:val="Normal"/>
    <w:rsid w:val="00F7249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7493">
    <w:name w:val="box_457493"/>
    <w:basedOn w:val="Normal"/>
    <w:rsid w:val="006F6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852C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EE4"/>
  </w:style>
  <w:style w:type="paragraph" w:styleId="Footer">
    <w:name w:val="footer"/>
    <w:basedOn w:val="Normal"/>
    <w:link w:val="FooterChar"/>
    <w:uiPriority w:val="99"/>
    <w:unhideWhenUsed/>
    <w:rsid w:val="004C6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045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356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47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9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5853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5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1076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863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8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9976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479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32140-BAF5-43E8-8DEF-EF7384AF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Stipe Šiško</dc:creator>
  <cp:lastModifiedBy>Dražen Palaić</cp:lastModifiedBy>
  <cp:revision>2</cp:revision>
  <cp:lastPrinted>2019-08-23T13:56:00Z</cp:lastPrinted>
  <dcterms:created xsi:type="dcterms:W3CDTF">2019-08-27T12:19:00Z</dcterms:created>
  <dcterms:modified xsi:type="dcterms:W3CDTF">2019-08-27T12:19:00Z</dcterms:modified>
</cp:coreProperties>
</file>