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032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2802"/>
        <w:gridCol w:w="1304"/>
        <w:gridCol w:w="284"/>
        <w:gridCol w:w="992"/>
        <w:gridCol w:w="36"/>
        <w:gridCol w:w="1353"/>
      </w:tblGrid>
      <w:tr w:rsidR="00F96AE2" w:rsidRPr="0077506C" w:rsidTr="004350D1">
        <w:tc>
          <w:tcPr>
            <w:tcW w:w="10320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F96AE2" w:rsidRPr="0077506C" w:rsidRDefault="00204C4E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unutarnjih poslova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F96AE2" w:rsidRPr="0077506C" w:rsidRDefault="00204C4E" w:rsidP="00726AB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Nacrt prijedloga Zakona o izmjenama i dopunama Zakona o eksplozivnim tvarima te proizvodnji i prometu oružja 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F96AE2" w:rsidRPr="0077506C" w:rsidRDefault="001A76A4" w:rsidP="001A76A4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6AB3">
              <w:rPr>
                <w:szCs w:val="24"/>
              </w:rPr>
              <w:t xml:space="preserve">. </w:t>
            </w:r>
            <w:r>
              <w:rPr>
                <w:szCs w:val="24"/>
              </w:rPr>
              <w:t>kolovoza</w:t>
            </w:r>
            <w:r w:rsidR="00726AB3">
              <w:rPr>
                <w:szCs w:val="24"/>
              </w:rPr>
              <w:t xml:space="preserve"> 2019.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  <w:p w:rsidR="00F734B6" w:rsidRPr="0077506C" w:rsidRDefault="00F734B6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C81829" w:rsidRPr="00C81829" w:rsidRDefault="00C81829" w:rsidP="00C81829">
            <w:pPr>
              <w:shd w:val="clear" w:color="auto" w:fill="FFFFFF" w:themeFill="background1"/>
              <w:rPr>
                <w:szCs w:val="24"/>
              </w:rPr>
            </w:pPr>
            <w:r w:rsidRPr="00C81829">
              <w:rPr>
                <w:szCs w:val="24"/>
              </w:rPr>
              <w:t>Ministarstvo unutarnjih poslova</w:t>
            </w:r>
          </w:p>
          <w:p w:rsidR="00C81829" w:rsidRPr="00C81829" w:rsidRDefault="00C81829" w:rsidP="00C81829">
            <w:pPr>
              <w:shd w:val="clear" w:color="auto" w:fill="FFFFFF" w:themeFill="background1"/>
              <w:rPr>
                <w:szCs w:val="24"/>
              </w:rPr>
            </w:pPr>
            <w:r w:rsidRPr="00C81829">
              <w:rPr>
                <w:szCs w:val="24"/>
              </w:rPr>
              <w:t>Sektor za inspekcijske poslove</w:t>
            </w:r>
          </w:p>
          <w:p w:rsidR="00204C4E" w:rsidRDefault="00204C4E" w:rsidP="00204C4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Zagreb</w:t>
            </w:r>
          </w:p>
          <w:p w:rsidR="00204C4E" w:rsidRDefault="00204C4E" w:rsidP="00204C4E">
            <w:pPr>
              <w:shd w:val="clear" w:color="auto" w:fill="FFFFFF" w:themeFill="background1"/>
              <w:rPr>
                <w:szCs w:val="24"/>
              </w:rPr>
            </w:pPr>
          </w:p>
          <w:p w:rsidR="00C81829" w:rsidRPr="0077506C" w:rsidRDefault="00C81829" w:rsidP="00204C4E">
            <w:pPr>
              <w:shd w:val="clear" w:color="auto" w:fill="FFFFFF" w:themeFill="background1"/>
              <w:rPr>
                <w:szCs w:val="24"/>
              </w:rPr>
            </w:pPr>
            <w:r w:rsidRPr="00C81829">
              <w:rPr>
                <w:szCs w:val="24"/>
              </w:rPr>
              <w:t>e-mail: sbagaric@mup.hr  tel: 01/4887-020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280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Pr="0077506C" w:rsidRDefault="00726AB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204C4E" w:rsidRPr="0077506C" w:rsidRDefault="00204C4E" w:rsidP="00726AB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2802" w:type="dxa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C81829" w:rsidRPr="0077506C" w:rsidRDefault="00196366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F96AE2" w:rsidRDefault="00F96AE2" w:rsidP="00726AB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  <w:p w:rsidR="00C81829" w:rsidRDefault="00726AB3" w:rsidP="00726AB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  <w:r w:rsidR="004350D1" w:rsidRPr="007038CC">
              <w:rPr>
                <w:rFonts w:eastAsia="Times New Roman"/>
                <w:szCs w:val="24"/>
              </w:rPr>
              <w:t xml:space="preserve">Direktiva Vijeća 91/477/EEZ od 18. lipnja 1991. o nadzoru nabave i posjedovanja oružja (SL L 256, 13. 9. 1991.), kako je izmijenjena Direktivom 2008/51/EZ Europskog parlamenta i Vijeća od 21. svibnja 2008. o izmjeni Direktive Vijeća 91/477/EEZ o nadzoru nabave i posjedovanja oružja (SL L 179, 8.7.2008.), Direktivom 2017/853/EU Europskog parlamenta i Vijeća od 17. svibnja 2017. o izmjeni Direktive o izmjeni Direktive Vijeća 91/477/EEZ o nadzoru nabave i posjedovanja oružja (SL L 137/22, 24.5.2017.), Provedbenom Direktivom Komisije 2019/68 od 16. siječnja 2019. o utvrđivanju tehničkih specifikacija za označivanje vatrenog oružja i njegovih bitnih dijelova u skladu s Direktivom Vijeća 91/477/EEZ o nadzoru nabave i posjedovanja oružja (SL L 15/18, 17.1.2019.) i Provedbenom Direktivom Komisije 2019/69 od 16. siječnja 2019. o utvrđivanju tehničkih specifikacija </w:t>
            </w:r>
            <w:r w:rsidR="004350D1" w:rsidRPr="00CC4ACA">
              <w:rPr>
                <w:rFonts w:eastAsia="Times New Roman"/>
                <w:szCs w:val="24"/>
              </w:rPr>
              <w:t>oružja za uzbunjivanje i signalizaciju u skladu s Direktivom Vijeća 91/477/EEZ o nadzoru nabave i posjedovanja oružja</w:t>
            </w:r>
            <w:r w:rsidR="00034F70">
              <w:rPr>
                <w:rFonts w:eastAsia="Times New Roman"/>
                <w:szCs w:val="24"/>
              </w:rPr>
              <w:t xml:space="preserve"> (SL L 15/22, 17.1.2019.)</w:t>
            </w:r>
            <w:r w:rsidR="005E182D">
              <w:rPr>
                <w:rFonts w:eastAsia="Times New Roman"/>
                <w:szCs w:val="24"/>
              </w:rPr>
              <w:t>,</w:t>
            </w:r>
            <w:r w:rsidR="005E182D">
              <w:rPr>
                <w:szCs w:val="24"/>
              </w:rPr>
              <w:t xml:space="preserve"> Provedbenom Odlukom </w:t>
            </w:r>
            <w:r w:rsidR="005E182D">
              <w:rPr>
                <w:szCs w:val="24"/>
              </w:rPr>
              <w:lastRenderedPageBreak/>
              <w:t>Komisije (EU) 2019/689 od 16. siječnja 2019. o pilot-projektu za provedbu određenih odredaba o administrativnoj suradnji utvrđenih Direktivom Vijeća 91/477/EEZ putem Informacijskog sustava unutarnjeg tržišta.</w:t>
            </w:r>
          </w:p>
          <w:p w:rsidR="005E182D" w:rsidRPr="0077506C" w:rsidRDefault="005E182D" w:rsidP="00726AB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4350D1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7038CC" w:rsidRPr="007038CC" w:rsidRDefault="00726AB3" w:rsidP="00726AB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Važeći Zakon o eksplozivnim tvarima te proizvodnji i prometu oružja </w:t>
            </w:r>
            <w:r w:rsidR="007038CC" w:rsidRPr="007038CC">
              <w:rPr>
                <w:szCs w:val="24"/>
              </w:rPr>
              <w:t xml:space="preserve">potrebno je </w:t>
            </w:r>
            <w:r w:rsidR="00F81A7B">
              <w:rPr>
                <w:szCs w:val="24"/>
              </w:rPr>
              <w:t>uskla</w:t>
            </w:r>
            <w:r>
              <w:rPr>
                <w:szCs w:val="24"/>
              </w:rPr>
              <w:t>diti</w:t>
            </w:r>
            <w:r w:rsidR="00F81A7B">
              <w:rPr>
                <w:szCs w:val="24"/>
              </w:rPr>
              <w:t xml:space="preserve"> s</w:t>
            </w:r>
            <w:r w:rsidR="007038CC" w:rsidRPr="007038CC">
              <w:rPr>
                <w:szCs w:val="24"/>
              </w:rPr>
              <w:t xml:space="preserve"> odredb</w:t>
            </w:r>
            <w:r w:rsidR="00F81A7B">
              <w:rPr>
                <w:szCs w:val="24"/>
              </w:rPr>
              <w:t>ama</w:t>
            </w:r>
            <w:r w:rsidR="007038CC" w:rsidRPr="007038CC">
              <w:rPr>
                <w:szCs w:val="24"/>
              </w:rPr>
              <w:t xml:space="preserve"> Direktive</w:t>
            </w:r>
            <w:r w:rsidR="007038CC" w:rsidRPr="007038CC">
              <w:rPr>
                <w:rFonts w:eastAsia="Times New Roman"/>
                <w:szCs w:val="24"/>
              </w:rPr>
              <w:t xml:space="preserve"> Vijeća 91/477/EEZ od 18. lipnja 1991. o nadzoru nabave i posjedovanja oružja (SL L 256, 13. 9. 1991.), kako je izmijenjena Direktivom 2008/51/EZ Europskog parlamenta i Vijeća od 21. svibnja 2008. o izmjeni Direktive Vijeća 91/477/EEZ o nadzoru nabave i posjedovanja oružja (SL L 179, 8.7.2008.), Direktivom 2017/853/EU Europskog parlamenta i Vijeća od 17. svibnja 2017. o izmjeni Direktive o izmjeni Direktive Vijeća 91/477/EEZ o nadzoru nabave i posjedovanja oružja (SL L 137/22, 24.5.2017.), Provedbenom Direktivom Komisije 2019/68 od 16. siječnja 2019. o utvrđivanju tehničkih specifikacija za označivanje vatrenog oružja i njegovih bitnih dijelova u skladu s Direktivom Vijeća 91/477/EEZ o nadzoru nabave i posjedovanja oružja (SL L 15/18, 17.1.2019.) i Provedbenom Direktivom Komisije 2019/69 od 16. siječnja 2019. o utvrđivanju tehničkih specifikacija</w:t>
            </w:r>
            <w:r w:rsidR="00806FD2">
              <w:rPr>
                <w:rFonts w:eastAsia="Times New Roman"/>
                <w:szCs w:val="24"/>
              </w:rPr>
              <w:t xml:space="preserve"> oružja za uzbunjivanje i signalizaciju u skladu s</w:t>
            </w:r>
            <w:r w:rsidR="00034F70" w:rsidRPr="007038CC">
              <w:rPr>
                <w:rFonts w:eastAsia="Times New Roman"/>
                <w:szCs w:val="24"/>
              </w:rPr>
              <w:t xml:space="preserve"> Direktivom Vijeća 91/477/EEZ o nadzoru nabave i posjedovanja oružja</w:t>
            </w:r>
            <w:r w:rsidR="00034F70">
              <w:rPr>
                <w:rFonts w:eastAsia="Times New Roman"/>
                <w:szCs w:val="24"/>
              </w:rPr>
              <w:t xml:space="preserve"> (SL L 15/22, 17.1.2019)</w:t>
            </w:r>
            <w:r w:rsidR="005E182D">
              <w:rPr>
                <w:szCs w:val="24"/>
              </w:rPr>
              <w:t>, Provedbenom Odlukom Komisije (EU) 2019/689 od 16. siječnja 2019. o pilot-projektu za provedbu određenih odredaba o administrativnoj suradnji utvrđenih Direktivom Vijeća 91/477/EEZ putem Informacijskog sustava unutarnjeg tržišta.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726AB3" w:rsidRDefault="00726AB3" w:rsidP="00726AB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Izrada Nacrta prijedloga zakona potrebna je </w:t>
            </w:r>
            <w:r w:rsidR="00FB1ACE">
              <w:rPr>
                <w:szCs w:val="24"/>
              </w:rPr>
              <w:t xml:space="preserve"> radi usklađenja s </w:t>
            </w:r>
            <w:r w:rsidR="00C81829" w:rsidRPr="00C81829">
              <w:rPr>
                <w:szCs w:val="24"/>
              </w:rPr>
              <w:t xml:space="preserve"> </w:t>
            </w:r>
            <w:r w:rsidR="001064D8" w:rsidRPr="00C81829">
              <w:rPr>
                <w:szCs w:val="24"/>
              </w:rPr>
              <w:t>Provedben</w:t>
            </w:r>
            <w:r w:rsidR="001064D8">
              <w:rPr>
                <w:szCs w:val="24"/>
              </w:rPr>
              <w:t>om</w:t>
            </w:r>
            <w:r w:rsidR="001064D8" w:rsidRPr="00C81829">
              <w:rPr>
                <w:szCs w:val="24"/>
              </w:rPr>
              <w:t xml:space="preserve"> </w:t>
            </w:r>
            <w:r w:rsidR="00280D84">
              <w:rPr>
                <w:szCs w:val="24"/>
              </w:rPr>
              <w:t>D</w:t>
            </w:r>
            <w:r w:rsidR="001064D8" w:rsidRPr="00C81829">
              <w:rPr>
                <w:szCs w:val="24"/>
              </w:rPr>
              <w:t>irektiv</w:t>
            </w:r>
            <w:r w:rsidR="001064D8">
              <w:rPr>
                <w:szCs w:val="24"/>
              </w:rPr>
              <w:t>om</w:t>
            </w:r>
            <w:r w:rsidR="001064D8" w:rsidRPr="00C81829">
              <w:rPr>
                <w:szCs w:val="24"/>
              </w:rPr>
              <w:t xml:space="preserve"> Komisije (EU) 2019/69 od 16. siječnja 2019</w:t>
            </w:r>
            <w:r w:rsidR="001064D8">
              <w:rPr>
                <w:szCs w:val="24"/>
              </w:rPr>
              <w:t>,</w:t>
            </w:r>
            <w:r w:rsidR="00FB1ACE">
              <w:rPr>
                <w:szCs w:val="24"/>
              </w:rPr>
              <w:t xml:space="preserve"> </w:t>
            </w:r>
            <w:r w:rsidR="00C81829" w:rsidRPr="00C81829">
              <w:rPr>
                <w:szCs w:val="24"/>
              </w:rPr>
              <w:t>o utvrđivanju tehničkih specifikacija oružja za uzbunjivanje i signalizaciju,  koja propisuje obvezu državama članicama da osiguraju da naprave (predmeti osmišljeni za uzbunjivanje, signalizaciju ili spašavanje života) podliježu provjerama radi utvrđivanja njihove usklađenosti s tehničkim specifikacijama utvrđenim u Prilogu Direktive, odnosno kako se ne bi mogle prepraviti za ispaljivanje sačme, zrna ili projektila djelovanjem zapaljivog potisnog sredstva</w:t>
            </w:r>
            <w:r w:rsidR="001064D8">
              <w:rPr>
                <w:szCs w:val="24"/>
              </w:rPr>
              <w:t xml:space="preserve">, kako bi se stvorili zakonski preduvjeti za donošenje podzakonskih akata za prijenos </w:t>
            </w:r>
            <w:r w:rsidR="001064D8" w:rsidRPr="00C81829">
              <w:rPr>
                <w:szCs w:val="24"/>
              </w:rPr>
              <w:t xml:space="preserve">odredbi </w:t>
            </w:r>
            <w:r w:rsidR="001064D8">
              <w:rPr>
                <w:szCs w:val="24"/>
              </w:rPr>
              <w:t>navedene D</w:t>
            </w:r>
            <w:r w:rsidR="001064D8" w:rsidRPr="00C81829">
              <w:rPr>
                <w:szCs w:val="24"/>
              </w:rPr>
              <w:t>irektive</w:t>
            </w:r>
            <w:r w:rsidR="001064D8">
              <w:rPr>
                <w:szCs w:val="24"/>
              </w:rPr>
              <w:t xml:space="preserve">. </w:t>
            </w:r>
          </w:p>
          <w:p w:rsidR="00726AB3" w:rsidRDefault="001064D8" w:rsidP="00726AB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Zakonom je </w:t>
            </w:r>
            <w:r w:rsidR="00C81829" w:rsidRPr="00C81829">
              <w:rPr>
                <w:szCs w:val="24"/>
              </w:rPr>
              <w:t xml:space="preserve">potrebno odrediti </w:t>
            </w:r>
            <w:r w:rsidR="00D453D0">
              <w:rPr>
                <w:szCs w:val="24"/>
              </w:rPr>
              <w:t xml:space="preserve">i </w:t>
            </w:r>
            <w:r w:rsidR="00C81829" w:rsidRPr="00C81829">
              <w:rPr>
                <w:szCs w:val="24"/>
              </w:rPr>
              <w:t>nadležno tijelo koje će kontrolirati njihovu usklađenost s tehničkim specifikacija i propisati obvezu razmjene informacija o rezultatima provjere te imenovati nacionalnu kontakt točku</w:t>
            </w:r>
            <w:r w:rsidR="00280D84">
              <w:rPr>
                <w:szCs w:val="24"/>
              </w:rPr>
              <w:t xml:space="preserve"> za razmjenu takvih informacija. </w:t>
            </w:r>
            <w:r w:rsidR="00D453D0">
              <w:rPr>
                <w:szCs w:val="24"/>
              </w:rPr>
              <w:t xml:space="preserve"> </w:t>
            </w:r>
          </w:p>
          <w:p w:rsidR="00D453D0" w:rsidRDefault="0052325E" w:rsidP="00726AB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Isto tako</w:t>
            </w:r>
            <w:r w:rsidR="00D453D0">
              <w:rPr>
                <w:szCs w:val="24"/>
              </w:rPr>
              <w:t xml:space="preserve">, Zakon je potrebno promijeniti i radi usklađenja sa </w:t>
            </w:r>
            <w:r w:rsidR="00D453D0" w:rsidRPr="007038CC">
              <w:rPr>
                <w:rFonts w:eastAsia="Times New Roman"/>
                <w:szCs w:val="24"/>
              </w:rPr>
              <w:t>Provedben</w:t>
            </w:r>
            <w:r w:rsidR="00D453D0">
              <w:rPr>
                <w:rFonts w:eastAsia="Times New Roman"/>
                <w:szCs w:val="24"/>
              </w:rPr>
              <w:t>om</w:t>
            </w:r>
            <w:r w:rsidR="00D453D0" w:rsidRPr="007038CC">
              <w:rPr>
                <w:rFonts w:eastAsia="Times New Roman"/>
                <w:szCs w:val="24"/>
              </w:rPr>
              <w:t xml:space="preserve"> Direktivom Komisije 2019/68 od 16. siječnja 2019. o utvrđivanju tehničkih specifikacija za označivanje vatrenog oružja i </w:t>
            </w:r>
            <w:r w:rsidR="00D453D0" w:rsidRPr="007038CC">
              <w:rPr>
                <w:rFonts w:eastAsia="Times New Roman"/>
                <w:szCs w:val="24"/>
              </w:rPr>
              <w:lastRenderedPageBreak/>
              <w:t>njegovih bitnih dijelova u skladu s Direktivom Vijeća 91/477/EEZ o nadzoru nabave i posjedovanja oružja (SL L 15/18, 17.1.2019.)</w:t>
            </w:r>
            <w:r w:rsidR="00D453D0">
              <w:rPr>
                <w:rFonts w:eastAsia="Times New Roman"/>
                <w:szCs w:val="24"/>
              </w:rPr>
              <w:t xml:space="preserve"> i </w:t>
            </w:r>
            <w:r w:rsidR="00D453D0">
              <w:rPr>
                <w:szCs w:val="24"/>
              </w:rPr>
              <w:t>Provedbenom Odlukom Komisije (EU) 2019/689 od 16. siječnja 2019. o pilot-projektu za provedbu određenih odredaba o administrativnoj suradnji utvrđenih Direktivom Vijeća 91/477/EEZ putem Informacijskog sustava unutarnjeg tržišta..</w:t>
            </w:r>
          </w:p>
          <w:p w:rsidR="00726AB3" w:rsidRDefault="00726AB3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038CC" w:rsidRDefault="001064D8" w:rsidP="00B069AB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2B3DB4">
              <w:rPr>
                <w:szCs w:val="24"/>
              </w:rPr>
              <w:t xml:space="preserve">ok za prijenos </w:t>
            </w:r>
            <w:r w:rsidR="00034F70">
              <w:rPr>
                <w:szCs w:val="24"/>
              </w:rPr>
              <w:t xml:space="preserve">Direktive </w:t>
            </w:r>
            <w:r w:rsidR="002B3DB4">
              <w:rPr>
                <w:szCs w:val="24"/>
              </w:rPr>
              <w:t xml:space="preserve">u nacionalno zakonodavstvo </w:t>
            </w:r>
            <w:r w:rsidR="00726AB3">
              <w:rPr>
                <w:szCs w:val="24"/>
              </w:rPr>
              <w:t xml:space="preserve">je </w:t>
            </w:r>
            <w:r w:rsidR="002B3DB4">
              <w:rPr>
                <w:szCs w:val="24"/>
              </w:rPr>
              <w:t>17.</w:t>
            </w:r>
            <w:r w:rsidR="00726AB3">
              <w:rPr>
                <w:szCs w:val="24"/>
              </w:rPr>
              <w:t xml:space="preserve"> siječnja </w:t>
            </w:r>
            <w:r w:rsidR="002B3DB4">
              <w:rPr>
                <w:szCs w:val="24"/>
              </w:rPr>
              <w:t>2020.</w:t>
            </w:r>
          </w:p>
          <w:p w:rsidR="00806FD2" w:rsidRPr="0077506C" w:rsidRDefault="00806FD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5E182D" w:rsidRPr="0077506C" w:rsidRDefault="00B069AB" w:rsidP="00B069AB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Nužno je usklađivanje s pravnom stečevinom Europske unije.</w:t>
            </w:r>
          </w:p>
        </w:tc>
      </w:tr>
      <w:tr w:rsidR="00F96AE2" w:rsidRPr="0077506C" w:rsidTr="004350D1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F734B6" w:rsidRPr="0077506C" w:rsidRDefault="00FC2879" w:rsidP="00B069AB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Zakonom o izmjenama i dopunama Zakona o eksplozivnim tvarima te proizvodnji i prometu oružja  osigurat će se nastavak neometanog obavljanja djelatnosti iz područja koja regulira ovaj Zakon  te uskladiti zakonodavni okvir </w:t>
            </w:r>
            <w:r w:rsidR="00B069AB">
              <w:rPr>
                <w:szCs w:val="24"/>
              </w:rPr>
              <w:t>s odgovarajućom pravnom stečevinom Europske unije.</w:t>
            </w: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F734B6" w:rsidRDefault="00B069AB" w:rsidP="00703005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Važeći </w:t>
            </w:r>
            <w:r w:rsidR="00F734B6">
              <w:rPr>
                <w:szCs w:val="24"/>
              </w:rPr>
              <w:t xml:space="preserve">Zakon će biti usklađen s </w:t>
            </w:r>
            <w:r>
              <w:rPr>
                <w:szCs w:val="24"/>
              </w:rPr>
              <w:t xml:space="preserve">naprijed </w:t>
            </w:r>
            <w:r w:rsidR="00F734B6">
              <w:rPr>
                <w:szCs w:val="24"/>
              </w:rPr>
              <w:t>navede</w:t>
            </w:r>
            <w:r>
              <w:rPr>
                <w:szCs w:val="24"/>
              </w:rPr>
              <w:t>nom pravnom stečevinom Europske unije.</w:t>
            </w:r>
            <w:r w:rsidR="00F734B6">
              <w:rPr>
                <w:szCs w:val="24"/>
              </w:rPr>
              <w:t xml:space="preserve"> </w:t>
            </w:r>
          </w:p>
          <w:p w:rsidR="00F734B6" w:rsidRPr="0077506C" w:rsidRDefault="00F734B6" w:rsidP="00703005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  <w:p w:rsidR="00F734B6" w:rsidRPr="0077506C" w:rsidRDefault="00F734B6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F96AE2" w:rsidRPr="0077506C" w:rsidRDefault="00FC2879" w:rsidP="00346C59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Odmah po stupanju na snagu ovoga Zakona.</w:t>
            </w:r>
          </w:p>
        </w:tc>
      </w:tr>
      <w:tr w:rsidR="00F96AE2" w:rsidRPr="0077506C" w:rsidTr="004350D1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:rsidTr="004350D1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B069AB" w:rsidRDefault="00B069AB" w:rsidP="00251E63">
            <w:pPr>
              <w:shd w:val="clear" w:color="auto" w:fill="FFFFFF" w:themeFill="background1"/>
              <w:rPr>
                <w:szCs w:val="24"/>
              </w:rPr>
            </w:pPr>
          </w:p>
          <w:p w:rsidR="00F96AE2" w:rsidRDefault="00C1416D" w:rsidP="00251E6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Donošenje </w:t>
            </w:r>
            <w:r w:rsidR="00251E63" w:rsidRPr="00251E63">
              <w:rPr>
                <w:szCs w:val="24"/>
              </w:rPr>
              <w:t>Zakon</w:t>
            </w:r>
            <w:r>
              <w:rPr>
                <w:szCs w:val="24"/>
              </w:rPr>
              <w:t>a</w:t>
            </w:r>
            <w:r w:rsidR="00251E63" w:rsidRPr="00251E63">
              <w:rPr>
                <w:szCs w:val="24"/>
              </w:rPr>
              <w:t xml:space="preserve"> o izmjenama i dopunama Zakona </w:t>
            </w:r>
            <w:r w:rsidR="00251E63">
              <w:rPr>
                <w:szCs w:val="24"/>
              </w:rPr>
              <w:t xml:space="preserve">o eksplozivnim tvarima te proizvodnji i prometu oružja. </w:t>
            </w:r>
          </w:p>
          <w:p w:rsidR="00C1416D" w:rsidRPr="0077506C" w:rsidRDefault="00C1416D" w:rsidP="00251E6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C1416D" w:rsidRDefault="00F96AE2" w:rsidP="0077506C">
            <w:pPr>
              <w:shd w:val="clear" w:color="auto" w:fill="FFFFFF" w:themeFill="background1"/>
            </w:pPr>
            <w:r w:rsidRPr="0077506C">
              <w:rPr>
                <w:szCs w:val="24"/>
              </w:rPr>
              <w:t>Obrazloženje:</w:t>
            </w:r>
            <w:r w:rsidR="00251E63">
              <w:t xml:space="preserve"> </w:t>
            </w:r>
          </w:p>
          <w:p w:rsidR="00F96AE2" w:rsidRPr="0077506C" w:rsidRDefault="00B069AB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Izmjene i dopune Zakona o eksplozivnim tvarima te proizvodnji i prometu oružja su nužne radi prijenosa europske pravne stečevine.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771" w:type="dxa"/>
            <w:gridSpan w:val="6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:rsidR="00F734B6" w:rsidRPr="0077506C" w:rsidRDefault="00C1416D" w:rsidP="00B069AB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Nisu moguća nenormativna rješenja.</w:t>
            </w:r>
          </w:p>
        </w:tc>
      </w:tr>
      <w:tr w:rsidR="00F96AE2" w:rsidRPr="0077506C" w:rsidTr="004350D1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734B6" w:rsidRDefault="00B069AB" w:rsidP="00B069AB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Nenormativnim rješenjima nije moguće postići zadani cilj – odgovarajući prijenos europske pravne stečevine.</w:t>
            </w:r>
          </w:p>
          <w:p w:rsidR="00B069AB" w:rsidRPr="0077506C" w:rsidRDefault="00B069AB" w:rsidP="00B069AB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:rsidTr="004350D1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5.1.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4350D1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4350D1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358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4350D1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358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B069AB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Ne</w:t>
            </w:r>
            <w:r w:rsidR="004B40EE"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B069AB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F96AE2" w:rsidRPr="0077506C" w:rsidRDefault="00B069AB" w:rsidP="00B069AB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neće imati izravnih gospodarskih učinaka</w:t>
            </w:r>
            <w:r>
              <w:rPr>
                <w:rFonts w:eastAsiaTheme="minorEastAsia"/>
                <w:szCs w:val="24"/>
              </w:rPr>
              <w:t>.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</w:t>
            </w:r>
            <w:r w:rsidRPr="0077506C">
              <w:rPr>
                <w:szCs w:val="24"/>
              </w:rPr>
              <w:lastRenderedPageBreak/>
              <w:t>područne (regionalne) samouprave, pravne osobe s javnim ovlastima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B069AB" w:rsidP="009F63D9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Ne</w:t>
            </w:r>
            <w:r w:rsidR="004B40EE"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B069AB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F96AE2" w:rsidRPr="0077506C" w:rsidRDefault="00B069AB" w:rsidP="00B069AB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</w:t>
            </w:r>
            <w:r>
              <w:rPr>
                <w:rFonts w:eastAsiaTheme="minorEastAsia"/>
                <w:szCs w:val="24"/>
              </w:rPr>
              <w:t>maju</w:t>
            </w:r>
            <w:r w:rsidRPr="00BE4768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utjecaj na navedene adresate.</w:t>
            </w:r>
          </w:p>
        </w:tc>
      </w:tr>
      <w:tr w:rsidR="00F96AE2" w:rsidRPr="0077506C" w:rsidTr="004350D1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9F63D9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9F63D9" w:rsidRPr="0077506C" w:rsidTr="009F63D9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9F63D9" w:rsidRPr="0077506C" w:rsidRDefault="009F63D9" w:rsidP="009F63D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F63D9" w:rsidRPr="0077506C" w:rsidRDefault="009F63D9" w:rsidP="009F63D9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9F63D9" w:rsidRPr="00E212E8" w:rsidRDefault="009F63D9" w:rsidP="009F63D9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9F63D9" w:rsidRPr="00E212E8" w:rsidRDefault="009F63D9" w:rsidP="009F63D9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9F63D9" w:rsidRPr="00E212E8" w:rsidRDefault="009F63D9" w:rsidP="009F63D9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9F63D9" w:rsidRPr="0077506C" w:rsidTr="009F63D9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F63D9" w:rsidRPr="0077506C" w:rsidRDefault="009F63D9" w:rsidP="009F63D9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F63D9" w:rsidRPr="0077506C" w:rsidRDefault="009F63D9" w:rsidP="009F63D9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9F63D9" w:rsidRPr="00E212E8" w:rsidRDefault="009F63D9" w:rsidP="009F63D9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9F63D9" w:rsidRPr="00E212E8" w:rsidRDefault="009F63D9" w:rsidP="009F63D9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9F63D9" w:rsidRPr="00E212E8" w:rsidRDefault="009F63D9" w:rsidP="009F63D9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9F63D9" w:rsidRPr="0077506C" w:rsidTr="009F63D9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F63D9" w:rsidRPr="0077506C" w:rsidRDefault="009F63D9" w:rsidP="009F63D9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F63D9" w:rsidRPr="0077506C" w:rsidRDefault="009F63D9" w:rsidP="009F63D9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9F63D9" w:rsidRPr="00E212E8" w:rsidRDefault="009F63D9" w:rsidP="009F63D9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9F63D9" w:rsidRPr="00E212E8" w:rsidRDefault="009F63D9" w:rsidP="009F63D9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9F63D9" w:rsidRPr="00E212E8" w:rsidRDefault="009F63D9" w:rsidP="009F63D9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4B40EE" w:rsidRPr="0077506C" w:rsidRDefault="004B40EE" w:rsidP="004B40EE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F96AE2" w:rsidRPr="0077506C" w:rsidRDefault="00B069AB" w:rsidP="00B069AB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 xml:space="preserve">su takva da neće imati </w:t>
            </w:r>
            <w:r>
              <w:rPr>
                <w:rFonts w:eastAsiaTheme="minorEastAsia"/>
                <w:szCs w:val="24"/>
              </w:rPr>
              <w:t>učinaka na tržišno natjecanje.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B069AB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Ne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Pr="0077506C" w:rsidRDefault="007510EF" w:rsidP="007510EF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</w:t>
            </w:r>
            <w:r>
              <w:rPr>
                <w:rFonts w:eastAsiaTheme="minorEastAsia"/>
                <w:szCs w:val="24"/>
              </w:rPr>
              <w:t>maju</w:t>
            </w:r>
            <w:r w:rsidRPr="00BE4768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utjecaj na navedene adresate.</w:t>
            </w:r>
          </w:p>
        </w:tc>
      </w:tr>
      <w:tr w:rsidR="00F96AE2" w:rsidRPr="0077506C" w:rsidTr="004350D1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8D7AD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D7AD3" w:rsidRPr="0077506C" w:rsidTr="008D7AD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8D7AD3" w:rsidRPr="0077506C" w:rsidTr="008D7AD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8D7AD3" w:rsidRPr="0077506C" w:rsidTr="008D7AD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5.3.8.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F96AE2" w:rsidRPr="0077506C" w:rsidRDefault="007510EF" w:rsidP="007510EF">
            <w:pPr>
              <w:shd w:val="clear" w:color="auto" w:fill="FFFFFF" w:themeFill="background1"/>
              <w:rPr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neće imati</w:t>
            </w:r>
            <w:r>
              <w:rPr>
                <w:rFonts w:eastAsiaTheme="minorEastAsia"/>
                <w:szCs w:val="24"/>
              </w:rPr>
              <w:t xml:space="preserve"> socijalnih</w:t>
            </w:r>
            <w:r w:rsidRPr="00BE4768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 xml:space="preserve">učinaka.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9F63D9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DA</w:t>
            </w:r>
            <w:r w:rsidR="004B40EE"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F96AE2" w:rsidRPr="0077506C" w:rsidRDefault="007510EF" w:rsidP="007510EF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</w:t>
            </w:r>
            <w:r>
              <w:rPr>
                <w:rFonts w:eastAsiaTheme="minorEastAsia"/>
                <w:szCs w:val="24"/>
              </w:rPr>
              <w:t>maju</w:t>
            </w:r>
            <w:r w:rsidRPr="00BE4768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utjecaj na navedene adresate.</w:t>
            </w:r>
          </w:p>
        </w:tc>
      </w:tr>
      <w:tr w:rsidR="00F96AE2" w:rsidRPr="0077506C" w:rsidTr="004350D1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8D7AD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8D7AD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510EF" w:rsidRDefault="008D7AD3" w:rsidP="0077506C">
                  <w:pPr>
                    <w:shd w:val="clear" w:color="auto" w:fill="FFFFFF" w:themeFill="background1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7510E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510EF" w:rsidRDefault="008D7AD3" w:rsidP="0077506C">
                  <w:pPr>
                    <w:shd w:val="clear" w:color="auto" w:fill="FFFFFF" w:themeFill="background1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7510E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510EF" w:rsidRDefault="008D7AD3" w:rsidP="0077506C">
                  <w:pPr>
                    <w:shd w:val="clear" w:color="auto" w:fill="FFFFFF" w:themeFill="background1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7510E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>NE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F96AE2" w:rsidRPr="0077506C" w:rsidRDefault="007510EF" w:rsidP="007510EF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neće imati</w:t>
            </w:r>
            <w:r>
              <w:rPr>
                <w:rFonts w:eastAsiaTheme="minorEastAsia"/>
                <w:szCs w:val="24"/>
              </w:rPr>
              <w:t xml:space="preserve"> učinaka na rad i tržište rada.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F96AE2" w:rsidRPr="0077506C" w:rsidRDefault="007510EF" w:rsidP="007510EF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</w:t>
            </w:r>
            <w:r>
              <w:rPr>
                <w:rFonts w:eastAsiaTheme="minorEastAsia"/>
                <w:szCs w:val="24"/>
              </w:rPr>
              <w:t>maju</w:t>
            </w:r>
            <w:r w:rsidRPr="00BE4768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utjecaj na navedene adresate.</w:t>
            </w:r>
          </w:p>
        </w:tc>
      </w:tr>
      <w:tr w:rsidR="00F96AE2" w:rsidRPr="0077506C" w:rsidTr="004350D1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8D7AD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F96AE2" w:rsidRPr="0077506C" w:rsidRDefault="007510EF" w:rsidP="007510EF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neće imati</w:t>
            </w:r>
            <w:r>
              <w:rPr>
                <w:rFonts w:eastAsiaTheme="minorEastAsia"/>
                <w:szCs w:val="24"/>
              </w:rPr>
              <w:t xml:space="preserve"> učinaka na zaštitu okoliša.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</w:t>
            </w:r>
            <w:r w:rsidRPr="0077506C">
              <w:rPr>
                <w:szCs w:val="24"/>
              </w:rPr>
              <w:lastRenderedPageBreak/>
              <w:t>područne (regionalne) samouprave, pravne osobe s javnim ovlastima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F96AE2" w:rsidRPr="0077506C" w:rsidRDefault="007510EF" w:rsidP="007510EF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</w:t>
            </w:r>
            <w:r>
              <w:rPr>
                <w:rFonts w:eastAsiaTheme="minorEastAsia"/>
                <w:szCs w:val="24"/>
              </w:rPr>
              <w:t>maju</w:t>
            </w:r>
            <w:r w:rsidRPr="00BE4768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utjecaj na navedene adresate.</w:t>
            </w:r>
          </w:p>
        </w:tc>
      </w:tr>
      <w:tr w:rsidR="00F96AE2" w:rsidRPr="0077506C" w:rsidTr="004350D1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8D7AD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B40EE" w:rsidRPr="0077506C" w:rsidTr="004350D1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F96AE2" w:rsidRPr="0077506C" w:rsidRDefault="007510EF" w:rsidP="007510EF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neće imati</w:t>
            </w:r>
            <w:r>
              <w:rPr>
                <w:rFonts w:eastAsiaTheme="minorEastAsia"/>
                <w:szCs w:val="24"/>
              </w:rPr>
              <w:t xml:space="preserve"> učinaka na zaštitu ljudskih prava.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velikii poduzetnici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4B40EE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358" w:type="dxa"/>
            <w:gridSpan w:val="2"/>
            <w:shd w:val="clear" w:color="auto" w:fill="FFFFFF" w:themeFill="background1"/>
          </w:tcPr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4B40EE" w:rsidRPr="0077506C" w:rsidRDefault="004B40EE" w:rsidP="004B40E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0EE" w:rsidRPr="00DB61D5" w:rsidRDefault="004B40EE" w:rsidP="004B40EE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B61D5">
              <w:rPr>
                <w:rFonts w:ascii="Helvetica" w:eastAsia="Times New Roman" w:hAnsi="Helvetica" w:cs="Helvetica"/>
                <w:sz w:val="18"/>
                <w:szCs w:val="18"/>
              </w:rPr>
              <w:t xml:space="preserve">Ne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F96AE2" w:rsidRPr="0077506C" w:rsidRDefault="007510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E4768">
              <w:rPr>
                <w:rFonts w:eastAsiaTheme="minorEastAsia"/>
                <w:szCs w:val="24"/>
              </w:rPr>
              <w:t xml:space="preserve">Pitanja koja se uređuju </w:t>
            </w:r>
            <w:r w:rsidRPr="006A16BF">
              <w:rPr>
                <w:rFonts w:eastAsiaTheme="minorEastAsia"/>
                <w:szCs w:val="24"/>
              </w:rPr>
              <w:t>Zakon</w:t>
            </w:r>
            <w:r>
              <w:rPr>
                <w:rFonts w:eastAsiaTheme="minorEastAsia"/>
                <w:szCs w:val="24"/>
              </w:rPr>
              <w:t>om</w:t>
            </w:r>
            <w:r w:rsidRPr="006A16BF">
              <w:rPr>
                <w:rFonts w:eastAsiaTheme="minorEastAsia"/>
                <w:szCs w:val="24"/>
              </w:rPr>
              <w:t xml:space="preserve"> o izmjen</w:t>
            </w:r>
            <w:r>
              <w:rPr>
                <w:rFonts w:eastAsiaTheme="minorEastAsia"/>
                <w:szCs w:val="24"/>
              </w:rPr>
              <w:t xml:space="preserve">ama i dopunama </w:t>
            </w:r>
            <w:r w:rsidRPr="006A16BF">
              <w:rPr>
                <w:rFonts w:eastAsiaTheme="minorEastAsia"/>
                <w:szCs w:val="24"/>
              </w:rPr>
              <w:t xml:space="preserve">Zakona </w:t>
            </w:r>
            <w:r>
              <w:rPr>
                <w:rFonts w:eastAsiaTheme="minorEastAsia"/>
                <w:szCs w:val="24"/>
              </w:rPr>
              <w:t>o eksplozivnim tvarima te proizvodnji i prometu oružja</w:t>
            </w:r>
            <w:r w:rsidRPr="006A16BF">
              <w:rPr>
                <w:rFonts w:eastAsiaTheme="minorEastAsia"/>
                <w:szCs w:val="24"/>
              </w:rPr>
              <w:t xml:space="preserve"> </w:t>
            </w:r>
            <w:r w:rsidRPr="00BE4768">
              <w:rPr>
                <w:rFonts w:eastAsiaTheme="minorEastAsia"/>
                <w:szCs w:val="24"/>
              </w:rPr>
              <w:t>su takva da ne</w:t>
            </w:r>
            <w:r>
              <w:rPr>
                <w:rFonts w:eastAsiaTheme="minorEastAsia"/>
                <w:szCs w:val="24"/>
              </w:rPr>
              <w:t>maju</w:t>
            </w:r>
            <w:r w:rsidRPr="00BE4768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utjecaj na navedene adresate.</w:t>
            </w:r>
          </w:p>
        </w:tc>
      </w:tr>
      <w:tr w:rsidR="00F96AE2" w:rsidRPr="0077506C" w:rsidTr="004350D1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8D7AD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  <w:tr w:rsidR="008D7AD3" w:rsidRPr="0077506C" w:rsidTr="008D7AD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D7AD3" w:rsidRPr="0077506C" w:rsidRDefault="008D7AD3" w:rsidP="008D7AD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D7AD3" w:rsidRPr="00E212E8" w:rsidRDefault="008D7AD3" w:rsidP="008D7AD3">
                  <w:pPr>
                    <w:spacing w:before="100" w:beforeAutospacing="1" w:after="100" w:afterAutospacing="1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E212E8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NE 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9F63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9F63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9F63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F96AE2" w:rsidRPr="0077506C" w:rsidRDefault="009F63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0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665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8D7AD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8D7AD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8D7AD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8D7AD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8D7AD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8D7AD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665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4B40EE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B40EE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8D7AD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8D7AD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96AE2" w:rsidRPr="0077506C" w:rsidRDefault="008D7AD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Default="007510E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Potpis</w:t>
            </w:r>
          </w:p>
          <w:p w:rsidR="007510EF" w:rsidRDefault="007510E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 I N I S T A R</w:t>
            </w:r>
          </w:p>
          <w:p w:rsidR="007510EF" w:rsidRDefault="007510E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dr.sc. Davor Božinović</w:t>
            </w:r>
          </w:p>
          <w:p w:rsidR="007510EF" w:rsidRDefault="007510E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7510EF" w:rsidRPr="0077506C" w:rsidRDefault="007510E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F96AE2" w:rsidRPr="0077506C" w:rsidRDefault="0077506C" w:rsidP="001A76A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7510EF">
              <w:rPr>
                <w:rFonts w:eastAsia="Times New Roman"/>
                <w:szCs w:val="24"/>
              </w:rPr>
              <w:t xml:space="preserve"> </w:t>
            </w:r>
            <w:r w:rsidR="001A76A4">
              <w:rPr>
                <w:rFonts w:eastAsia="Times New Roman"/>
                <w:szCs w:val="24"/>
              </w:rPr>
              <w:t>1</w:t>
            </w:r>
            <w:r w:rsidR="007510EF">
              <w:rPr>
                <w:rFonts w:eastAsia="Times New Roman"/>
                <w:szCs w:val="24"/>
              </w:rPr>
              <w:t xml:space="preserve">. </w:t>
            </w:r>
            <w:r w:rsidR="001A76A4">
              <w:rPr>
                <w:rFonts w:eastAsia="Times New Roman"/>
                <w:szCs w:val="24"/>
              </w:rPr>
              <w:t>kolovoza</w:t>
            </w:r>
            <w:r w:rsidR="007510EF">
              <w:rPr>
                <w:rFonts w:eastAsia="Times New Roman"/>
                <w:szCs w:val="24"/>
              </w:rPr>
              <w:t xml:space="preserve"> 2019.</w:t>
            </w:r>
          </w:p>
        </w:tc>
      </w:tr>
      <w:tr w:rsidR="00F96AE2" w:rsidRPr="0077506C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:rsidTr="004350D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327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F96AE2" w:rsidRPr="0077506C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8B" w:rsidRDefault="0087548B" w:rsidP="0077506C">
      <w:r>
        <w:separator/>
      </w:r>
    </w:p>
  </w:endnote>
  <w:endnote w:type="continuationSeparator" w:id="0">
    <w:p w:rsidR="0087548B" w:rsidRDefault="0087548B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:rsidR="00B069AB" w:rsidRDefault="00B069A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565">
          <w:rPr>
            <w:noProof/>
          </w:rPr>
          <w:t>2</w:t>
        </w:r>
        <w:r>
          <w:fldChar w:fldCharType="end"/>
        </w:r>
      </w:p>
    </w:sdtContent>
  </w:sdt>
  <w:p w:rsidR="00B069AB" w:rsidRDefault="00B069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8B" w:rsidRDefault="0087548B" w:rsidP="0077506C">
      <w:r>
        <w:separator/>
      </w:r>
    </w:p>
  </w:footnote>
  <w:footnote w:type="continuationSeparator" w:id="0">
    <w:p w:rsidR="0087548B" w:rsidRDefault="0087548B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02D3D"/>
    <w:rsid w:val="000053D2"/>
    <w:rsid w:val="00034F70"/>
    <w:rsid w:val="000B4EC4"/>
    <w:rsid w:val="000E7E7D"/>
    <w:rsid w:val="001064D8"/>
    <w:rsid w:val="0012105D"/>
    <w:rsid w:val="00196366"/>
    <w:rsid w:val="001A76A4"/>
    <w:rsid w:val="001F443E"/>
    <w:rsid w:val="00204C4E"/>
    <w:rsid w:val="0024195D"/>
    <w:rsid w:val="00251E63"/>
    <w:rsid w:val="00280D84"/>
    <w:rsid w:val="002B3DB4"/>
    <w:rsid w:val="002B721F"/>
    <w:rsid w:val="00345D4E"/>
    <w:rsid w:val="00346C59"/>
    <w:rsid w:val="00353188"/>
    <w:rsid w:val="003C2034"/>
    <w:rsid w:val="003D3DF7"/>
    <w:rsid w:val="004000E9"/>
    <w:rsid w:val="004019AE"/>
    <w:rsid w:val="00425D46"/>
    <w:rsid w:val="004350D1"/>
    <w:rsid w:val="004B40EE"/>
    <w:rsid w:val="004D11F9"/>
    <w:rsid w:val="004D341F"/>
    <w:rsid w:val="004E6EC8"/>
    <w:rsid w:val="0052325E"/>
    <w:rsid w:val="005C2641"/>
    <w:rsid w:val="005E182D"/>
    <w:rsid w:val="00604C6D"/>
    <w:rsid w:val="006271A5"/>
    <w:rsid w:val="00630A1B"/>
    <w:rsid w:val="006F19B1"/>
    <w:rsid w:val="00703005"/>
    <w:rsid w:val="007038CC"/>
    <w:rsid w:val="0072296F"/>
    <w:rsid w:val="00726AB3"/>
    <w:rsid w:val="007510EF"/>
    <w:rsid w:val="0077506C"/>
    <w:rsid w:val="00806FD2"/>
    <w:rsid w:val="00812565"/>
    <w:rsid w:val="00851017"/>
    <w:rsid w:val="0087548B"/>
    <w:rsid w:val="008D7AD3"/>
    <w:rsid w:val="0093313B"/>
    <w:rsid w:val="009F63D9"/>
    <w:rsid w:val="00A24ECE"/>
    <w:rsid w:val="00A70780"/>
    <w:rsid w:val="00B069AB"/>
    <w:rsid w:val="00B37C85"/>
    <w:rsid w:val="00B5180D"/>
    <w:rsid w:val="00B60363"/>
    <w:rsid w:val="00C1416D"/>
    <w:rsid w:val="00C418FF"/>
    <w:rsid w:val="00C735AB"/>
    <w:rsid w:val="00C81829"/>
    <w:rsid w:val="00CA4BA3"/>
    <w:rsid w:val="00CC4ACA"/>
    <w:rsid w:val="00CD197F"/>
    <w:rsid w:val="00D24D7F"/>
    <w:rsid w:val="00D453D0"/>
    <w:rsid w:val="00D46031"/>
    <w:rsid w:val="00D5655A"/>
    <w:rsid w:val="00DB454E"/>
    <w:rsid w:val="00F520C9"/>
    <w:rsid w:val="00F734B6"/>
    <w:rsid w:val="00F81A7B"/>
    <w:rsid w:val="00F96AE2"/>
    <w:rsid w:val="00F96E00"/>
    <w:rsid w:val="00FB1ACE"/>
    <w:rsid w:val="00FC2879"/>
    <w:rsid w:val="00FD0DCE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6AE2"/>
    <w:rPr>
      <w:color w:val="0000FF"/>
      <w:u w:val="single"/>
    </w:rPr>
  </w:style>
  <w:style w:type="paragraph" w:customStyle="1" w:styleId="comment-text">
    <w:name w:val="comment-text"/>
    <w:basedOn w:val="Normal"/>
    <w:rsid w:val="004B40EE"/>
    <w:pPr>
      <w:spacing w:before="100" w:beforeAutospacing="1" w:after="100" w:afterAutospacing="1" w:line="345" w:lineRule="atLeast"/>
    </w:pPr>
    <w:rPr>
      <w:rFonts w:ascii="Helvetica" w:eastAsia="Times New Roman" w:hAnsi="Helvetica" w:cs="Helvetica"/>
      <w:color w:val="88888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ingo.hr/page/standard-cost-mod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752AF7FF3454E81A689937B35EA69" ma:contentTypeVersion="0" ma:contentTypeDescription="Create a new document." ma:contentTypeScope="" ma:versionID="a53e28469ba4884eedcb15850503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7E5F3-6B7C-455E-9CC7-49CE0AB88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5C269-D780-45C7-B10E-401FCFBF1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4C64A-454F-496F-9ECB-8BD1B57CE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4206</Words>
  <Characters>23977</Characters>
  <Application>Microsoft Office Word</Application>
  <DocSecurity>0</DocSecurity>
  <Lines>199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Zirdum Maria</cp:lastModifiedBy>
  <cp:revision>2</cp:revision>
  <cp:lastPrinted>2019-09-03T08:45:00Z</cp:lastPrinted>
  <dcterms:created xsi:type="dcterms:W3CDTF">2019-09-03T09:51:00Z</dcterms:created>
  <dcterms:modified xsi:type="dcterms:W3CDTF">2019-09-03T09:51:00Z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0x010100E4E752AF7FF3454E81A689937B35EA69</vt:lpwstr>
  </property>
</Properties>
</file>