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15802" w14:textId="7252DB9E" w:rsidR="00E756C8" w:rsidRDefault="00E756C8" w:rsidP="00E756C8">
      <w:pPr>
        <w:pStyle w:val="Heading1"/>
        <w:jc w:val="both"/>
      </w:pPr>
    </w:p>
    <w:p w14:paraId="06795617" w14:textId="77777777" w:rsidR="00651D75" w:rsidRDefault="00651D75" w:rsidP="00E756C8">
      <w:pPr>
        <w:pStyle w:val="Heading1"/>
        <w:jc w:val="both"/>
        <w:rPr>
          <w:szCs w:val="24"/>
        </w:rPr>
      </w:pPr>
      <w:r>
        <w:rPr>
          <w:szCs w:val="24"/>
        </w:rPr>
        <w:t xml:space="preserve">OBRAZAC PRETHODNE PROCJENE ZA </w:t>
      </w:r>
    </w:p>
    <w:p w14:paraId="4D7E045E" w14:textId="77E851D8" w:rsidR="00E756C8" w:rsidRDefault="00E756C8" w:rsidP="00E756C8">
      <w:pPr>
        <w:pStyle w:val="Heading1"/>
        <w:jc w:val="both"/>
        <w:rPr>
          <w:szCs w:val="24"/>
        </w:rPr>
      </w:pPr>
      <w:r>
        <w:rPr>
          <w:szCs w:val="24"/>
        </w:rPr>
        <w:t>Nacrt prijedloga Zakona o uspostavi institucionalnog okvira za provedbu fondova Europske unije u Republici Hrvatskoj u financijskom razdoblju 2021.-2027.</w:t>
      </w:r>
    </w:p>
    <w:p w14:paraId="66C13E5A" w14:textId="1E81EE98" w:rsidR="00E756C8" w:rsidRDefault="00E756C8" w:rsidP="00E756C8">
      <w:pPr>
        <w:pStyle w:val="Heading1"/>
        <w:jc w:val="both"/>
        <w:rPr>
          <w:szCs w:val="24"/>
        </w:rPr>
      </w:pPr>
    </w:p>
    <w:p w14:paraId="572CF228" w14:textId="2698D317" w:rsidR="00E756C8" w:rsidRDefault="00E756C8" w:rsidP="00651D75">
      <w:pPr>
        <w:pStyle w:val="Heading1"/>
        <w:jc w:val="both"/>
      </w:pPr>
      <w:r>
        <w:br w:type="page"/>
      </w: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32"/>
      </w:tblGrid>
      <w:tr w:rsidR="00F96AE2" w:rsidRPr="0077506C" w14:paraId="77F9AD0B" w14:textId="77777777" w:rsidTr="00974315">
        <w:tc>
          <w:tcPr>
            <w:tcW w:w="9895" w:type="dxa"/>
            <w:gridSpan w:val="4"/>
            <w:shd w:val="clear" w:color="auto" w:fill="FFFFFF" w:themeFill="background1"/>
          </w:tcPr>
          <w:p w14:paraId="5A3B9132" w14:textId="2896B02C" w:rsidR="00F96AE2" w:rsidRPr="0077506C" w:rsidRDefault="00F96AE2" w:rsidP="00E756C8">
            <w:pPr>
              <w:pStyle w:val="Heading2"/>
              <w:outlineLvl w:val="1"/>
            </w:pPr>
            <w:r w:rsidRPr="0077506C">
              <w:lastRenderedPageBreak/>
              <w:t>PRILOG 1.</w:t>
            </w:r>
          </w:p>
          <w:p w14:paraId="3A3E02AE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OBRAZAC PRETHODNE PROCJENE</w:t>
            </w:r>
          </w:p>
        </w:tc>
      </w:tr>
      <w:tr w:rsidR="00F96AE2" w:rsidRPr="0077506C" w14:paraId="0C2576D2" w14:textId="77777777" w:rsidTr="00974315">
        <w:tc>
          <w:tcPr>
            <w:tcW w:w="993" w:type="dxa"/>
            <w:shd w:val="clear" w:color="auto" w:fill="FFFFFF" w:themeFill="background1"/>
          </w:tcPr>
          <w:p w14:paraId="4070650C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32E1667C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OPĆE INFORMACIJE</w:t>
            </w:r>
          </w:p>
        </w:tc>
      </w:tr>
      <w:tr w:rsidR="00F96AE2" w:rsidRPr="0077506C" w14:paraId="5D2A7422" w14:textId="77777777" w:rsidTr="00974315">
        <w:tc>
          <w:tcPr>
            <w:tcW w:w="993" w:type="dxa"/>
            <w:shd w:val="clear" w:color="auto" w:fill="FFFFFF" w:themeFill="background1"/>
          </w:tcPr>
          <w:p w14:paraId="144C0C9D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448CB0F6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Stručni nositelj: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646DA39C" w14:textId="56AACBE0" w:rsidR="00F96AE2" w:rsidRPr="0077506C" w:rsidRDefault="00942DC5" w:rsidP="00E756C8">
            <w:pPr>
              <w:pStyle w:val="Heading2"/>
              <w:outlineLvl w:val="1"/>
            </w:pPr>
            <w:r>
              <w:t>Ministarstvo regionalnoga razvoja i fondova Europske unije</w:t>
            </w:r>
          </w:p>
        </w:tc>
      </w:tr>
      <w:tr w:rsidR="00F96AE2" w:rsidRPr="0077506C" w14:paraId="2F0EDCCB" w14:textId="77777777" w:rsidTr="00974315">
        <w:tc>
          <w:tcPr>
            <w:tcW w:w="993" w:type="dxa"/>
            <w:shd w:val="clear" w:color="auto" w:fill="FFFFFF" w:themeFill="background1"/>
          </w:tcPr>
          <w:p w14:paraId="40B61BBC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2552DDE8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Naziv nacrta prijedloga zakona: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702DAD6A" w14:textId="26DF23C2" w:rsidR="00700FEF" w:rsidRDefault="00A27E93" w:rsidP="00E756C8">
            <w:pPr>
              <w:pStyle w:val="Heading2"/>
              <w:outlineLvl w:val="1"/>
            </w:pPr>
            <w:r>
              <w:t xml:space="preserve">Nacrt prijedloga </w:t>
            </w:r>
            <w:r w:rsidR="00133484">
              <w:t>Zakon</w:t>
            </w:r>
            <w:r>
              <w:t>a</w:t>
            </w:r>
            <w:r w:rsidR="00133484">
              <w:t xml:space="preserve"> o uspostavi institucionalnog okvira za provedbu fondova </w:t>
            </w:r>
            <w:r>
              <w:t xml:space="preserve">Europske unije u Republici Hrvatskoj u </w:t>
            </w:r>
            <w:r w:rsidR="00103FEE">
              <w:t xml:space="preserve">financijskom </w:t>
            </w:r>
            <w:r>
              <w:t xml:space="preserve">razdoblju </w:t>
            </w:r>
            <w:r w:rsidR="00133484">
              <w:t>2021</w:t>
            </w:r>
            <w:r>
              <w:t>.</w:t>
            </w:r>
            <w:r w:rsidR="00133484">
              <w:t>-2027</w:t>
            </w:r>
            <w:r>
              <w:t>.</w:t>
            </w:r>
            <w:r w:rsidR="005A0D49">
              <w:t>¹</w:t>
            </w:r>
          </w:p>
          <w:p w14:paraId="42AE2D5B" w14:textId="77777777" w:rsidR="00003D59" w:rsidRPr="0077506C" w:rsidRDefault="00003D59" w:rsidP="00E756C8">
            <w:pPr>
              <w:pStyle w:val="Heading2"/>
              <w:outlineLvl w:val="1"/>
            </w:pPr>
          </w:p>
        </w:tc>
      </w:tr>
      <w:tr w:rsidR="00F96AE2" w:rsidRPr="0077506C" w14:paraId="1DA9CE85" w14:textId="77777777" w:rsidTr="00974315">
        <w:tc>
          <w:tcPr>
            <w:tcW w:w="993" w:type="dxa"/>
            <w:shd w:val="clear" w:color="auto" w:fill="FFFFFF" w:themeFill="background1"/>
          </w:tcPr>
          <w:p w14:paraId="683929CA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7405269C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Datum: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04A73506" w14:textId="37225498" w:rsidR="00F96AE2" w:rsidRPr="0077506C" w:rsidRDefault="00A125D3" w:rsidP="00E756C8">
            <w:pPr>
              <w:pStyle w:val="Heading2"/>
              <w:outlineLvl w:val="1"/>
            </w:pPr>
            <w:r>
              <w:t>Drugo</w:t>
            </w:r>
            <w:r w:rsidR="00D81B4D">
              <w:t xml:space="preserve"> tromjesečje 2020. godine</w:t>
            </w:r>
            <w:r w:rsidR="00DE7E8B">
              <w:t>²</w:t>
            </w:r>
          </w:p>
        </w:tc>
      </w:tr>
      <w:tr w:rsidR="00F96AE2" w:rsidRPr="0077506C" w14:paraId="5F1FFE9E" w14:textId="77777777" w:rsidTr="00974315">
        <w:tc>
          <w:tcPr>
            <w:tcW w:w="993" w:type="dxa"/>
            <w:shd w:val="clear" w:color="auto" w:fill="FFFFFF" w:themeFill="background1"/>
          </w:tcPr>
          <w:p w14:paraId="166485A8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2968407F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Ustrojstvena jedinica, kontakt telefon i elektronička pošta osobe zadužene za izradu Obrasca prethodne procjene: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1F7F0009" w14:textId="77777777" w:rsidR="00F96AE2" w:rsidRDefault="00940218" w:rsidP="00E756C8">
            <w:pPr>
              <w:pStyle w:val="Heading2"/>
              <w:outlineLvl w:val="1"/>
            </w:pPr>
            <w:r>
              <w:t>Ministarstvo regionalnoga razvoja i fondova Europske unije</w:t>
            </w:r>
          </w:p>
          <w:p w14:paraId="66312013" w14:textId="77777777" w:rsidR="00940218" w:rsidRDefault="00940218" w:rsidP="00E756C8">
            <w:pPr>
              <w:pStyle w:val="Heading2"/>
              <w:outlineLvl w:val="1"/>
            </w:pPr>
            <w:r>
              <w:t>Uprava za strateško planiranje i koordinaciju EU fondova</w:t>
            </w:r>
          </w:p>
          <w:p w14:paraId="05A86BB2" w14:textId="77777777" w:rsidR="00940218" w:rsidRDefault="00940218" w:rsidP="00E756C8">
            <w:pPr>
              <w:pStyle w:val="Heading2"/>
              <w:outlineLvl w:val="1"/>
            </w:pPr>
            <w:r>
              <w:t>Sektor za programiranje, koordinaciju i strateško praćenje ESI fondova</w:t>
            </w:r>
          </w:p>
          <w:p w14:paraId="293849A2" w14:textId="77777777" w:rsidR="00940218" w:rsidRDefault="00940218" w:rsidP="00E756C8">
            <w:pPr>
              <w:pStyle w:val="Heading2"/>
              <w:outlineLvl w:val="1"/>
            </w:pPr>
            <w:r>
              <w:t>Služba za izvještavanje i vrednovanje ESI fondova</w:t>
            </w:r>
          </w:p>
          <w:p w14:paraId="6F6D87A4" w14:textId="77777777" w:rsidR="00940218" w:rsidRDefault="00940218" w:rsidP="00E756C8">
            <w:pPr>
              <w:pStyle w:val="Heading2"/>
              <w:outlineLvl w:val="1"/>
            </w:pPr>
            <w:r>
              <w:t>+ 385 1 4469 138</w:t>
            </w:r>
          </w:p>
          <w:p w14:paraId="57F99CD5" w14:textId="77777777" w:rsidR="00940218" w:rsidRDefault="00405C6F" w:rsidP="00E756C8">
            <w:pPr>
              <w:pStyle w:val="Heading2"/>
              <w:outlineLvl w:val="1"/>
            </w:pPr>
            <w:hyperlink r:id="rId8" w:history="1">
              <w:r w:rsidR="00940218" w:rsidRPr="009165FF">
                <w:rPr>
                  <w:rStyle w:val="Hyperlink"/>
                  <w:szCs w:val="24"/>
                </w:rPr>
                <w:t>iva.novoselac@mrrfeu.hr</w:t>
              </w:r>
            </w:hyperlink>
          </w:p>
          <w:p w14:paraId="1E0273C5" w14:textId="77777777" w:rsidR="00940218" w:rsidRPr="0077506C" w:rsidRDefault="00940218" w:rsidP="00E756C8">
            <w:pPr>
              <w:pStyle w:val="Heading2"/>
              <w:outlineLvl w:val="1"/>
            </w:pPr>
          </w:p>
        </w:tc>
      </w:tr>
      <w:tr w:rsidR="00F96AE2" w:rsidRPr="0077506C" w14:paraId="71043AE4" w14:textId="77777777" w:rsidTr="00974315">
        <w:tc>
          <w:tcPr>
            <w:tcW w:w="993" w:type="dxa"/>
            <w:shd w:val="clear" w:color="auto" w:fill="FFFFFF" w:themeFill="background1"/>
          </w:tcPr>
          <w:p w14:paraId="6977DA1F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35F7D897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003CDFF7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Da/Ne:</w:t>
            </w:r>
          </w:p>
          <w:p w14:paraId="3A68C8AB" w14:textId="7F970750" w:rsidR="00F96AE2" w:rsidRPr="0077506C" w:rsidRDefault="00C605D1" w:rsidP="00E756C8">
            <w:pPr>
              <w:pStyle w:val="Heading2"/>
              <w:outlineLvl w:val="1"/>
            </w:pPr>
            <w:r>
              <w:t>NE</w:t>
            </w:r>
          </w:p>
        </w:tc>
        <w:tc>
          <w:tcPr>
            <w:tcW w:w="3232" w:type="dxa"/>
            <w:shd w:val="clear" w:color="auto" w:fill="FFFFFF" w:themeFill="background1"/>
          </w:tcPr>
          <w:p w14:paraId="60E71BF7" w14:textId="77777777" w:rsidR="00F96AE2" w:rsidRPr="00C605D1" w:rsidRDefault="00F96AE2" w:rsidP="00E756C8">
            <w:pPr>
              <w:pStyle w:val="Heading2"/>
              <w:outlineLvl w:val="1"/>
            </w:pPr>
            <w:r w:rsidRPr="00C605D1">
              <w:t>Naziv akta:</w:t>
            </w:r>
          </w:p>
          <w:p w14:paraId="1D28C4C6" w14:textId="1F830E68" w:rsidR="00F96AE2" w:rsidRPr="00C605D1" w:rsidRDefault="00C605D1" w:rsidP="00E756C8">
            <w:pPr>
              <w:pStyle w:val="Heading2"/>
              <w:outlineLvl w:val="1"/>
            </w:pPr>
            <w:r>
              <w:t>Nije primjenjivo.</w:t>
            </w:r>
          </w:p>
          <w:p w14:paraId="4011A4F0" w14:textId="77777777" w:rsidR="00815C71" w:rsidRPr="00C605D1" w:rsidRDefault="00815C71" w:rsidP="00E756C8">
            <w:pPr>
              <w:pStyle w:val="Heading2"/>
              <w:outlineLvl w:val="1"/>
              <w:rPr>
                <w:highlight w:val="yellow"/>
              </w:rPr>
            </w:pPr>
          </w:p>
          <w:p w14:paraId="7FF17030" w14:textId="77777777" w:rsidR="00815C71" w:rsidRPr="00C605D1" w:rsidRDefault="00F96AE2" w:rsidP="00E756C8">
            <w:pPr>
              <w:pStyle w:val="Heading2"/>
              <w:outlineLvl w:val="1"/>
            </w:pPr>
            <w:r w:rsidRPr="00C605D1">
              <w:t>Opis mjere:</w:t>
            </w:r>
          </w:p>
          <w:p w14:paraId="3427AC28" w14:textId="3358A145" w:rsidR="00815C71" w:rsidRPr="00940218" w:rsidRDefault="00C605D1" w:rsidP="00E756C8">
            <w:pPr>
              <w:pStyle w:val="Heading2"/>
              <w:outlineLvl w:val="1"/>
              <w:rPr>
                <w:highlight w:val="yellow"/>
              </w:rPr>
            </w:pPr>
            <w:r w:rsidRPr="00C605D1">
              <w:t>Nije primjenjivo.</w:t>
            </w:r>
          </w:p>
        </w:tc>
      </w:tr>
      <w:tr w:rsidR="00F96AE2" w:rsidRPr="0077506C" w14:paraId="3BCF4629" w14:textId="77777777" w:rsidTr="00974315">
        <w:tc>
          <w:tcPr>
            <w:tcW w:w="993" w:type="dxa"/>
            <w:shd w:val="clear" w:color="auto" w:fill="FFFFFF" w:themeFill="background1"/>
          </w:tcPr>
          <w:p w14:paraId="4A543E27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1CE14BCA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0A255443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Da/Ne:</w:t>
            </w:r>
          </w:p>
          <w:p w14:paraId="551E3394" w14:textId="535BA512" w:rsidR="00F96AE2" w:rsidRPr="0077506C" w:rsidRDefault="005703B6" w:rsidP="00E756C8">
            <w:pPr>
              <w:pStyle w:val="Heading2"/>
              <w:outlineLvl w:val="1"/>
            </w:pPr>
            <w:r>
              <w:t>DA</w:t>
            </w:r>
          </w:p>
        </w:tc>
        <w:tc>
          <w:tcPr>
            <w:tcW w:w="3232" w:type="dxa"/>
            <w:shd w:val="clear" w:color="auto" w:fill="FFFFFF" w:themeFill="background1"/>
          </w:tcPr>
          <w:p w14:paraId="02AD992C" w14:textId="77777777" w:rsidR="00F96AE2" w:rsidRDefault="00F96AE2" w:rsidP="00E756C8">
            <w:pPr>
              <w:pStyle w:val="Heading2"/>
              <w:outlineLvl w:val="1"/>
            </w:pPr>
            <w:r w:rsidRPr="0077506C">
              <w:t>Naziv pravne stečevine EU:</w:t>
            </w:r>
          </w:p>
          <w:p w14:paraId="58D9EFBF" w14:textId="1D675918" w:rsidR="00940218" w:rsidRPr="0077506C" w:rsidRDefault="005703B6" w:rsidP="00E756C8">
            <w:pPr>
              <w:pStyle w:val="Heading2"/>
              <w:outlineLvl w:val="1"/>
            </w:pPr>
            <w:r>
              <w:t>Regionalna politika i koordinacija strukturnih instrumenata</w:t>
            </w:r>
            <w:r w:rsidR="000E6BCB">
              <w:t xml:space="preserve"> (EU)</w:t>
            </w:r>
          </w:p>
        </w:tc>
      </w:tr>
      <w:tr w:rsidR="00F96AE2" w:rsidRPr="0077506C" w14:paraId="33E0A4BE" w14:textId="77777777" w:rsidTr="00974315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19C36039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2.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74F2F90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ANALIZA POSTOJEĆEG STANJA</w:t>
            </w:r>
          </w:p>
        </w:tc>
      </w:tr>
      <w:tr w:rsidR="00F96AE2" w:rsidRPr="0077506C" w14:paraId="433F6FBC" w14:textId="77777777" w:rsidTr="00974315">
        <w:tc>
          <w:tcPr>
            <w:tcW w:w="993" w:type="dxa"/>
            <w:shd w:val="clear" w:color="auto" w:fill="FFFFFF" w:themeFill="background1"/>
          </w:tcPr>
          <w:p w14:paraId="4C1CE98F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lastRenderedPageBreak/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0C38F94E" w14:textId="77777777" w:rsidR="00F96AE2" w:rsidRPr="0077506C" w:rsidRDefault="00F96AE2" w:rsidP="00E756C8">
            <w:pPr>
              <w:pStyle w:val="Heading2"/>
              <w:outlineLvl w:val="1"/>
            </w:pPr>
            <w:r w:rsidRPr="0077506C">
              <w:t>Što je problem koji zahtjeva izradu ili promjenu zakonodavstva?</w:t>
            </w:r>
          </w:p>
        </w:tc>
        <w:tc>
          <w:tcPr>
            <w:tcW w:w="6346" w:type="dxa"/>
            <w:gridSpan w:val="2"/>
            <w:shd w:val="clear" w:color="auto" w:fill="FFFFFF" w:themeFill="background1"/>
          </w:tcPr>
          <w:p w14:paraId="558DFD68" w14:textId="64A5AB84" w:rsidR="00DA4771" w:rsidRPr="0077506C" w:rsidRDefault="00815C71" w:rsidP="00E756C8">
            <w:pPr>
              <w:pStyle w:val="Heading2"/>
              <w:outlineLvl w:val="1"/>
            </w:pPr>
            <w:r w:rsidRPr="00F949BB">
              <w:rPr>
                <w:sz w:val="24"/>
              </w:rPr>
              <w:t xml:space="preserve">Ulaskom u novu financijsku perspektivu Europske unije za razdoblje od 2021. do 2027., Republici Hrvatskoj će se otvoriti mogućnosti korištenja financijskih sredstava iz </w:t>
            </w:r>
            <w:r w:rsidR="00F949BB" w:rsidRPr="00F949BB">
              <w:rPr>
                <w:sz w:val="24"/>
              </w:rPr>
              <w:t>fondova Unije koji se provode u okviru podijeljenog upravljanja</w:t>
            </w:r>
            <w:r w:rsidR="000F1C82">
              <w:rPr>
                <w:sz w:val="24"/>
              </w:rPr>
              <w:t>³</w:t>
            </w:r>
            <w:r w:rsidR="00F949BB" w:rsidRPr="00F949BB">
              <w:rPr>
                <w:sz w:val="24"/>
              </w:rPr>
              <w:t xml:space="preserve">, mjera koje se financiraju u okviru podijeljenog upravljanja u Europskom fondu za pomorstvo i ribarstvo, Fondu za azil i migracije, Fondu za unutarnju sigurnosti i Fondu za integrirano upravljanje granicama u financijskom razdoblju 2021.-2027. u Republici Hrvatskoj, </w:t>
            </w:r>
            <w:r w:rsidR="00161A7F">
              <w:rPr>
                <w:sz w:val="24"/>
              </w:rPr>
              <w:t xml:space="preserve">a </w:t>
            </w:r>
            <w:r w:rsidR="00F949BB" w:rsidRPr="00F949BB">
              <w:rPr>
                <w:sz w:val="24"/>
              </w:rPr>
              <w:t>sve sukladno Prijedlog</w:t>
            </w:r>
            <w:r w:rsidR="00161A7F">
              <w:rPr>
                <w:sz w:val="24"/>
              </w:rPr>
              <w:t>u</w:t>
            </w:r>
            <w:r w:rsidR="00F949BB" w:rsidRPr="00F949BB">
              <w:rPr>
                <w:sz w:val="24"/>
              </w:rPr>
              <w:t xml:space="preserve"> Uredbe Europskog parlamenta i Vijeća o utvrđivanju zajedničkih odredbi o </w:t>
            </w:r>
          </w:p>
        </w:tc>
      </w:tr>
    </w:tbl>
    <w:p w14:paraId="1352B2D6" w14:textId="0111E22B" w:rsidR="000F1C82" w:rsidRPr="0071467E" w:rsidRDefault="000F1C82" w:rsidP="00E756C8">
      <w:pPr>
        <w:pStyle w:val="Heading2"/>
      </w:pPr>
      <w:r>
        <w:t>¹</w:t>
      </w:r>
      <w:r w:rsidR="009B4844">
        <w:t xml:space="preserve"> </w:t>
      </w:r>
      <w:r w:rsidR="00DE7E8B" w:rsidRPr="0071467E">
        <w:t>Sam naziv nacrta prijedloga Zakona predložen je temeljem prijedloga Uredbe Europskog parlamenta i Vijeća o utvrđivanju zajedničkih odredbi o Europskom fondu za regionalni razvoj (EFRR), Europskom socijalnom fondu plus (ESF+), Kohezijskom fondu (KF) i Europskom fondu za pomorstvo i ribarstvo (EFPR) i financijskih pravila za njih i za Fond za azil i migracije (FAMI), Fond za unutarnju sigurnost (FUS) i Fond za integrirano upravljanje granicama (BMVI). Usvajanje Uredbe za sada je očekivano tijekom 2020. godine, no ovisno je o tijeku pregovora, kao i njezin konačni naziv, koji može utjecati na naziv samog Zakona. Pod fondovima EU obuhvaćeni su gore navedeni fondovi kao i Europski poljoprivredni fond za ruralni razvoj (EAFRD).</w:t>
      </w:r>
    </w:p>
    <w:p w14:paraId="1B5F8CDB" w14:textId="261E3D60" w:rsidR="00DE7E8B" w:rsidRDefault="00DE7E8B" w:rsidP="00E756C8">
      <w:pPr>
        <w:pStyle w:val="Heading2"/>
      </w:pPr>
      <w:r w:rsidRPr="0071467E">
        <w:t>²</w:t>
      </w:r>
      <w:r w:rsidR="009B4844">
        <w:t xml:space="preserve"> </w:t>
      </w:r>
      <w:r w:rsidRPr="0071467E">
        <w:t>Datum upućivanja u proceduru Vlade Republike Hrvatske</w:t>
      </w:r>
    </w:p>
    <w:p w14:paraId="4BD2E0C4" w14:textId="712556BA" w:rsidR="000F1C82" w:rsidRPr="000F1C82" w:rsidRDefault="000F1C82" w:rsidP="00E756C8">
      <w:pPr>
        <w:pStyle w:val="Heading2"/>
      </w:pPr>
      <w:r>
        <w:t>³</w:t>
      </w:r>
      <w:r w:rsidR="009B4844">
        <w:t xml:space="preserve"> </w:t>
      </w:r>
      <w:r w:rsidRPr="0071467E">
        <w:t>Europski fond za regionalni razvoj (EFRR), Kohezijski fond (KF) i Europski socijalni fond plus (ESF</w:t>
      </w: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46"/>
      </w:tblGrid>
      <w:tr w:rsidR="00DE7E8B" w:rsidRPr="0077506C" w14:paraId="6C078539" w14:textId="77777777" w:rsidTr="0071467E">
        <w:tc>
          <w:tcPr>
            <w:tcW w:w="993" w:type="dxa"/>
            <w:shd w:val="clear" w:color="auto" w:fill="FFFFFF" w:themeFill="background1"/>
          </w:tcPr>
          <w:p w14:paraId="5AE5E168" w14:textId="77AF67F5" w:rsidR="00DE7E8B" w:rsidRPr="0077506C" w:rsidRDefault="00DE7E8B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40052700" w14:textId="2BFF2EB4" w:rsidR="00DE7E8B" w:rsidRPr="0077506C" w:rsidRDefault="00DE7E8B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346" w:type="dxa"/>
            <w:shd w:val="clear" w:color="auto" w:fill="FFFFFF" w:themeFill="background1"/>
          </w:tcPr>
          <w:p w14:paraId="49FBEAA5" w14:textId="77777777" w:rsidR="00DE7E8B" w:rsidRDefault="00DE7E8B" w:rsidP="00E756C8">
            <w:pPr>
              <w:pStyle w:val="Heading2"/>
              <w:outlineLvl w:val="1"/>
              <w:rPr>
                <w:sz w:val="24"/>
                <w:szCs w:val="24"/>
              </w:rPr>
            </w:pPr>
            <w:r w:rsidRPr="00F949BB">
              <w:rPr>
                <w:sz w:val="24"/>
                <w:szCs w:val="24"/>
              </w:rPr>
              <w:t>Europskom fondu za regionalni razvoj, Europskom socijalnom fondu plus, Kohezijskom fondu i Europskom fondu za pomorstvo i ribarstvo i financijskih pravila za njih i za Fond za azil i migracije, Fond za unutarnju sigurnost i Instrument za upravljanje granicama i vize od 29. svibnja 2018. godine</w:t>
            </w:r>
            <w:r>
              <w:rPr>
                <w:sz w:val="24"/>
                <w:szCs w:val="24"/>
              </w:rPr>
              <w:t xml:space="preserve"> (u nastavku teksta: prijedlog Uredbe).</w:t>
            </w:r>
          </w:p>
          <w:p w14:paraId="6065A909" w14:textId="77777777" w:rsidR="00DE7E8B" w:rsidRDefault="00DE7E8B" w:rsidP="00E756C8">
            <w:pPr>
              <w:pStyle w:val="Heading2"/>
              <w:outlineLvl w:val="1"/>
              <w:rPr>
                <w:sz w:val="24"/>
                <w:szCs w:val="24"/>
              </w:rPr>
            </w:pPr>
          </w:p>
          <w:p w14:paraId="53C29CD5" w14:textId="37A4D7C2" w:rsidR="00DE7E8B" w:rsidRPr="000F1C82" w:rsidRDefault="00DE7E8B" w:rsidP="00E756C8">
            <w:pPr>
              <w:pStyle w:val="Heading2"/>
              <w:outlineLvl w:val="1"/>
              <w:rPr>
                <w:sz w:val="24"/>
                <w:szCs w:val="24"/>
              </w:rPr>
            </w:pPr>
            <w:r w:rsidRPr="00700FEF">
              <w:rPr>
                <w:sz w:val="24"/>
                <w:szCs w:val="24"/>
              </w:rPr>
              <w:t xml:space="preserve">Budući da u određenim dijelovima </w:t>
            </w:r>
            <w:r>
              <w:rPr>
                <w:sz w:val="24"/>
                <w:szCs w:val="24"/>
              </w:rPr>
              <w:t xml:space="preserve">prijedlog Uredbe </w:t>
            </w:r>
            <w:r w:rsidRPr="00700FEF">
              <w:rPr>
                <w:sz w:val="24"/>
                <w:szCs w:val="24"/>
              </w:rPr>
              <w:t xml:space="preserve">ostavlja državama članicama izbor u pogledu subjekta za kojega stvara prava ili obveze i/ili detaljnog sadržaja tih prava ili obveza, izravna primjena </w:t>
            </w:r>
            <w:r>
              <w:rPr>
                <w:sz w:val="24"/>
                <w:szCs w:val="24"/>
              </w:rPr>
              <w:t>Uredbe</w:t>
            </w:r>
            <w:r w:rsidRPr="00700F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neće biti</w:t>
            </w:r>
            <w:r w:rsidRPr="00700FEF">
              <w:rPr>
                <w:sz w:val="24"/>
                <w:szCs w:val="24"/>
              </w:rPr>
              <w:t xml:space="preserve"> moguća odnosno </w:t>
            </w:r>
            <w:r>
              <w:rPr>
                <w:sz w:val="24"/>
                <w:szCs w:val="24"/>
              </w:rPr>
              <w:t>neće imati</w:t>
            </w:r>
            <w:r w:rsidRPr="00700FEF">
              <w:rPr>
                <w:sz w:val="24"/>
                <w:szCs w:val="24"/>
              </w:rPr>
              <w:t xml:space="preserve"> izravan učinak, pa je nužno navedena područja urediti donošenjem odgovarajućeg propisa. Stoga, Republika Hrvatska kao država članica Europske unije, u svrhu osigurava</w:t>
            </w:r>
            <w:r>
              <w:rPr>
                <w:sz w:val="24"/>
                <w:szCs w:val="24"/>
              </w:rPr>
              <w:t xml:space="preserve">nja provedbe Uredbe, </w:t>
            </w:r>
            <w:r w:rsidRPr="00700FEF">
              <w:rPr>
                <w:sz w:val="24"/>
                <w:szCs w:val="24"/>
              </w:rPr>
              <w:t xml:space="preserve">treba donijeti propis (odnosno Zakon, uzimajući u obzir potrebnu odgovarajuću pravnu snagu) kojim će utvrditi prava i obveze u dijelu normi Uredbe koje nisu jasne, precizne i bezuvjetne. </w:t>
            </w:r>
          </w:p>
        </w:tc>
      </w:tr>
      <w:tr w:rsidR="00F96AE2" w:rsidRPr="0077506C" w14:paraId="190C0491" w14:textId="77777777" w:rsidTr="0071467E">
        <w:tc>
          <w:tcPr>
            <w:tcW w:w="993" w:type="dxa"/>
            <w:shd w:val="clear" w:color="auto" w:fill="FFFFFF" w:themeFill="background1"/>
          </w:tcPr>
          <w:p w14:paraId="73AE4E91" w14:textId="413AF81C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010917A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46" w:type="dxa"/>
            <w:shd w:val="clear" w:color="auto" w:fill="FFFFFF" w:themeFill="background1"/>
          </w:tcPr>
          <w:p w14:paraId="57DE54B3" w14:textId="5FDCE421" w:rsidR="00DE7E8B" w:rsidRDefault="00700FEF" w:rsidP="00E756C8">
            <w:pPr>
              <w:pStyle w:val="Heading2"/>
              <w:outlineLvl w:val="1"/>
              <w:rPr>
                <w:sz w:val="24"/>
                <w:szCs w:val="24"/>
              </w:rPr>
            </w:pPr>
            <w:r w:rsidRPr="006D42CE">
              <w:rPr>
                <w:sz w:val="24"/>
                <w:szCs w:val="24"/>
              </w:rPr>
              <w:t>Ovim se nacrtom prijedloga Zakona, u svrhu provedbe za sada još prijedloga Uredbe Europskog parlamenta i Vijeća o utvrđivanju zajedničkih odredbi o Europskom fondu za regionalni razvoj, Europskom socijalnom fondu plus, Kohezijskom fondu i Europskom fondu za pomorstvo i ribarstvo i financijskih pravila za njih i za Fond za azil i migracije, Fond za unutarnju sigurnost i Instrument za upravljanje granicama i vize od 29. svibnja 2018. godine</w:t>
            </w:r>
            <w:r w:rsidR="009B4844">
              <w:rPr>
                <w:sz w:val="24"/>
                <w:szCs w:val="24"/>
              </w:rPr>
              <w:t xml:space="preserve"> </w:t>
            </w:r>
            <w:r w:rsidR="009B4844" w:rsidRPr="009B4844">
              <w:t>4</w:t>
            </w:r>
            <w:r w:rsidR="009B4844">
              <w:rPr>
                <w:sz w:val="24"/>
                <w:szCs w:val="24"/>
              </w:rPr>
              <w:t xml:space="preserve">, </w:t>
            </w:r>
            <w:r w:rsidR="00DE7E8B" w:rsidRPr="006D42CE">
              <w:rPr>
                <w:sz w:val="24"/>
                <w:szCs w:val="24"/>
              </w:rPr>
              <w:t xml:space="preserve">uspostavlja institucionalni okvir za upravljanje i provedbu navedenih fondova Unije, </w:t>
            </w:r>
            <w:r w:rsidR="00DE7E8B">
              <w:rPr>
                <w:sz w:val="24"/>
                <w:szCs w:val="24"/>
              </w:rPr>
              <w:t>utvrđuju vrste tijela u institucionalnom okviru, te nadležnosti, odnosno funkcije i odgovornosti krovnih institucija (koordinacijskog tijela i tijela za reviziju) u samom institucionalnom okviru, dok će nadležnosti, odnosno funkcije i odgovornosti tijela u sustavima upravljanja i kontrole biti predmetom odgovarajućih provedbenih propisa.</w:t>
            </w:r>
          </w:p>
          <w:p w14:paraId="54DC0DD8" w14:textId="0550458D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71467E" w:rsidRPr="0077506C" w14:paraId="2F7CB05A" w14:textId="77777777" w:rsidTr="0071467E">
        <w:tblPrEx>
          <w:shd w:val="clear" w:color="auto" w:fill="auto"/>
        </w:tblPrEx>
        <w:trPr>
          <w:trHeight w:val="858"/>
        </w:trPr>
        <w:tc>
          <w:tcPr>
            <w:tcW w:w="993" w:type="dxa"/>
          </w:tcPr>
          <w:p w14:paraId="2D683CD3" w14:textId="77777777" w:rsidR="0071467E" w:rsidRPr="0077506C" w:rsidRDefault="0071467E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</w:tcPr>
          <w:p w14:paraId="12F237FB" w14:textId="77777777" w:rsidR="0071467E" w:rsidRPr="0077506C" w:rsidRDefault="0071467E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46" w:type="dxa"/>
          </w:tcPr>
          <w:p w14:paraId="715A5D0A" w14:textId="77777777" w:rsidR="0071467E" w:rsidRDefault="0071467E" w:rsidP="00E756C8">
            <w:pPr>
              <w:pStyle w:val="Heading2"/>
              <w:outlineLvl w:val="1"/>
              <w:rPr>
                <w:szCs w:val="24"/>
              </w:rPr>
            </w:pPr>
            <w:r>
              <w:rPr>
                <w:szCs w:val="24"/>
              </w:rPr>
              <w:t>Izrada nacrta prijedloga Zakona predstavlja osnovni preduvjet za korištenje alokacija koje će biti dodijeljene Republici Hrvatskoj u financijskom razdoblju 2021.-2027., odnosno za uspostavu i funkcioniranje institucionalnog okvira odnosno odgovarajućih sustava upravljanja i kontrole kroz provedbene propise.</w:t>
            </w:r>
          </w:p>
          <w:p w14:paraId="32B04610" w14:textId="77777777" w:rsidR="0071467E" w:rsidRPr="0077506C" w:rsidRDefault="0071467E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71467E" w:rsidRPr="0077506C" w14:paraId="63CBF890" w14:textId="77777777" w:rsidTr="00610637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03184190" w14:textId="77777777" w:rsidR="0071467E" w:rsidRPr="0077506C" w:rsidRDefault="0071467E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02" w:type="dxa"/>
            <w:gridSpan w:val="2"/>
            <w:shd w:val="clear" w:color="auto" w:fill="FFFFFF" w:themeFill="background1"/>
          </w:tcPr>
          <w:p w14:paraId="5497EF81" w14:textId="77777777" w:rsidR="0071467E" w:rsidRPr="0077506C" w:rsidRDefault="0071467E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0F1C82" w:rsidRPr="0077506C" w14:paraId="2D074B19" w14:textId="77777777" w:rsidTr="00610637">
        <w:tc>
          <w:tcPr>
            <w:tcW w:w="993" w:type="dxa"/>
            <w:shd w:val="clear" w:color="auto" w:fill="FFFFFF" w:themeFill="background1"/>
          </w:tcPr>
          <w:p w14:paraId="7DA400CB" w14:textId="77777777" w:rsidR="000F1C82" w:rsidRPr="0077506C" w:rsidRDefault="000F1C8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17BF62A9" w14:textId="77777777" w:rsidR="000F1C82" w:rsidRPr="0077506C" w:rsidRDefault="000F1C8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46" w:type="dxa"/>
            <w:shd w:val="clear" w:color="auto" w:fill="FFFFFF" w:themeFill="background1"/>
          </w:tcPr>
          <w:p w14:paraId="2438AB10" w14:textId="2F18B335" w:rsidR="000F1C82" w:rsidRPr="008B46F6" w:rsidRDefault="000F1C82" w:rsidP="00E756C8">
            <w:pPr>
              <w:pStyle w:val="Heading2"/>
              <w:outlineLvl w:val="1"/>
            </w:pPr>
            <w:r>
              <w:t xml:space="preserve">Nacrtom prijedloga Zakona utvrdit će se i uspostavit institucionalni okvir za </w:t>
            </w:r>
            <w:r>
              <w:rPr>
                <w:szCs w:val="24"/>
              </w:rPr>
              <w:t>provedbu fondova Unije koji će se provoditi u Republici Hrvatskoj u okviru podijeljenog upravljanja</w:t>
            </w:r>
            <w:r w:rsidR="009B4844">
              <w:rPr>
                <w:szCs w:val="24"/>
              </w:rPr>
              <w:t xml:space="preserve"> </w:t>
            </w:r>
            <w:r w:rsidRPr="009B4844">
              <w:rPr>
                <w:sz w:val="18"/>
                <w:szCs w:val="18"/>
              </w:rPr>
              <w:t>5</w:t>
            </w:r>
            <w:r>
              <w:rPr>
                <w:szCs w:val="24"/>
              </w:rPr>
              <w:t>, mjera koje se financiraju u okviru podijeljenog upravljanja u Europskom fondu za pomorstvo i ribarstvo, Fondu</w:t>
            </w:r>
          </w:p>
        </w:tc>
      </w:tr>
    </w:tbl>
    <w:p w14:paraId="39D200F5" w14:textId="77777777" w:rsidR="000F1C82" w:rsidRDefault="000F1C82" w:rsidP="00E756C8">
      <w:pPr>
        <w:pStyle w:val="Heading2"/>
      </w:pPr>
    </w:p>
    <w:p w14:paraId="25729402" w14:textId="09E60460" w:rsidR="000F1C82" w:rsidRDefault="009B4844" w:rsidP="00E756C8">
      <w:pPr>
        <w:pStyle w:val="Heading2"/>
      </w:pPr>
      <w:r w:rsidRPr="0066494A">
        <w:rPr>
          <w:sz w:val="18"/>
          <w:szCs w:val="18"/>
        </w:rPr>
        <w:t>4</w:t>
      </w:r>
      <w:r>
        <w:t xml:space="preserve"> </w:t>
      </w:r>
      <w:r w:rsidR="00DE7E8B" w:rsidRPr="0071467E">
        <w:t>Indikativni datum usvajanje predmetne Uredbe je svibanj 2019. međutim isto ovisi o tijeku pregovora.</w:t>
      </w:r>
    </w:p>
    <w:p w14:paraId="67055390" w14:textId="48BF2D70" w:rsidR="000F1C82" w:rsidRDefault="000F1C82" w:rsidP="00E756C8">
      <w:pPr>
        <w:pStyle w:val="Heading2"/>
      </w:pPr>
      <w:r w:rsidRPr="009B4844">
        <w:rPr>
          <w:sz w:val="18"/>
          <w:szCs w:val="18"/>
        </w:rPr>
        <w:t>5</w:t>
      </w:r>
      <w:r w:rsidRPr="0071467E">
        <w:t xml:space="preserve"> Europski fond za regionalni razvoj (EFRR), Kohezijski fond (KF) i Europski socijalni fond plus (ESF+)</w:t>
      </w:r>
    </w:p>
    <w:p w14:paraId="6A8A3994" w14:textId="77777777" w:rsidR="009B4844" w:rsidRDefault="009B4844" w:rsidP="00E756C8">
      <w:pPr>
        <w:pStyle w:val="Heading2"/>
      </w:pP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46"/>
      </w:tblGrid>
      <w:tr w:rsidR="00F96AE2" w:rsidRPr="0077506C" w14:paraId="4C2A1A4B" w14:textId="77777777" w:rsidTr="00974315">
        <w:tc>
          <w:tcPr>
            <w:tcW w:w="993" w:type="dxa"/>
            <w:shd w:val="clear" w:color="auto" w:fill="FFFFFF" w:themeFill="background1"/>
          </w:tcPr>
          <w:p w14:paraId="5844DD83" w14:textId="73805D78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bookmarkStart w:id="0" w:name="_Hlk19533974"/>
          </w:p>
        </w:tc>
        <w:tc>
          <w:tcPr>
            <w:tcW w:w="2556" w:type="dxa"/>
            <w:shd w:val="clear" w:color="auto" w:fill="FFFFFF" w:themeFill="background1"/>
          </w:tcPr>
          <w:p w14:paraId="64F2D00A" w14:textId="5C29E5C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346" w:type="dxa"/>
            <w:shd w:val="clear" w:color="auto" w:fill="FFFFFF" w:themeFill="background1"/>
          </w:tcPr>
          <w:p w14:paraId="52240D96" w14:textId="4681EAE0" w:rsidR="00F96AE2" w:rsidRPr="008B46F6" w:rsidRDefault="007743E6" w:rsidP="00E756C8">
            <w:pPr>
              <w:pStyle w:val="Heading2"/>
              <w:outlineLvl w:val="1"/>
            </w:pPr>
            <w:r>
              <w:rPr>
                <w:szCs w:val="24"/>
              </w:rPr>
              <w:t xml:space="preserve">za azil i migracije, Fondu za unutarnju sigurnosti i Fondu za integrirano upravljanje granicama u financijskom razdoblju 2021.-2027. </w:t>
            </w:r>
          </w:p>
        </w:tc>
      </w:tr>
      <w:bookmarkEnd w:id="0"/>
      <w:tr w:rsidR="00F96AE2" w:rsidRPr="0077506C" w14:paraId="01D7EEEF" w14:textId="77777777" w:rsidTr="00974315">
        <w:tc>
          <w:tcPr>
            <w:tcW w:w="993" w:type="dxa"/>
            <w:shd w:val="clear" w:color="auto" w:fill="FFFFFF" w:themeFill="background1"/>
          </w:tcPr>
          <w:p w14:paraId="063F912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4FB154B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46" w:type="dxa"/>
            <w:shd w:val="clear" w:color="auto" w:fill="FFFFFF" w:themeFill="background1"/>
          </w:tcPr>
          <w:p w14:paraId="45EEBBE6" w14:textId="4F3237A8" w:rsidR="008905D1" w:rsidRDefault="008905D1" w:rsidP="00E756C8">
            <w:pPr>
              <w:pStyle w:val="Heading2"/>
              <w:outlineLvl w:val="1"/>
            </w:pPr>
            <w:r>
              <w:t>Nacrtom prijedloga Zakona</w:t>
            </w:r>
            <w:r w:rsidR="008B46F6">
              <w:t xml:space="preserve"> utvrđuju</w:t>
            </w:r>
            <w:r>
              <w:t xml:space="preserve"> se</w:t>
            </w:r>
            <w:r w:rsidR="008B46F6">
              <w:t xml:space="preserve"> tijela institucionalnog okvira te institucije koje obavljaju funkcije </w:t>
            </w:r>
            <w:r w:rsidR="00DF59A9">
              <w:t>u istome.</w:t>
            </w:r>
          </w:p>
          <w:p w14:paraId="2C8D8E7D" w14:textId="77777777" w:rsidR="008905D1" w:rsidRDefault="008905D1" w:rsidP="00E756C8">
            <w:pPr>
              <w:pStyle w:val="Heading2"/>
              <w:outlineLvl w:val="1"/>
            </w:pPr>
          </w:p>
          <w:p w14:paraId="610B1956" w14:textId="42B89279" w:rsidR="00F96AE2" w:rsidRPr="0077506C" w:rsidRDefault="008B46F6" w:rsidP="00E756C8">
            <w:pPr>
              <w:pStyle w:val="Heading2"/>
              <w:outlineLvl w:val="1"/>
              <w:rPr>
                <w:szCs w:val="24"/>
              </w:rPr>
            </w:pPr>
            <w:r>
              <w:t xml:space="preserve">Temeljem predloženog zakonodavnog okvira, Vlada Republike Hrvatske će donijeti podzakonske propise, u obliku Uredbi, kojima će se razraditi Zakonom utvrđena prava i obveze, odnosno tijelima utvrđenim Zakonom dodijelit će se specifične funkcije u sustavima upravljanja i kontrole </w:t>
            </w:r>
            <w:r w:rsidR="008905D1">
              <w:t>programa fondova Unije financijskog razdoblja</w:t>
            </w:r>
            <w:r>
              <w:t xml:space="preserve"> </w:t>
            </w:r>
            <w:r w:rsidR="008905D1">
              <w:t>2021.-2027.</w:t>
            </w:r>
          </w:p>
        </w:tc>
      </w:tr>
      <w:tr w:rsidR="00F96AE2" w:rsidRPr="0077506C" w14:paraId="3783A234" w14:textId="77777777" w:rsidTr="00974315">
        <w:tc>
          <w:tcPr>
            <w:tcW w:w="993" w:type="dxa"/>
            <w:shd w:val="clear" w:color="auto" w:fill="FFFFFF" w:themeFill="background1"/>
          </w:tcPr>
          <w:p w14:paraId="53F5EF8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1CF2404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46" w:type="dxa"/>
            <w:shd w:val="clear" w:color="auto" w:fill="FFFFFF" w:themeFill="background1"/>
          </w:tcPr>
          <w:p w14:paraId="14987315" w14:textId="2DD61ABE" w:rsidR="00F96AE2" w:rsidRPr="0077506C" w:rsidRDefault="008B46F6" w:rsidP="00E756C8">
            <w:pPr>
              <w:pStyle w:val="Heading2"/>
              <w:outlineLvl w:val="1"/>
              <w:rPr>
                <w:szCs w:val="24"/>
              </w:rPr>
            </w:pPr>
            <w:r>
              <w:rPr>
                <w:szCs w:val="24"/>
              </w:rPr>
              <w:t>Sedmogodišnja perspektiva Europske unije, odnosno 2021.-2027. godina.</w:t>
            </w:r>
          </w:p>
        </w:tc>
      </w:tr>
      <w:tr w:rsidR="00F96AE2" w:rsidRPr="0077506C" w14:paraId="576E39CE" w14:textId="77777777" w:rsidTr="00974315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4FF279D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02" w:type="dxa"/>
            <w:gridSpan w:val="2"/>
            <w:shd w:val="clear" w:color="auto" w:fill="FFFFFF" w:themeFill="background1"/>
          </w:tcPr>
          <w:p w14:paraId="2439C60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14:paraId="7F755FBE" w14:textId="77777777" w:rsidTr="00974315">
        <w:tc>
          <w:tcPr>
            <w:tcW w:w="993" w:type="dxa"/>
            <w:vMerge w:val="restart"/>
            <w:shd w:val="clear" w:color="auto" w:fill="FFFFFF" w:themeFill="background1"/>
          </w:tcPr>
          <w:p w14:paraId="3AAC701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0454536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46" w:type="dxa"/>
            <w:shd w:val="clear" w:color="auto" w:fill="FFFFFF" w:themeFill="background1"/>
          </w:tcPr>
          <w:p w14:paraId="320F9F3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0F568B51" w14:textId="77777777" w:rsidR="00F96AE2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1C5B8E78" w14:textId="41405BDF" w:rsidR="008905D1" w:rsidRPr="0077506C" w:rsidRDefault="008905D1" w:rsidP="00E756C8">
            <w:pPr>
              <w:pStyle w:val="Heading2"/>
              <w:outlineLvl w:val="1"/>
              <w:rPr>
                <w:szCs w:val="24"/>
              </w:rPr>
            </w:pPr>
            <w:r>
              <w:rPr>
                <w:szCs w:val="24"/>
              </w:rPr>
              <w:t>Donošenje novog Zakona o uspostavi institucionalnog okvira</w:t>
            </w:r>
          </w:p>
        </w:tc>
      </w:tr>
      <w:tr w:rsidR="00F96AE2" w:rsidRPr="0077506C" w14:paraId="4D544389" w14:textId="77777777" w:rsidTr="00974315">
        <w:tc>
          <w:tcPr>
            <w:tcW w:w="993" w:type="dxa"/>
            <w:vMerge/>
            <w:shd w:val="clear" w:color="auto" w:fill="FFFFFF" w:themeFill="background1"/>
          </w:tcPr>
          <w:p w14:paraId="54E6E72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2"/>
            <w:shd w:val="clear" w:color="auto" w:fill="FFFFFF" w:themeFill="background1"/>
          </w:tcPr>
          <w:p w14:paraId="393F533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63F3690C" w14:textId="061466F2" w:rsidR="000E67A8" w:rsidRDefault="008905D1" w:rsidP="00E756C8">
            <w:pPr>
              <w:pStyle w:val="Heading2"/>
              <w:outlineLvl w:val="1"/>
              <w:rPr>
                <w:szCs w:val="24"/>
              </w:rPr>
            </w:pPr>
            <w:r w:rsidRPr="000E67A8">
              <w:rPr>
                <w:szCs w:val="24"/>
              </w:rPr>
              <w:t xml:space="preserve">Zakon o institucionalnom okviru za provedbu europskih strukturnih i investicijskih fondova </w:t>
            </w:r>
            <w:r w:rsidR="00512BB9" w:rsidRPr="000E67A8">
              <w:rPr>
                <w:szCs w:val="24"/>
              </w:rPr>
              <w:t>u Republici Hrvatskoj u razdoblju 2014.-2020. (Narodne novine, broj: 92/14)</w:t>
            </w:r>
            <w:r w:rsidR="000E67A8" w:rsidRPr="000E67A8">
              <w:rPr>
                <w:szCs w:val="24"/>
              </w:rPr>
              <w:t xml:space="preserve"> odnosni se na provedbu Uredbe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 od 11. srpnja 2006. (SL L 347, 20. 12. 2013.), </w:t>
            </w:r>
            <w:r w:rsidR="00BC0D3A">
              <w:rPr>
                <w:szCs w:val="24"/>
              </w:rPr>
              <w:t>uspostavlja</w:t>
            </w:r>
            <w:r w:rsidR="000E67A8" w:rsidRPr="000E67A8">
              <w:rPr>
                <w:szCs w:val="24"/>
              </w:rPr>
              <w:t xml:space="preserve"> institucionalni okvir za upravljanje i provedbu europskih strukturnih i investicijskih fondova u Republici Hrvatskoj u financijskom razdoblju 2014. – 2020. (u daljnjem tekstu: ESI fondovi), određene su institucije koje obavljaju funkcije Koordinacijskog tijela za upravljanje ESI fondovima i Neovisnog revizijskog tijela te njihove funkcije i odgovornosti. </w:t>
            </w:r>
          </w:p>
          <w:p w14:paraId="23BE1D68" w14:textId="0A0CA064" w:rsidR="000E67A8" w:rsidRDefault="000E67A8" w:rsidP="00E756C8">
            <w:pPr>
              <w:pStyle w:val="Heading2"/>
              <w:outlineLvl w:val="1"/>
              <w:rPr>
                <w:szCs w:val="24"/>
              </w:rPr>
            </w:pPr>
          </w:p>
          <w:p w14:paraId="4D68ECE1" w14:textId="2ECABD0E" w:rsidR="000E67A8" w:rsidRPr="000E67A8" w:rsidRDefault="000E67A8" w:rsidP="00E756C8">
            <w:pPr>
              <w:pStyle w:val="Heading2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Ulaskom u novu financijsku perspektivu 2021.-2027., na snagu će stupiti nova Uredba Europskog parlamenta i Vijeća o </w:t>
            </w:r>
            <w:r w:rsidRPr="006D42CE">
              <w:rPr>
                <w:szCs w:val="24"/>
              </w:rPr>
              <w:t>utvrđivanju zajedničkih odredbi o Europskom fondu za regionalni razvoj, Europskom socijalnom fondu plus, Kohezijskom fondu i Europskom fondu za pomorstvo i ribarstvo i financijskih pravila za njih i za Fond za azil i migracije, Fond za unutarnju sigurnost i Instrument za upravljanje granicama i vize</w:t>
            </w:r>
            <w:r w:rsidRPr="00E6690C">
              <w:rPr>
                <w:szCs w:val="24"/>
              </w:rPr>
              <w:t xml:space="preserve">. </w:t>
            </w:r>
            <w:r w:rsidRPr="00331AD3">
              <w:rPr>
                <w:szCs w:val="24"/>
              </w:rPr>
              <w:t>Europski poljoprivredni fond za ruralni razvoj više neće biti dio opće Uredb</w:t>
            </w:r>
            <w:r w:rsidR="00417C14" w:rsidRPr="00331AD3">
              <w:rPr>
                <w:szCs w:val="24"/>
              </w:rPr>
              <w:t>e</w:t>
            </w:r>
            <w:r w:rsidR="00D0380F">
              <w:rPr>
                <w:szCs w:val="24"/>
              </w:rPr>
              <w:t xml:space="preserve">, međutim ostaje dijelom </w:t>
            </w:r>
            <w:r w:rsidR="00417C14" w:rsidRPr="00331AD3">
              <w:rPr>
                <w:szCs w:val="24"/>
              </w:rPr>
              <w:t xml:space="preserve">institucionalnog okvira za provedbu fondova Unije. </w:t>
            </w:r>
            <w:r w:rsidR="00417C14" w:rsidRPr="00E6690C">
              <w:rPr>
                <w:szCs w:val="24"/>
              </w:rPr>
              <w:t>Izvjesno j</w:t>
            </w:r>
            <w:r w:rsidR="00417C14" w:rsidRPr="00F65BAA">
              <w:rPr>
                <w:szCs w:val="24"/>
              </w:rPr>
              <w:t>e da će uslijed promjene regulative i investicijskih ciljeva i načela, s</w:t>
            </w:r>
            <w:r w:rsidRPr="00F65BAA">
              <w:rPr>
                <w:szCs w:val="24"/>
              </w:rPr>
              <w:t>truktura</w:t>
            </w:r>
            <w:r w:rsidRPr="00F355C0">
              <w:rPr>
                <w:szCs w:val="24"/>
              </w:rPr>
              <w:t xml:space="preserve"> i broj (operativnih) programa biti </w:t>
            </w:r>
            <w:r w:rsidR="000F1C82" w:rsidRPr="000F1C82">
              <w:rPr>
                <w:szCs w:val="24"/>
              </w:rPr>
              <w:t>drugačija od one u financijskom razdoblju 2014.-2020., a samim time i nadležnosti, odnosno funkcije i odgovornosti tijela u institucionalnom okviru te tijela u sustavima upravljanja i kontrole. Uslijed svega navedenog, kao i činjenice da su prethodne dvije financijske perspektive (2007.-2013. i 2014.-2020.) imale odgovarajuće zakone, potrebno je donijeti novi Zakon o uspostavi institucionalnog okvira.</w:t>
            </w:r>
          </w:p>
        </w:tc>
      </w:tr>
    </w:tbl>
    <w:p w14:paraId="2E17B8AB" w14:textId="77777777" w:rsidR="0071467E" w:rsidRDefault="0071467E" w:rsidP="00E756C8">
      <w:pPr>
        <w:pStyle w:val="Heading2"/>
      </w:pPr>
    </w:p>
    <w:p w14:paraId="1671687E" w14:textId="77777777" w:rsidR="000F1C82" w:rsidRDefault="000F1C82" w:rsidP="00E756C8">
      <w:pPr>
        <w:pStyle w:val="Heading2"/>
      </w:pPr>
      <w:r>
        <w:br w:type="page"/>
      </w: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1276"/>
        <w:gridCol w:w="992"/>
        <w:gridCol w:w="964"/>
      </w:tblGrid>
      <w:tr w:rsidR="00F96AE2" w:rsidRPr="0077506C" w14:paraId="4671718F" w14:textId="77777777" w:rsidTr="00C86713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4AFC9C5" w14:textId="788C87BC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56DC4CB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46" w:type="dxa"/>
            <w:gridSpan w:val="4"/>
            <w:shd w:val="clear" w:color="auto" w:fill="FFFFFF" w:themeFill="background1"/>
          </w:tcPr>
          <w:p w14:paraId="5C78645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14:paraId="11AD7515" w14:textId="4B981146" w:rsidR="00F96AE2" w:rsidRPr="0077506C" w:rsidRDefault="000E67A8" w:rsidP="00E756C8">
            <w:pPr>
              <w:pStyle w:val="Heading2"/>
              <w:outlineLvl w:val="1"/>
              <w:rPr>
                <w:szCs w:val="24"/>
              </w:rPr>
            </w:pPr>
            <w:r>
              <w:rPr>
                <w:szCs w:val="24"/>
              </w:rPr>
              <w:t>Nije primjenjivo.</w:t>
            </w:r>
          </w:p>
        </w:tc>
      </w:tr>
      <w:tr w:rsidR="00F96AE2" w:rsidRPr="0077506C" w14:paraId="55582598" w14:textId="77777777" w:rsidTr="00C86713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091E470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366E4840" w14:textId="77777777" w:rsidR="00F96AE2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0E25737C" w14:textId="38F6E4D2" w:rsidR="00417C14" w:rsidRDefault="00417C14" w:rsidP="00E756C8">
            <w:pPr>
              <w:pStyle w:val="Heading2"/>
              <w:outlineLvl w:val="1"/>
              <w:rPr>
                <w:sz w:val="24"/>
                <w:szCs w:val="24"/>
              </w:rPr>
            </w:pPr>
            <w:r w:rsidRPr="00F949BB">
              <w:rPr>
                <w:sz w:val="24"/>
                <w:szCs w:val="24"/>
              </w:rPr>
              <w:t>Ulaskom u novu financijsku perspektivu Europske unije za razdoblje od 2021. do 2027., Republici Hrvatskoj će se otvoriti mogućnosti korištenja financijskih sredstava iz fondova Unije koji se provode u okviru podijeljenog upravljanja</w:t>
            </w:r>
            <w:r w:rsidR="00536EC7">
              <w:rPr>
                <w:sz w:val="24"/>
                <w:szCs w:val="24"/>
              </w:rPr>
              <w:t xml:space="preserve"> </w:t>
            </w:r>
            <w:r w:rsidR="00536EC7" w:rsidRPr="009B4844">
              <w:rPr>
                <w:sz w:val="18"/>
                <w:szCs w:val="18"/>
              </w:rPr>
              <w:t>6</w:t>
            </w:r>
            <w:r w:rsidRPr="00F949BB">
              <w:rPr>
                <w:sz w:val="24"/>
                <w:szCs w:val="24"/>
              </w:rPr>
              <w:t>, mjera koje se financiraju u okviru podijeljenog upravljanja u Europskom fondu za pomorstvo i ribarstvo, Fondu za azil i migracije, Fondu za unutarnju sigurnosti i Fondu za integrirano upravljanje granicama u financijskom razdoblju 2021.-2027. u Republici Hrvatskoj, sve sukladno Prijedlogom Uredbe Europskog parlamenta i Vijeća o utvrđivanju zajedničkih odredbi o Europskom fondu za regionalni razvoj, Europskom socijalnom fondu plus, Kohezijskom fondu i Europskom fondu za pomorstvo i ribarstvo i financijskih pravila za njih i za Fond za azil i migracije, Fond za unutarnju sigurnost i Instrument za upravljanje granicama i vize od 29. svibnja 2018. godine</w:t>
            </w:r>
            <w:r>
              <w:rPr>
                <w:sz w:val="24"/>
                <w:szCs w:val="24"/>
              </w:rPr>
              <w:t xml:space="preserve"> (u nastavku teksta: prijedlog Uredbe).</w:t>
            </w:r>
          </w:p>
          <w:p w14:paraId="42FC8685" w14:textId="77777777" w:rsidR="0053340B" w:rsidRDefault="0053340B" w:rsidP="00E756C8">
            <w:pPr>
              <w:pStyle w:val="Heading2"/>
              <w:outlineLvl w:val="1"/>
              <w:rPr>
                <w:sz w:val="24"/>
                <w:szCs w:val="24"/>
              </w:rPr>
            </w:pPr>
          </w:p>
          <w:p w14:paraId="0148418E" w14:textId="77777777" w:rsidR="00860F96" w:rsidRPr="00860F96" w:rsidRDefault="00417C14" w:rsidP="00E756C8">
            <w:pPr>
              <w:pStyle w:val="Heading2"/>
              <w:outlineLvl w:val="1"/>
              <w:rPr>
                <w:sz w:val="24"/>
                <w:szCs w:val="24"/>
              </w:rPr>
            </w:pPr>
            <w:r w:rsidRPr="00700FEF">
              <w:rPr>
                <w:sz w:val="24"/>
                <w:szCs w:val="24"/>
              </w:rPr>
              <w:t xml:space="preserve">Budući da u određenim dijelovima </w:t>
            </w:r>
            <w:r>
              <w:rPr>
                <w:sz w:val="24"/>
                <w:szCs w:val="24"/>
              </w:rPr>
              <w:t xml:space="preserve">prijedlog Uredbe </w:t>
            </w:r>
            <w:r w:rsidRPr="00700FEF">
              <w:rPr>
                <w:sz w:val="24"/>
                <w:szCs w:val="24"/>
              </w:rPr>
              <w:t xml:space="preserve">ostavlja državama članicama izbor u pogledu subjekta za kojega stvara prava ili obveze i/ili detaljnog sadržaja tih prava ili obveza, izravna primjena </w:t>
            </w:r>
            <w:r>
              <w:rPr>
                <w:sz w:val="24"/>
                <w:szCs w:val="24"/>
              </w:rPr>
              <w:t>Uredbe</w:t>
            </w:r>
            <w:r w:rsidRPr="00700F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neće biti</w:t>
            </w:r>
            <w:r w:rsidRPr="00700FEF">
              <w:rPr>
                <w:sz w:val="24"/>
                <w:szCs w:val="24"/>
              </w:rPr>
              <w:t xml:space="preserve"> moguća odnosno </w:t>
            </w:r>
            <w:r>
              <w:rPr>
                <w:sz w:val="24"/>
                <w:szCs w:val="24"/>
              </w:rPr>
              <w:t>neće imati</w:t>
            </w:r>
            <w:r w:rsidRPr="00700FEF">
              <w:rPr>
                <w:sz w:val="24"/>
                <w:szCs w:val="24"/>
              </w:rPr>
              <w:t xml:space="preserve"> izravan učinak, pa je nužno navedena područja urediti donošenjem odgovarajućeg propisa. Stoga, Republika Hrvatska kao država članica Europske unije, u svrhu osigurava</w:t>
            </w:r>
            <w:r>
              <w:rPr>
                <w:sz w:val="24"/>
                <w:szCs w:val="24"/>
              </w:rPr>
              <w:t xml:space="preserve">nja provedbe Uredbe, </w:t>
            </w:r>
            <w:r w:rsidRPr="00700FEF">
              <w:rPr>
                <w:sz w:val="24"/>
                <w:szCs w:val="24"/>
              </w:rPr>
              <w:t xml:space="preserve">treba donijeti propis (odnosno Zakon, uzimajući u obzir potrebnu odgovarajuću pravnu snagu) kojim će utvrditi prava i obveze u dijelu normi Uredbe koje nisu jasne, precizne i bezuvjetne. </w:t>
            </w:r>
            <w:r w:rsidR="00860F96" w:rsidRPr="00860F96">
              <w:rPr>
                <w:sz w:val="24"/>
                <w:szCs w:val="24"/>
              </w:rPr>
              <w:t xml:space="preserve">Istovremeno, potrebno je osigurati kroz institucionalni okvir koordinacijske mehanizme na nacionalnoj razini između EU fondova, uključujući i Europski poljoprivredni fond za ruralni razvoj. </w:t>
            </w:r>
          </w:p>
          <w:p w14:paraId="6996B2D9" w14:textId="2E677FD7" w:rsidR="00417C14" w:rsidRPr="0053340B" w:rsidRDefault="00417C14" w:rsidP="00E756C8">
            <w:pPr>
              <w:pStyle w:val="Heading2"/>
              <w:outlineLvl w:val="1"/>
              <w:rPr>
                <w:sz w:val="24"/>
                <w:szCs w:val="24"/>
              </w:rPr>
            </w:pPr>
          </w:p>
        </w:tc>
      </w:tr>
      <w:tr w:rsidR="00F96AE2" w:rsidRPr="0077506C" w14:paraId="7680B539" w14:textId="77777777" w:rsidTr="00C86713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31A70E3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70DA01B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14:paraId="0BAD1052" w14:textId="77777777" w:rsidTr="00C8671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42B553B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158EDF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14:paraId="621614F8" w14:textId="77777777" w:rsidTr="00C8671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0957BE2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25D58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3"/>
            <w:shd w:val="clear" w:color="auto" w:fill="FFFFFF" w:themeFill="background1"/>
          </w:tcPr>
          <w:p w14:paraId="747C5D59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0E271CAA" w14:textId="77777777" w:rsidTr="00C86713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42F4ED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5EFE19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E887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08B62DE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64" w:type="dxa"/>
            <w:shd w:val="clear" w:color="auto" w:fill="FFFFFF" w:themeFill="background1"/>
          </w:tcPr>
          <w:p w14:paraId="500C97C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47AF7B58" w14:textId="77777777" w:rsidTr="00C86713">
        <w:trPr>
          <w:trHeight w:val="617"/>
        </w:trPr>
        <w:tc>
          <w:tcPr>
            <w:tcW w:w="993" w:type="dxa"/>
            <w:vMerge/>
            <w:shd w:val="clear" w:color="auto" w:fill="FFFFFF" w:themeFill="background1"/>
          </w:tcPr>
          <w:p w14:paraId="0D834CC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0125F9F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F23F23" w14:textId="77777777" w:rsidR="00F96AE2" w:rsidRPr="0077506C" w:rsidRDefault="00F96AE2" w:rsidP="00E756C8">
            <w:pPr>
              <w:pStyle w:val="Heading2"/>
              <w:outlineLvl w:val="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706CD81D" w14:textId="77777777" w:rsidR="00F96AE2" w:rsidRPr="0077506C" w:rsidRDefault="00F96AE2" w:rsidP="00E756C8">
            <w:pPr>
              <w:pStyle w:val="Heading2"/>
              <w:outlineLvl w:val="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64" w:type="dxa"/>
            <w:shd w:val="clear" w:color="auto" w:fill="FFFFFF" w:themeFill="background1"/>
          </w:tcPr>
          <w:p w14:paraId="1AABB0EF" w14:textId="77777777" w:rsidR="00F96AE2" w:rsidRPr="0077506C" w:rsidRDefault="00F96AE2" w:rsidP="00E756C8">
            <w:pPr>
              <w:pStyle w:val="Heading2"/>
              <w:outlineLvl w:val="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10A335F0" w14:textId="77777777" w:rsidTr="00C8671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1BB37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BC1980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shd w:val="clear" w:color="auto" w:fill="FFFFFF" w:themeFill="background1"/>
          </w:tcPr>
          <w:p w14:paraId="7CF31C29" w14:textId="72EC30C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58C5166" w14:textId="6922A6B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331AD3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shd w:val="clear" w:color="auto" w:fill="FFFFFF" w:themeFill="background1"/>
          </w:tcPr>
          <w:p w14:paraId="431B7D50" w14:textId="395031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44F0E101" w14:textId="77777777" w:rsidTr="00C8671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5903C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1F340C9" w14:textId="7777777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shd w:val="clear" w:color="auto" w:fill="FFFFFF" w:themeFill="background1"/>
          </w:tcPr>
          <w:p w14:paraId="7C094824" w14:textId="5362421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B218737" w14:textId="1879F95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shd w:val="clear" w:color="auto" w:fill="FFFFFF" w:themeFill="background1"/>
          </w:tcPr>
          <w:p w14:paraId="204CFF75" w14:textId="5495AED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741C02ED" w14:textId="77777777" w:rsidTr="00C8671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F4B15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4519F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30323FA" w14:textId="3B2C539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A880D94" w14:textId="1A5FFC0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shd w:val="clear" w:color="auto" w:fill="FFFFFF" w:themeFill="background1"/>
          </w:tcPr>
          <w:p w14:paraId="007DC5DB" w14:textId="0D6104B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4AAE606C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3D402B7F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</w:tcPr>
          <w:p w14:paraId="61D16B2B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</w:tcPr>
          <w:p w14:paraId="3A094E20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120704FC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3256E57B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14105297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1EB5E6AE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</w:tcPr>
          <w:p w14:paraId="435F53B6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</w:tcPr>
          <w:p w14:paraId="3B1B574B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22F09A7C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03635068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170491F2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513D3628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</w:tcPr>
          <w:p w14:paraId="34538B6D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</w:tcPr>
          <w:p w14:paraId="0418A7D9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40EBDBBE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3359CC6F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44FFB787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255FBFAA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</w:tcPr>
          <w:p w14:paraId="6548B2EC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</w:tcPr>
          <w:p w14:paraId="31050398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28679B5D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29BFFAA8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C86713" w:rsidRPr="0077506C" w14:paraId="35CD614A" w14:textId="77777777" w:rsidTr="00C86713">
        <w:tblPrEx>
          <w:shd w:val="clear" w:color="auto" w:fill="auto"/>
        </w:tblPrEx>
        <w:trPr>
          <w:trHeight w:val="284"/>
        </w:trPr>
        <w:tc>
          <w:tcPr>
            <w:tcW w:w="993" w:type="dxa"/>
          </w:tcPr>
          <w:p w14:paraId="21308E3C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</w:tcPr>
          <w:p w14:paraId="5ECD659E" w14:textId="77777777" w:rsidR="00C86713" w:rsidRPr="0077506C" w:rsidRDefault="00C86713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</w:tcPr>
          <w:p w14:paraId="08C045BA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</w:tcPr>
          <w:p w14:paraId="533FB68D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</w:tcPr>
          <w:p w14:paraId="4E4B3216" w14:textId="77777777" w:rsidR="00C86713" w:rsidRPr="0077506C" w:rsidRDefault="00C86713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</w:tbl>
    <w:p w14:paraId="6B180B92" w14:textId="77777777" w:rsidR="00536EC7" w:rsidRDefault="00536EC7" w:rsidP="00E756C8">
      <w:pPr>
        <w:pStyle w:val="Heading2"/>
      </w:pPr>
    </w:p>
    <w:p w14:paraId="6DF6E29B" w14:textId="1366D578" w:rsidR="00536EC7" w:rsidRPr="00536EC7" w:rsidRDefault="00536EC7" w:rsidP="00E756C8">
      <w:pPr>
        <w:pStyle w:val="Heading2"/>
      </w:pPr>
      <w:r w:rsidRPr="009B4844">
        <w:rPr>
          <w:sz w:val="18"/>
          <w:szCs w:val="18"/>
        </w:rPr>
        <w:t>6</w:t>
      </w:r>
      <w:r w:rsidRPr="00536EC7">
        <w:t xml:space="preserve"> Europski fond za regionalni razvoj (EFRR), Kohezijski fond (KF) i Europski socijalni fond plus (ESF+)</w:t>
      </w:r>
    </w:p>
    <w:tbl>
      <w:tblPr>
        <w:tblStyle w:val="TableGrid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28"/>
      </w:tblGrid>
      <w:tr w:rsidR="000F196F" w:rsidRPr="0077506C" w14:paraId="2F6F292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CBB9F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46A9FD3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026401B9" w14:textId="782DDE7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1A2C869" w14:textId="11E518B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CEF3272" w14:textId="79CC645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328BB35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8A08F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0885EE9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151F56C0" w14:textId="5547EAE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E4FBE31" w14:textId="1CF1B99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44051B8" w14:textId="3131DA3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1EC42B4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6B227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0D15E24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1B95CC34" w14:textId="1EEC78D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CC7B2A4" w14:textId="006A780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41D2FEA" w14:textId="608E030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5C7942F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6BC313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5CB89AD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3119FD9B" w14:textId="66FAAB8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D22FDAC" w14:textId="0F8C778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26A8B92" w14:textId="43178F4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3D6451E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0A0EC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3E5284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29480D88" w14:textId="4938344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C3BE20A" w14:textId="1AD1F94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05B65FC" w14:textId="79E00E7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0F196F" w:rsidRPr="0077506C" w14:paraId="2BBBE7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A7178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413FA07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14:paraId="40FBD51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29ACDE" w14:textId="1B68B49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1D98343" w14:textId="045483C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08D672C" w14:textId="239831F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01D2B">
              <w:rPr>
                <w:b/>
                <w:szCs w:val="24"/>
              </w:rPr>
              <w:t>NE</w:t>
            </w:r>
          </w:p>
        </w:tc>
      </w:tr>
      <w:tr w:rsidR="00F96AE2" w:rsidRPr="0077506C" w14:paraId="0B68FE9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BCC92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7F7EED5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14:paraId="4364C1BB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030E605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FB067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A351FB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0F196F" w:rsidRPr="0077506C" w14:paraId="6E98AB0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92873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6559A61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3B44B24B" w14:textId="19DAEDD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78B219" w14:textId="16C969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2555488" w14:textId="05207A4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574B4BA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E5887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0DB189D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29928" w14:textId="099ADC6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BA845F" w14:textId="47CF389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B751FA1" w14:textId="49FEEB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0C84C92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A198A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186978B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2147B8E7" w14:textId="41040F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8D3BE6" w14:textId="73B9D24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03FD96B" w14:textId="539F553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397DBD0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2654A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228A894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37C20166" w14:textId="40BE21B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BC8943" w14:textId="3AC542E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3EA95B2" w14:textId="229411E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2F7F5F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C8CC6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5D5704C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6E5F3350" w14:textId="3B608A1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4068EA" w14:textId="3CA3EEC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305C5BB" w14:textId="257F308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0C8708D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8F6AB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4CFD34E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4A1D9" w14:textId="323ED0A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21C052" w14:textId="780C533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7DBF65C" w14:textId="1B7620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3107676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6A8BF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1987C87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09213E64" w14:textId="0BE6CAF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B6343AA" w14:textId="0BE10F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A27B996" w14:textId="1DD296C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5E957B9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162E2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shd w:val="clear" w:color="auto" w:fill="FFFFFF" w:themeFill="background1"/>
          </w:tcPr>
          <w:p w14:paraId="61F4C12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5A26669" w14:textId="50F0AD7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3F85F0" w14:textId="5415620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A022015" w14:textId="32EF18E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278590F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B2AE3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shd w:val="clear" w:color="auto" w:fill="FFFFFF" w:themeFill="background1"/>
          </w:tcPr>
          <w:p w14:paraId="0CD2387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D07D1" w14:textId="1C91952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B1CDEC" w14:textId="535E8AF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33586EA" w14:textId="199B09C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6D49753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17BC1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shd w:val="clear" w:color="auto" w:fill="FFFFFF" w:themeFill="background1"/>
          </w:tcPr>
          <w:p w14:paraId="0B9755B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47C0DA8C" w14:textId="663CD0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C8D111D" w14:textId="6D054F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AD660B9" w14:textId="6BD298B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0F196F" w:rsidRPr="0077506C" w14:paraId="3D3CCB8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22C14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shd w:val="clear" w:color="auto" w:fill="FFFFFF" w:themeFill="background1"/>
          </w:tcPr>
          <w:p w14:paraId="6E5DBC3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1D09D09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93DF3D" w14:textId="37E5A59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FE7EB58" w14:textId="7FB6066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F3C740C" w14:textId="09398FA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90C14">
              <w:rPr>
                <w:b/>
                <w:szCs w:val="24"/>
              </w:rPr>
              <w:t>NE</w:t>
            </w:r>
          </w:p>
        </w:tc>
      </w:tr>
      <w:tr w:rsidR="00F96AE2" w:rsidRPr="0077506C" w14:paraId="337F0BF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5995D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7D767F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14:paraId="4DBBAA3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46FFFD09" w14:textId="77777777" w:rsidTr="00974315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2BFB4E8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5.1.28.</w:t>
            </w:r>
          </w:p>
          <w:p w14:paraId="6300BA0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2DECA93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6B241ED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63C0B82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7364E4D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00ACDD7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02B7BB9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5DA3BE7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6DCF765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4AFBF0A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  <w:p w14:paraId="3E4BF2B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2AA106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14:paraId="5142DC76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0D106D7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A4358F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4B928E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1E6283E7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5F0FEB37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46AFCED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775D8ED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Izravni učinci</w:t>
                  </w:r>
                </w:p>
              </w:tc>
            </w:tr>
            <w:tr w:rsidR="00F96AE2" w:rsidRPr="0077506C" w14:paraId="2C6B49D6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0BF852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E632F4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E18E2E0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C47FE5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</w:tr>
            <w:tr w:rsidR="00F96AE2" w:rsidRPr="0077506C" w14:paraId="2F5229E1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AFC61D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418F47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227668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251E9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126FA8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6C45B465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1D748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0BD0FE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5D8B3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B1DEB8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BA25B7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3FA62099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267B8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45CE498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BA882A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069125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FB02C5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</w:tbl>
          <w:p w14:paraId="633D7009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17D2F14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9B0E1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878A80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14:paraId="21332A1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80123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648338E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2AEEAB6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6B70A645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2E2CF1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122F35D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3831517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570E622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DD9111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48CE62B3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BA790E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466E3CF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269EAA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7AA190A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3387ADE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1968780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AD54E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049E0C2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shd w:val="clear" w:color="auto" w:fill="FFFFFF" w:themeFill="background1"/>
          </w:tcPr>
          <w:p w14:paraId="3E4470BC" w14:textId="2BD553B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2A5A3DA" w14:textId="59C319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78BCDF2" w14:textId="337F39A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0F196F" w:rsidRPr="0077506C" w14:paraId="208FD1C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D1B0C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2278D03D" w14:textId="77777777" w:rsidR="000F196F" w:rsidRPr="0077506C" w:rsidRDefault="000F196F" w:rsidP="00E756C8">
            <w:pPr>
              <w:pStyle w:val="Heading2"/>
              <w:outlineLvl w:val="1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shd w:val="clear" w:color="auto" w:fill="FFFFFF" w:themeFill="background1"/>
          </w:tcPr>
          <w:p w14:paraId="0FD9823D" w14:textId="0E79734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E24F64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6661BFA" w14:textId="2CA45BE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64C1A0A" w14:textId="32D48AF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0F196F" w:rsidRPr="0077506C" w14:paraId="33DC440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6F27C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6B5562B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45B80DFF" w14:textId="6448FDB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E24F64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0FDC67B" w14:textId="386609B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2B4242A" w14:textId="1EE4463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0F196F" w:rsidRPr="0077506C" w14:paraId="7082AA8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2AF2E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1EB43A8B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3369EB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72CEFB" w14:textId="5F39CD1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E24F64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C7B557F" w14:textId="3D8F09F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28B993D" w14:textId="3666FBC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6F11">
              <w:rPr>
                <w:b/>
                <w:szCs w:val="24"/>
              </w:rPr>
              <w:t>NE</w:t>
            </w:r>
          </w:p>
        </w:tc>
      </w:tr>
      <w:tr w:rsidR="00F96AE2" w:rsidRPr="0077506C" w14:paraId="76EE35A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D4D02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241B9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14:paraId="2E75C40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732C359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8D5B3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8F0A66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0F196F" w:rsidRPr="0077506C" w14:paraId="1407570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12192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0B5C123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6634678E" w14:textId="4910D21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375A8AB" w14:textId="24666A9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3D45680" w14:textId="5DAD985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1FF5F93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A34C6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2BB83FC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56747084" w14:textId="2558936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C0D5803" w14:textId="0813FD9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6F63FAF" w14:textId="67BA169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6A1FFE4F" w14:textId="77777777" w:rsidTr="00A27E93">
        <w:trPr>
          <w:trHeight w:val="156"/>
        </w:trPr>
        <w:tc>
          <w:tcPr>
            <w:tcW w:w="993" w:type="dxa"/>
            <w:shd w:val="clear" w:color="auto" w:fill="FFFFFF" w:themeFill="background1"/>
          </w:tcPr>
          <w:p w14:paraId="3A656D6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6022960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29E3732D" w14:textId="521C729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5C641E5" w14:textId="01F488C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1DA98AC" w14:textId="6900F57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42B6AC7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6C186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15F1235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5EE5F7CE" w14:textId="2866162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76077F2" w14:textId="1D3055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AE65E27" w14:textId="64D6D8C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3A21A6B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03818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228D4DF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21F4FDD6" w14:textId="6F6DA31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EBAACF2" w14:textId="6245FD8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A898E36" w14:textId="2147741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2FBE531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050F3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3526C52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B65ED71" w14:textId="5C15EA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052C918" w14:textId="321B697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2F94450" w14:textId="4D3D140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7DA4851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86205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3B9272E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7C4E8481" w14:textId="4FE00DE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B3E5221" w14:textId="60A938F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0E1B333" w14:textId="3B365EE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70051C8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91B95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1080024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9E3C55E" w14:textId="61824D2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21778BF" w14:textId="56FB53E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98009CE" w14:textId="2FE3C89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73F72C6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24F23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176DDDD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6CE32B42" w14:textId="5ED6C32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1FF73BE" w14:textId="02CF1F5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008281A" w14:textId="5094232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0DA4FE8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6E9B9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6A54EB8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56DC0F2D" w14:textId="7008D3C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33F2496" w14:textId="5EF1EC3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86B7645" w14:textId="5E163D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0F196F" w:rsidRPr="0077506C" w14:paraId="4DAB104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C4284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3949F2F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4FB29B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7C944C" w14:textId="1DB07C3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9075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051E546" w14:textId="020039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0D59B13" w14:textId="1648146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045E0A">
              <w:rPr>
                <w:b/>
                <w:szCs w:val="24"/>
              </w:rPr>
              <w:t>NE</w:t>
            </w:r>
          </w:p>
        </w:tc>
      </w:tr>
      <w:tr w:rsidR="00F96AE2" w:rsidRPr="0077506C" w14:paraId="4693B29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9C4EA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5834FB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14:paraId="3995E58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2B7401C7" w14:textId="77777777" w:rsidTr="00974315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2B37A52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0C674A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14:paraId="2876BF3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6E92FE9E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183ED87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3E039B8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B71A63D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5D3ACDD0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2034E19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3D7EA0E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Izravni učinci</w:t>
                  </w:r>
                </w:p>
              </w:tc>
            </w:tr>
            <w:tr w:rsidR="00F96AE2" w:rsidRPr="0077506C" w14:paraId="7E605353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3F67D47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230E908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968A26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E2A789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</w:tr>
            <w:tr w:rsidR="00F96AE2" w:rsidRPr="0077506C" w14:paraId="608324CC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06992A2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D2B37E0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E0B8335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B58BC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BF3C90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7C0C7A08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22780B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0811DA7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45B8C93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2CB55F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936F2C6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55EEAF03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B27886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AC66AA6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F61E1A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ED7CF9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5E038C6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</w:tbl>
          <w:p w14:paraId="40BCF0F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1DFEDAC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74F9E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EA4A94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14:paraId="47E22D3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1B601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642A98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166F537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65744360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AED4BC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0C81F9D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715AD5C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C7BB89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28" w:type="dxa"/>
            <w:shd w:val="clear" w:color="auto" w:fill="FFFFFF" w:themeFill="background1"/>
          </w:tcPr>
          <w:p w14:paraId="3D72500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0AF9F0B6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849B43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7E942D0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90271C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6390E4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65E4861D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2613AA4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94385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E42C46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shd w:val="clear" w:color="auto" w:fill="FFFFFF" w:themeFill="background1"/>
          </w:tcPr>
          <w:p w14:paraId="0275E9AF" w14:textId="7529DA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0928385" w14:textId="57E696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FCC277D" w14:textId="6251CED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77A1111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78B55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40D1186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30A20CCC" w14:textId="61A7A6C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D1BEBB" w14:textId="4432173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08EF6DC" w14:textId="7779C95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6B744AA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1A726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06A3D6C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shd w:val="clear" w:color="auto" w:fill="FFFFFF" w:themeFill="background1"/>
          </w:tcPr>
          <w:p w14:paraId="56733F6C" w14:textId="77B67AD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54F5BE" w14:textId="50B1A68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C6435E4" w14:textId="162D7B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55AEE7A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621A2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399135E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D0D66" w14:textId="2E941DD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87C3EA" w14:textId="4A4E1AB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673DB3F" w14:textId="69EA8B2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25E94B0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FA2E4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65CDA17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77BD7" w14:textId="0349AB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616B063" w14:textId="3164265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F79922A" w14:textId="65E8F4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4D86E7B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F0D38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0EEF45B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shd w:val="clear" w:color="auto" w:fill="FFFFFF" w:themeFill="background1"/>
          </w:tcPr>
          <w:p w14:paraId="0C528ABA" w14:textId="3C4DEA9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A0B4BF" w14:textId="6A1EB59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142DF8D" w14:textId="350B72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0F196F" w:rsidRPr="0077506C" w14:paraId="162AA9A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B74E40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5E5C9404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20A7557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8775CD" w14:textId="142E866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BF07B3" w14:textId="372A06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49729C7" w14:textId="13472F0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612F50">
              <w:rPr>
                <w:b/>
                <w:szCs w:val="24"/>
              </w:rPr>
              <w:t>NE</w:t>
            </w:r>
          </w:p>
        </w:tc>
      </w:tr>
      <w:tr w:rsidR="00F96AE2" w:rsidRPr="0077506C" w14:paraId="362C933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BA8CB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78B5DCD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14:paraId="73E5139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2C1DCBD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179FD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05B90D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23D02F2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AD6A46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BD2AC0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79CC4D8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223F1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52DB277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3C865028" w14:textId="5E870F9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BDEA66" w14:textId="441963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BD5F2B2" w14:textId="5D8356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6AFE2414" w14:textId="77777777" w:rsidTr="00AF08B7">
        <w:trPr>
          <w:trHeight w:val="388"/>
        </w:trPr>
        <w:tc>
          <w:tcPr>
            <w:tcW w:w="993" w:type="dxa"/>
            <w:shd w:val="clear" w:color="auto" w:fill="FFFFFF" w:themeFill="background1"/>
          </w:tcPr>
          <w:p w14:paraId="2DC672E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3133F44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312FC74D" w14:textId="7E6EA85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0FD9796" w14:textId="1D18F7D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BAD1B53" w14:textId="129D5BF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6DEE0A2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BB06E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4C03CA1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86BD055" w14:textId="763CF52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2424C4" w14:textId="61E7E14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4A375E0" w14:textId="39DCB67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7EC989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0997E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6B16137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8F5E186" w14:textId="1B96F55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D9A022" w14:textId="17BAE8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6E0F2A6" w14:textId="634FE5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5FBC69C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BCDE6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CABF93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5C83B15A" w14:textId="094F391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37C0C2" w14:textId="786F3EB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CEA9E01" w14:textId="0B370C0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352B4AB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33A45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0A350A7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EE45A" w14:textId="3F4EE8F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4EB0CDE" w14:textId="5EC6FEA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8594EA8" w14:textId="59D6333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0F4E786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DF07F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7F42016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223D72E3" w14:textId="514B7CD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A6D429C" w14:textId="132326D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CA133D6" w14:textId="09771BA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2B50D4D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6EC5B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44A3C85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A495053" w14:textId="5800C6F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9B6C20" w14:textId="4696542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A8FD7A5" w14:textId="396B726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5FCBE83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023EA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0C29905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31940C83" w14:textId="30DD54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B0D76F" w14:textId="1027700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64568A1" w14:textId="6A1103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09B1134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9960D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1324516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735297BA" w14:textId="36087ED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93C231" w14:textId="5400984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98DA2F3" w14:textId="29B4D2A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0F196F" w:rsidRPr="0077506C" w14:paraId="26E1F60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3C695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4DA15E4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42AAD4C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B1FAB0" w14:textId="7EF625E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CEAF957" w14:textId="35DF95D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D6C82C7" w14:textId="19025F0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F0987">
              <w:rPr>
                <w:b/>
                <w:szCs w:val="24"/>
              </w:rPr>
              <w:t>NE</w:t>
            </w:r>
          </w:p>
        </w:tc>
      </w:tr>
      <w:tr w:rsidR="00F96AE2" w:rsidRPr="0077506C" w14:paraId="44CB38A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A7DC9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53C7086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14:paraId="1599B54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56AB4F1F" w14:textId="77777777" w:rsidTr="00974315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434A62A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5.3.21.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7B7425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14:paraId="6C77BFE4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9097CF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0C0B382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57589F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93A3D6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653B86B7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A52FB4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C7F931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Izravni učinci</w:t>
                  </w:r>
                </w:p>
              </w:tc>
            </w:tr>
            <w:tr w:rsidR="00F96AE2" w:rsidRPr="0077506C" w14:paraId="0DF45F2E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7AC09C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FEDA7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51037F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A40AB3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</w:tr>
            <w:tr w:rsidR="00F96AE2" w:rsidRPr="0077506C" w14:paraId="686E166D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2F41C28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9E9306E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F3B63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A2360C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002A92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  <w:tr w:rsidR="00F96AE2" w:rsidRPr="0077506C" w14:paraId="49D6E8C7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25F494F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C8C433F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FCC924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BD2A4B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0C4C46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16F8C45D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AD01D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C2C965C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91079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DBE55F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FB40FB" w14:textId="77777777" w:rsidR="00F96AE2" w:rsidRPr="0077506C" w:rsidRDefault="00F96AE2" w:rsidP="00E756C8">
                  <w:pPr>
                    <w:pStyle w:val="Heading2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6091DBD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0B3452E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0742D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29AE44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14:paraId="297B6A5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5D635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26B85E3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0A02D39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790CD913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EAB97C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17EB412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3730540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158ED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28" w:type="dxa"/>
            <w:shd w:val="clear" w:color="auto" w:fill="FFFFFF" w:themeFill="background1"/>
          </w:tcPr>
          <w:p w14:paraId="5A152A8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5CF7088E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CF0A6E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37401FF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175984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D1F06C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4501466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290CF54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10045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5D82F51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shd w:val="clear" w:color="auto" w:fill="FFFFFF" w:themeFill="background1"/>
          </w:tcPr>
          <w:p w14:paraId="04004BE5" w14:textId="0150AF7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6C44F2" w14:textId="155B1E6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69DA698" w14:textId="5AED75E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3ED7DD8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12A796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057FA79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shd w:val="clear" w:color="auto" w:fill="FFFFFF" w:themeFill="background1"/>
          </w:tcPr>
          <w:p w14:paraId="0D4C9FBA" w14:textId="0F680BF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985692" w14:textId="63A915A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23DFB21" w14:textId="62D07D8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030B34B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5A7B4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7C37461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shd w:val="clear" w:color="auto" w:fill="FFFFFF" w:themeFill="background1"/>
          </w:tcPr>
          <w:p w14:paraId="6F88429B" w14:textId="25A01B9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703050" w14:textId="68B16E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FFA5E94" w14:textId="736B70E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4043BD1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F278B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40D162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351911E5" w14:textId="0A4F1D7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DD04BBF" w14:textId="79EEF09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AF691C9" w14:textId="7BD6A90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E0EA70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B9D28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50CD6CB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73D077C1" w14:textId="18299FB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8F1EB3" w14:textId="5E905DE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0998EF8" w14:textId="752049D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572077E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2B40D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2D643F6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79E0C8C0" w14:textId="0FE0933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827466" w14:textId="636EE50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AB83045" w14:textId="72BD892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BF0AA6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A55CB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49E1E8D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shd w:val="clear" w:color="auto" w:fill="FFFFFF" w:themeFill="background1"/>
          </w:tcPr>
          <w:p w14:paraId="7AAE4137" w14:textId="357BBC5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08D544" w14:textId="3055C27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FEA55F7" w14:textId="6C43AB7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16385AF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C67B8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3B7CB2E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39E8BDE9" w14:textId="66F54FA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CA53A2" w14:textId="6511550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CF74C56" w14:textId="7B157EF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8A48F2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06291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066256A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shd w:val="clear" w:color="auto" w:fill="FFFFFF" w:themeFill="background1"/>
          </w:tcPr>
          <w:p w14:paraId="05A23615" w14:textId="6BFC929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B018411" w14:textId="64F797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434621B" w14:textId="02B3E2D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6A9FBF6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14DA3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5703F39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shd w:val="clear" w:color="auto" w:fill="FFFFFF" w:themeFill="background1"/>
          </w:tcPr>
          <w:p w14:paraId="4DA443D1" w14:textId="53900F5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CA749B" w14:textId="09707F6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EE82351" w14:textId="4A12B66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409123C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7FB31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shd w:val="clear" w:color="auto" w:fill="FFFFFF" w:themeFill="background1"/>
          </w:tcPr>
          <w:p w14:paraId="7706EBF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shd w:val="clear" w:color="auto" w:fill="FFFFFF" w:themeFill="background1"/>
          </w:tcPr>
          <w:p w14:paraId="5F978F24" w14:textId="58A9FCE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5B3045" w14:textId="3BD57B2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95798E3" w14:textId="4AECC59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253AB1A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16E8B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58EB1A6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shd w:val="clear" w:color="auto" w:fill="FFFFFF" w:themeFill="background1"/>
          </w:tcPr>
          <w:p w14:paraId="4E61FF9F" w14:textId="0C5945B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9854CD" w14:textId="07E13E2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EF9EE61" w14:textId="786534D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0F196F" w:rsidRPr="0077506C" w14:paraId="148BDA7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BEA9F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488B2F17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1E9A4E57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BC0FF0" w14:textId="57D4AF6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9BC23BB" w14:textId="6719917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1B3A9F4" w14:textId="5DA8965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8A51E0">
              <w:rPr>
                <w:b/>
                <w:szCs w:val="24"/>
              </w:rPr>
              <w:t>NE</w:t>
            </w:r>
          </w:p>
        </w:tc>
      </w:tr>
      <w:tr w:rsidR="00F96AE2" w:rsidRPr="0077506C" w14:paraId="30C77AC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4A00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3601D11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14:paraId="7EC04296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6EC17A9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BD77D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2AC17C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2F18F3A7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4816A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799B4F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536214D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89F36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3A4AFDB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69F3829C" w14:textId="4910095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E6788F" w14:textId="6A7C04E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DABD047" w14:textId="2B54C42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53B85C1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C5C51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6227909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22E2234F" w14:textId="0744290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714140" w14:textId="32D59C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BE10CE5" w14:textId="6DF6D4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504A5F4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B1F9A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60C476C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6C0E9A92" w14:textId="5CE5B4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4CB5CC" w14:textId="47E511F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4E7162C" w14:textId="3137B1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79A881B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357FE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2F78B6B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50605E9" w14:textId="7341C20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31D926A" w14:textId="39EE102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086AD05" w14:textId="409890F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05A2711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852EB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205DBEE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47709182" w14:textId="3CBCCC1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8B04EA" w14:textId="7CEEC4E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44852EF" w14:textId="37FD1E1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37E8856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D875A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6225CD9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5F4D4930" w14:textId="31EEC13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2FD91C7" w14:textId="6F0544E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4CE42E1" w14:textId="0478C04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1D7BAD3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53C90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F547D0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074DE4F1" w14:textId="2F76FE3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254B223" w14:textId="38317AE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642D896" w14:textId="277484A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00748C87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B1C03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3A2813F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E939D1D" w14:textId="0302AC3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FFF30F5" w14:textId="5D43FA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C061586" w14:textId="3C1120D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76F27CF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3FB82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shd w:val="clear" w:color="auto" w:fill="FFFFFF" w:themeFill="background1"/>
          </w:tcPr>
          <w:p w14:paraId="3188E1A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6B467496" w14:textId="1896857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F392AC" w14:textId="13F3CE9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34E8936" w14:textId="7825470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3445797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B1BB5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06E049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47B360A9" w14:textId="618AEFE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7900FA2" w14:textId="0B49E66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CB48454" w14:textId="49227B2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0F196F" w:rsidRPr="0077506C" w14:paraId="7872BA5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52645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shd w:val="clear" w:color="auto" w:fill="FFFFFF" w:themeFill="background1"/>
          </w:tcPr>
          <w:p w14:paraId="3BE00C5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1D470C7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B56840" w14:textId="2A21B72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6D3C3C" w14:textId="2D18CBF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CACB399" w14:textId="4ADAABF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FB7313">
              <w:rPr>
                <w:b/>
                <w:szCs w:val="24"/>
              </w:rPr>
              <w:t>NE</w:t>
            </w:r>
          </w:p>
        </w:tc>
      </w:tr>
      <w:tr w:rsidR="00F96AE2" w:rsidRPr="0077506C" w14:paraId="36C7A5C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63799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573B811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14:paraId="20D56D1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0D95D653" w14:textId="77777777" w:rsidTr="00974315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242EF47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3865762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14:paraId="2771EEB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58DEA4D6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706689D8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28C31716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5F5964F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003D9C56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382ED2A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0D115C9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Izravni učinci</w:t>
                  </w:r>
                </w:p>
              </w:tc>
            </w:tr>
            <w:tr w:rsidR="00F96AE2" w:rsidRPr="0077506C" w14:paraId="4CE70099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6A33A53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F016D00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BF81FA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1EA19A7" w14:textId="77777777" w:rsidR="00F96AE2" w:rsidRPr="004E2C75" w:rsidRDefault="00F96AE2" w:rsidP="004E2C75">
                  <w:pPr>
                    <w:pStyle w:val="Heading2"/>
                  </w:pPr>
                  <w:r w:rsidRPr="004E2C75">
                    <w:t>veliki</w:t>
                  </w:r>
                </w:p>
              </w:tc>
            </w:tr>
            <w:tr w:rsidR="00F96AE2" w:rsidRPr="0077506C" w14:paraId="2263B8CD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50EBAC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1F81C3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C1F527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E68E71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F36482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59C6FB57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B567B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857B54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7D19B84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F47D810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238D819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  <w:tr w:rsidR="00F96AE2" w:rsidRPr="0077506C" w14:paraId="7272D2DA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A524A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77C08A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C652E1B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A6C59D" w14:textId="77777777" w:rsidR="00F96AE2" w:rsidRPr="004E2C75" w:rsidRDefault="00F96AE2" w:rsidP="004E2C75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F7B8A2" w14:textId="77777777" w:rsidR="00F96AE2" w:rsidRPr="004E2C75" w:rsidRDefault="00F96AE2" w:rsidP="004E2C75">
                  <w:pPr>
                    <w:pStyle w:val="Heading2"/>
                  </w:pPr>
                </w:p>
              </w:tc>
            </w:tr>
          </w:tbl>
          <w:p w14:paraId="3A0FDCC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2665CC9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4BF6A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5436AD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14:paraId="00FACC60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A6574B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13BB0D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39FB83C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125A98E1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07F2E0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1A14BFD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2911956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9C97C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28" w:type="dxa"/>
            <w:shd w:val="clear" w:color="auto" w:fill="FFFFFF" w:themeFill="background1"/>
          </w:tcPr>
          <w:p w14:paraId="6C7652F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38537863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8A7AD4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13AE755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6D7BB68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3D5ED8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766C6B0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1DB62A1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3E3D5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6FC30D9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E1B13" w14:textId="5F77964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91760D" w14:textId="49955CE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46ABBDF" w14:textId="6BB5C3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47C3F4A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7A54A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200F6F4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shd w:val="clear" w:color="auto" w:fill="FFFFFF" w:themeFill="background1"/>
          </w:tcPr>
          <w:p w14:paraId="0B2BD494" w14:textId="09CD39A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86DB94" w14:textId="0219B5F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FA27DE0" w14:textId="37237AC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0D0B748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8DBBA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F64E1B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4C340079" w14:textId="212A5C7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02F761" w14:textId="2F670A2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6D8FA69" w14:textId="672A495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061159B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8121A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3F3C9C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6A9071D1" w14:textId="7129368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6B4474" w14:textId="1EFDDF0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82DF4B4" w14:textId="5C4D2E2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7C1EE02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AB570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6237C04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shd w:val="clear" w:color="auto" w:fill="FFFFFF" w:themeFill="background1"/>
          </w:tcPr>
          <w:p w14:paraId="0FD837DE" w14:textId="551E1D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E3EB7B" w14:textId="0C60E98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6CDB17C" w14:textId="17F179C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04E7E1F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8A068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1529DC5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shd w:val="clear" w:color="auto" w:fill="FFFFFF" w:themeFill="background1"/>
          </w:tcPr>
          <w:p w14:paraId="01F6A0EB" w14:textId="7F64817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880A65" w14:textId="7CEABFE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703B949" w14:textId="25DA4DD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28FB7BA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D570C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6D54D2F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14:paraId="6A2E48E9" w14:textId="4DC8488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B0042A" w14:textId="54D1943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79C79DA" w14:textId="42E91CE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25FEC68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C4BA1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60241C8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64678A3C" w14:textId="1792BB1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32F1129" w14:textId="072F763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FB24B47" w14:textId="040798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2080D54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12D38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7F49BB8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shd w:val="clear" w:color="auto" w:fill="FFFFFF" w:themeFill="background1"/>
          </w:tcPr>
          <w:p w14:paraId="4AAB3F6B" w14:textId="7320DBC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ACD9F1" w14:textId="42D7085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031C5DF" w14:textId="327414A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0F196F" w:rsidRPr="0077506C" w14:paraId="470DBF5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81DEE8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shd w:val="clear" w:color="auto" w:fill="FFFFFF" w:themeFill="background1"/>
          </w:tcPr>
          <w:p w14:paraId="565117E9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00F373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C6E0B8" w14:textId="4E9BC9B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A7F094" w14:textId="4E674B0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FC516EF" w14:textId="2A48B2F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B044C5">
              <w:rPr>
                <w:b/>
                <w:szCs w:val="24"/>
              </w:rPr>
              <w:t>NE</w:t>
            </w:r>
          </w:p>
        </w:tc>
      </w:tr>
      <w:tr w:rsidR="00F96AE2" w:rsidRPr="0077506C" w14:paraId="4BC6CEB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73635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6B6296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14:paraId="755EAAAE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3E4BB7A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F640D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6224E9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3D2D286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873F0CE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2E9CC3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346F61B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D1C74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7FD5E1E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4B492EB8" w14:textId="6159665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9218CB" w14:textId="3926F9A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CCDF651" w14:textId="52D50CA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008D021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04465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2F0ADBB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E9C7F42" w14:textId="3DB73B3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CAD726" w14:textId="27448B3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4ACB448" w14:textId="5252957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28C7A2F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957D8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4DFD69B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0DCDE708" w14:textId="3967AE9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24C4F2" w14:textId="0B9E312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0A443BE" w14:textId="453DD92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01B2209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C3E0D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2E96067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4C826243" w14:textId="59A2534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00812D" w14:textId="4ED13D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B687736" w14:textId="70C10A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6CD7058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99A2A9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1A617B0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28B918DA" w14:textId="436215B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FB3936" w14:textId="4C33188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3CEBA89" w14:textId="38C2A62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41CBCEE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FB7A7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3D94DA4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12879DFB" w14:textId="24E7495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7C47022" w14:textId="5F409F6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60ED345" w14:textId="1E6DC96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11F58B85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CDC07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6A5DB72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28481ACD" w14:textId="57F6971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38F6D2" w14:textId="4D2FFA4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161DA04" w14:textId="74D4C2C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4334C74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F62C6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6612695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6B614850" w14:textId="2A0EC4B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2006FF" w14:textId="44A130B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DB927B2" w14:textId="2140E2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0999209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CEEE0D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4F8F461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8079E8" w14:textId="139E64C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D190CC" w14:textId="76D5A0E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7ACC1F2" w14:textId="513FECC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22819F3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849CE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4484CF9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361BD29B" w14:textId="3E8CB8C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6B517C" w14:textId="7C8BD83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421DF56" w14:textId="1C6A5E1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0F196F" w:rsidRPr="0077506C" w14:paraId="6879E0E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C4D01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566F485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0637DB0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D93FDB" w14:textId="379A652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737885" w14:textId="1BF2F606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CE3567D" w14:textId="37A75D4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A65B20">
              <w:rPr>
                <w:b/>
                <w:szCs w:val="24"/>
              </w:rPr>
              <w:t>NE</w:t>
            </w:r>
          </w:p>
        </w:tc>
      </w:tr>
      <w:tr w:rsidR="00F96AE2" w:rsidRPr="0077506C" w14:paraId="316DF34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B5387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5.5.23.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143D21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14:paraId="71DFCAA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2DAF82AB" w14:textId="77777777" w:rsidTr="00974315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621BEFB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4C9484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14:paraId="18E5C59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1DA4C35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6EAA6DFC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B4A497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0BF244D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2A7BB206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8469176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6475B04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Izravni učinci</w:t>
                  </w:r>
                </w:p>
              </w:tc>
            </w:tr>
            <w:tr w:rsidR="00F96AE2" w:rsidRPr="0077506C" w14:paraId="25D403B7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6695689" w14:textId="77777777" w:rsidR="00F96AE2" w:rsidRPr="00E756C8" w:rsidRDefault="00F96AE2" w:rsidP="00E756C8">
                  <w:pPr>
                    <w:pStyle w:val="Heading2"/>
                  </w:pPr>
                  <w:bookmarkStart w:id="1" w:name="_GoBack" w:colFirst="4" w:colLast="4"/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229B51C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515F03A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5ADC10D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</w:rPr>
                  </w:pPr>
                  <w:r w:rsidRPr="0077506C">
                    <w:rPr>
                      <w:rFonts w:eastAsia="Times New Roman"/>
                    </w:rPr>
                    <w:t>veliki</w:t>
                  </w:r>
                </w:p>
              </w:tc>
            </w:tr>
            <w:tr w:rsidR="00F96AE2" w:rsidRPr="0077506C" w14:paraId="6E63CD36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19F3DD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5149AC7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82A22D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94890A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5A25AB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</w:rPr>
                  </w:pPr>
                </w:p>
              </w:tc>
            </w:tr>
            <w:tr w:rsidR="00F96AE2" w:rsidRPr="0077506C" w14:paraId="63BDB451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C48463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176F81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1D81C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0887F0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53B117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F96AE2" w:rsidRPr="0077506C" w14:paraId="736DA63E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BB7604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5AB7B8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AFB30E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74E9F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08652" w14:textId="77777777" w:rsidR="00F96AE2" w:rsidRPr="0077506C" w:rsidRDefault="00F96AE2" w:rsidP="004E2C75">
                  <w:pPr>
                    <w:pStyle w:val="Heading2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bookmarkEnd w:id="1"/>
          </w:tbl>
          <w:p w14:paraId="508F8A0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006A406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34963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9738962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14:paraId="0589BA2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368EE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315370B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4"/>
            <w:shd w:val="clear" w:color="auto" w:fill="FFFFFF" w:themeFill="background1"/>
          </w:tcPr>
          <w:p w14:paraId="6FED816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15FFAFB4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FB69E4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14:paraId="6BE2707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14:paraId="6901764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8241F31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28" w:type="dxa"/>
            <w:shd w:val="clear" w:color="auto" w:fill="FFFFFF" w:themeFill="background1"/>
          </w:tcPr>
          <w:p w14:paraId="1CCD95FC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2E08F1A4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D0446F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14:paraId="78240D0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14E3C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73AE33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26EEB0F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0F196F" w:rsidRPr="0077506C" w14:paraId="406C9594" w14:textId="77777777" w:rsidTr="00974315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282AF39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2D01851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shd w:val="clear" w:color="auto" w:fill="FFFFFF" w:themeFill="background1"/>
          </w:tcPr>
          <w:p w14:paraId="544185D6" w14:textId="19BB4D3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0B8353C" w14:textId="07CCD44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5DF3E79" w14:textId="6629C38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0C439E19" w14:textId="77777777" w:rsidTr="00974315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20B31EA4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shd w:val="clear" w:color="auto" w:fill="FFFFFF" w:themeFill="background1"/>
          </w:tcPr>
          <w:p w14:paraId="12AB452F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F89DA1D" w14:textId="418EE65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8173A8" w14:textId="57F99E2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F3EEE2A" w14:textId="6B3FEA1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07AC83DE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14DA9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shd w:val="clear" w:color="auto" w:fill="FFFFFF" w:themeFill="background1"/>
          </w:tcPr>
          <w:p w14:paraId="50125421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25332" w14:textId="2228696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AEA3DF" w14:textId="1E346A7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1D15B67" w14:textId="0E0537F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2250386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4BA27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shd w:val="clear" w:color="auto" w:fill="FFFFFF" w:themeFill="background1"/>
          </w:tcPr>
          <w:p w14:paraId="70A42EEE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944CA" w14:textId="035FA82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C0EA00" w14:textId="5BE581E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8DDDC10" w14:textId="7941126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29F5E60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90215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shd w:val="clear" w:color="auto" w:fill="FFFFFF" w:themeFill="background1"/>
          </w:tcPr>
          <w:p w14:paraId="065C6F69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shd w:val="clear" w:color="auto" w:fill="FFFFFF" w:themeFill="background1"/>
          </w:tcPr>
          <w:p w14:paraId="232AD069" w14:textId="07C281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C8A07A3" w14:textId="0EB5E5A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653DA99" w14:textId="506C46D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3E9DBBCA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85F76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shd w:val="clear" w:color="auto" w:fill="FFFFFF" w:themeFill="background1"/>
          </w:tcPr>
          <w:p w14:paraId="0370FCFE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shd w:val="clear" w:color="auto" w:fill="FFFFFF" w:themeFill="background1"/>
          </w:tcPr>
          <w:p w14:paraId="20A65632" w14:textId="4BF231C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457F4D" w14:textId="7338AE0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D317D39" w14:textId="64E7B53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697BC28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3A042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shd w:val="clear" w:color="auto" w:fill="FFFFFF" w:themeFill="background1"/>
          </w:tcPr>
          <w:p w14:paraId="00BF43B6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shd w:val="clear" w:color="auto" w:fill="FFFFFF" w:themeFill="background1"/>
          </w:tcPr>
          <w:p w14:paraId="44955F47" w14:textId="256C9AC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750F8C" w14:textId="60794BB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2E22A40" w14:textId="282122B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2C76184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BE2707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shd w:val="clear" w:color="auto" w:fill="FFFFFF" w:themeFill="background1"/>
          </w:tcPr>
          <w:p w14:paraId="49013A48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4F25A6B6" w14:textId="527A84F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7963B0" w14:textId="285B5B9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5F25365" w14:textId="1A3E288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0F196F" w:rsidRPr="0077506C" w14:paraId="37BA695C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8EBD7A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shd w:val="clear" w:color="auto" w:fill="FFFFFF" w:themeFill="background1"/>
          </w:tcPr>
          <w:p w14:paraId="0407CF0F" w14:textId="77777777" w:rsidR="000F196F" w:rsidRPr="0077506C" w:rsidRDefault="000F196F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shd w:val="clear" w:color="auto" w:fill="FFFFFF" w:themeFill="background1"/>
          </w:tcPr>
          <w:p w14:paraId="3A9F2ED8" w14:textId="414B7B7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D4D762" w14:textId="53D67A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B5785F3" w14:textId="5DA6105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1D33E5">
              <w:rPr>
                <w:b/>
                <w:szCs w:val="24"/>
              </w:rPr>
              <w:t>NE</w:t>
            </w:r>
          </w:p>
        </w:tc>
      </w:tr>
      <w:tr w:rsidR="00F96AE2" w:rsidRPr="0077506C" w14:paraId="157BCEB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68BD1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E2B374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14:paraId="7AF49EC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2AC9257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B568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4F767DD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0FC699AB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01F290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2C3560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0F196F" w:rsidRPr="0077506C" w14:paraId="4764843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AEF98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shd w:val="clear" w:color="auto" w:fill="FFFFFF" w:themeFill="background1"/>
          </w:tcPr>
          <w:p w14:paraId="30A8A6B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14:paraId="510F6935" w14:textId="51457C8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43FABB" w14:textId="63398280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5F6C806" w14:textId="5F9631F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0984CB0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3028D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shd w:val="clear" w:color="auto" w:fill="FFFFFF" w:themeFill="background1"/>
          </w:tcPr>
          <w:p w14:paraId="309C70B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Srednji i velikii poduzetnici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BF802" w14:textId="71C8455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867066" w14:textId="3050632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E929C58" w14:textId="2008B04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76C8EAFB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66D136C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shd w:val="clear" w:color="auto" w:fill="FFFFFF" w:themeFill="background1"/>
          </w:tcPr>
          <w:p w14:paraId="618EEE33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14:paraId="4354FDCF" w14:textId="2B18770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99BB87" w14:textId="16F8DCA3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ABBEEE7" w14:textId="086010FB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610AF1D8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EBA1F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shd w:val="clear" w:color="auto" w:fill="FFFFFF" w:themeFill="background1"/>
          </w:tcPr>
          <w:p w14:paraId="2EB0265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14:paraId="36BAB8C2" w14:textId="649AA3A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4EC152" w14:textId="64350A4A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C5B2E45" w14:textId="6878179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0D29FBA9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ECD11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shd w:val="clear" w:color="auto" w:fill="FFFFFF" w:themeFill="background1"/>
          </w:tcPr>
          <w:p w14:paraId="471D8511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14:paraId="5286BBCF" w14:textId="1B85174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DFDDDA" w14:textId="61D8B81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84EAC04" w14:textId="622DF4B7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71AF300D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A82C9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shd w:val="clear" w:color="auto" w:fill="FFFFFF" w:themeFill="background1"/>
          </w:tcPr>
          <w:p w14:paraId="34C30DB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23186" w14:textId="5BDB084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B62A7D1" w14:textId="521BF45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2CCB101" w14:textId="1811E9C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40C8ADC2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D367DE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shd w:val="clear" w:color="auto" w:fill="FFFFFF" w:themeFill="background1"/>
          </w:tcPr>
          <w:p w14:paraId="1144A75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14:paraId="11D35E9D" w14:textId="7CD9BE4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E16980" w14:textId="1579BC9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69943BF" w14:textId="0242FE5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68C38723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BECE3B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shd w:val="clear" w:color="auto" w:fill="FFFFFF" w:themeFill="background1"/>
          </w:tcPr>
          <w:p w14:paraId="4BFA96B5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14:paraId="67747F89" w14:textId="48655088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B4D862E" w14:textId="7A43F664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82183A0" w14:textId="5F252C05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5A9E6471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2426C7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shd w:val="clear" w:color="auto" w:fill="FFFFFF" w:themeFill="background1"/>
          </w:tcPr>
          <w:p w14:paraId="75F06AB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14:paraId="233A16AB" w14:textId="71CF47CC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845619" w14:textId="1C5053D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DE7A47F" w14:textId="3016ADC9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47120984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8027C2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shd w:val="clear" w:color="auto" w:fill="FFFFFF" w:themeFill="background1"/>
          </w:tcPr>
          <w:p w14:paraId="1481F5C0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14:paraId="58BD8A09" w14:textId="38024782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A655973" w14:textId="50AE10BD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D259D58" w14:textId="7115CD0F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0F196F" w:rsidRPr="0077506C" w14:paraId="636840CF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03F0E9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shd w:val="clear" w:color="auto" w:fill="FFFFFF" w:themeFill="background1"/>
          </w:tcPr>
          <w:p w14:paraId="243DD9F6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73DF787F" w14:textId="77777777" w:rsidR="000F196F" w:rsidRPr="0077506C" w:rsidRDefault="000F196F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1EA0F0" w14:textId="4A7E1D5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10FA52" w14:textId="40C4F921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75FDB2D" w14:textId="6C68BEDE" w:rsidR="000F196F" w:rsidRPr="0077506C" w:rsidRDefault="000F196F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9E5A18">
              <w:rPr>
                <w:b/>
                <w:szCs w:val="24"/>
              </w:rPr>
              <w:t>NE</w:t>
            </w:r>
          </w:p>
        </w:tc>
      </w:tr>
      <w:tr w:rsidR="00F96AE2" w:rsidRPr="0077506C" w14:paraId="09005516" w14:textId="77777777" w:rsidTr="0097431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8B41E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66B382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14:paraId="1A56A4E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3A21CC39" w14:textId="77777777" w:rsidTr="00974315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6CCCDE71" w14:textId="2E83A3B8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6.24.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0A7E90C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14:paraId="3484381F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F69C857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28378B9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75F325D3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0BFF072B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1BBEB540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1C2A54E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34C9361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Izravni učinci</w:t>
                  </w:r>
                </w:p>
              </w:tc>
            </w:tr>
            <w:tr w:rsidR="00F96AE2" w:rsidRPr="0077506C" w14:paraId="66357B6B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E3C16E3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246FCF9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863B5B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3E5452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</w:tr>
            <w:tr w:rsidR="00F96AE2" w:rsidRPr="0077506C" w14:paraId="78155BD6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CCA977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8DFBCB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01721C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E83946F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E22E41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  <w:tr w:rsidR="00F96AE2" w:rsidRPr="0077506C" w14:paraId="3EEBA4F8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7113FB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B186C1D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F8458B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909107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18A7D7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  <w:tr w:rsidR="00F96AE2" w:rsidRPr="0077506C" w14:paraId="05733AA9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248AF8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1F433DF" w14:textId="77777777" w:rsidR="00F96AE2" w:rsidRPr="00E756C8" w:rsidRDefault="00F96AE2" w:rsidP="00E756C8">
                  <w:pPr>
                    <w:pStyle w:val="Heading2"/>
                  </w:pPr>
                  <w:r w:rsidRPr="00E756C8"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76BB85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04980F" w14:textId="77777777" w:rsidR="00F96AE2" w:rsidRPr="00E756C8" w:rsidRDefault="00F96AE2" w:rsidP="00E756C8">
                  <w:pPr>
                    <w:pStyle w:val="Heading2"/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4A60E1" w14:textId="77777777" w:rsidR="00F96AE2" w:rsidRPr="00E756C8" w:rsidRDefault="00F96AE2" w:rsidP="00E756C8">
                  <w:pPr>
                    <w:pStyle w:val="Heading2"/>
                  </w:pPr>
                </w:p>
              </w:tc>
            </w:tr>
          </w:tbl>
          <w:p w14:paraId="309E0B3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  <w:tr w:rsidR="00F96AE2" w:rsidRPr="0077506C" w14:paraId="07DB2E7C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DA46ED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83DEB0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14:paraId="2A6F389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14:paraId="0A8AB7F8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E9309E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9F018B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F0319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28" w:type="dxa"/>
            <w:shd w:val="clear" w:color="auto" w:fill="FFFFFF" w:themeFill="background1"/>
          </w:tcPr>
          <w:p w14:paraId="2BAC42C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14:paraId="4DE6EE4A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06C0593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1C2C898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3A59A8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325D847" w14:textId="205E3EA1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26493CB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2F50663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3A6D79C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14:paraId="14E5E3E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67549813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786B72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062D15E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AAF1F4F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B50D6FD" w14:textId="33D92EA8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F0D809C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35B0DF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47334FE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168D8AAB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48E49AE5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40BCD3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3CDA4E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3D1D6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A9D8ADA" w14:textId="77AEB319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E0D0245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5172AE5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64D555A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6743C5ED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4CFCD70E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41CDD7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226A0F1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D23A9A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11EFDD5" w14:textId="6D206185" w:rsidR="00F96AE2" w:rsidRPr="0077506C" w:rsidRDefault="00B54061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4219284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AD30589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C881D4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7CD72133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04CCE33F" w14:textId="77777777" w:rsidTr="0097431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6FECEDB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28529FE5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14:paraId="49EEB618" w14:textId="77777777" w:rsidTr="0097431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3368D3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5"/>
            <w:shd w:val="clear" w:color="auto" w:fill="FFFFFF" w:themeFill="background1"/>
          </w:tcPr>
          <w:p w14:paraId="1ED3C8E7" w14:textId="0E4A289A" w:rsidR="00F96AE2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4E044408" w14:textId="3E75CA1A" w:rsidR="00B54061" w:rsidRPr="0077506C" w:rsidRDefault="00B54061" w:rsidP="00E756C8">
            <w:pPr>
              <w:pStyle w:val="Heading2"/>
              <w:outlineLvl w:val="1"/>
              <w:rPr>
                <w:szCs w:val="24"/>
              </w:rPr>
            </w:pPr>
            <w:r>
              <w:t xml:space="preserve">Nacrtom prijedloga Zakona utvrdit će se i uspostavit institucionalni okvir za </w:t>
            </w:r>
            <w:r>
              <w:rPr>
                <w:szCs w:val="24"/>
              </w:rPr>
              <w:t>provedbu fondova Unije koji će se provoditi u Republici Hrvatskoj u okviru podijeljenog upravljanja</w:t>
            </w:r>
            <w:r w:rsidR="009B4844">
              <w:rPr>
                <w:szCs w:val="24"/>
              </w:rPr>
              <w:t xml:space="preserve"> </w:t>
            </w:r>
            <w:r w:rsidR="009B4844" w:rsidRPr="009B4844">
              <w:rPr>
                <w:sz w:val="18"/>
                <w:szCs w:val="18"/>
              </w:rPr>
              <w:t>7</w:t>
            </w:r>
            <w:r>
              <w:rPr>
                <w:szCs w:val="24"/>
              </w:rPr>
              <w:t>,</w:t>
            </w:r>
            <w:r w:rsidR="009B484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mjera koje se financiraju u okviru podijeljenog upravljanja u Europskom fondu za pomorstvo i ribarstvo, Fondu za azil i migracije, Fondu za unutarnju sigurnosti i Fondu za integrirano upravljanje granicama u financijskom razdoblju 2021.-2027. </w:t>
            </w:r>
          </w:p>
          <w:p w14:paraId="3DCF048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</w:tr>
    </w:tbl>
    <w:p w14:paraId="46EB0DB9" w14:textId="77777777" w:rsidR="00CD2523" w:rsidRDefault="00CD2523" w:rsidP="00E756C8">
      <w:pPr>
        <w:pStyle w:val="Heading2"/>
      </w:pPr>
    </w:p>
    <w:p w14:paraId="229E32F0" w14:textId="07EDBFFD" w:rsidR="00536EC7" w:rsidRPr="00CD2523" w:rsidRDefault="00CD2523" w:rsidP="00E756C8">
      <w:pPr>
        <w:pStyle w:val="Heading2"/>
      </w:pPr>
      <w:r w:rsidRPr="009B4844">
        <w:rPr>
          <w:sz w:val="18"/>
          <w:szCs w:val="18"/>
        </w:rPr>
        <w:t>7</w:t>
      </w:r>
      <w:r w:rsidRPr="00CD2523">
        <w:t xml:space="preserve"> </w:t>
      </w:r>
      <w:r w:rsidR="00536EC7" w:rsidRPr="00CD2523">
        <w:t>Europski fond za regionalni razvoj (EFRR), Kohezijski fond (KF) i Europski socijalni fond plus (ESF+)</w:t>
      </w:r>
    </w:p>
    <w:tbl>
      <w:tblPr>
        <w:tblStyle w:val="TableGrid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64"/>
      </w:tblGrid>
      <w:tr w:rsidR="00536EC7" w:rsidRPr="0077506C" w14:paraId="0EAE0F53" w14:textId="77777777" w:rsidTr="00097942">
        <w:trPr>
          <w:trHeight w:val="3330"/>
        </w:trPr>
        <w:tc>
          <w:tcPr>
            <w:tcW w:w="993" w:type="dxa"/>
          </w:tcPr>
          <w:p w14:paraId="2A14D81D" w14:textId="11F2D91B" w:rsidR="00536EC7" w:rsidRPr="0077506C" w:rsidRDefault="00536EC7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</w:tcPr>
          <w:p w14:paraId="4E4CDD6F" w14:textId="77777777" w:rsidR="00536EC7" w:rsidRDefault="00536EC7" w:rsidP="00E756C8">
            <w:pPr>
              <w:pStyle w:val="Heading2"/>
              <w:outlineLvl w:val="1"/>
            </w:pPr>
            <w:r>
              <w:t xml:space="preserve">Temeljem predloženog zakonodavnog okvira, Vlada Republike Hrvatske će donijeti podzakonske propise, u obliku Uredbi, kojima će se razraditi Zakonom utvrđena prava i obveze, odnosno tijelima utvrđenim Zakonom dodijelit će se specifične funkcije u sustavima upravljanja i kontrole programa fondova Unije financijskog razdoblja 2021.-2027. </w:t>
            </w:r>
          </w:p>
          <w:p w14:paraId="75D7C157" w14:textId="77777777" w:rsidR="00536EC7" w:rsidRDefault="00536EC7" w:rsidP="00E756C8">
            <w:pPr>
              <w:pStyle w:val="Heading2"/>
              <w:outlineLvl w:val="1"/>
            </w:pPr>
          </w:p>
          <w:p w14:paraId="7CB3897A" w14:textId="6C4E8DED" w:rsidR="00536EC7" w:rsidRPr="0077506C" w:rsidRDefault="00536EC7" w:rsidP="00E756C8">
            <w:pPr>
              <w:pStyle w:val="Heading2"/>
              <w:outlineLvl w:val="1"/>
              <w:rPr>
                <w:b/>
                <w:szCs w:val="24"/>
              </w:rPr>
            </w:pPr>
            <w:r>
              <w:t>Institucionalni okvir, kao i pojedini sustavi upravljanja i kontrole odnose se na tijela državne i javne uprave, te definiranje njihove uloge u okviru/sustavu nema izravnog učinka na male i srednje poduzetnike.</w:t>
            </w:r>
          </w:p>
        </w:tc>
      </w:tr>
      <w:tr w:rsidR="00F96AE2" w:rsidRPr="0077506C" w14:paraId="0F62E723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CC8FE2" w14:textId="2A241121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3B8B0C8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F96AE2" w:rsidRPr="0077506C" w14:paraId="451D422D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49F491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10384A20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14:paraId="5A80733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0CD194D3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9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14:paraId="5F4715D4" w14:textId="77777777" w:rsidR="00F96AE2" w:rsidRPr="0077506C" w:rsidRDefault="00F96AE2" w:rsidP="00E756C8">
            <w:pPr>
              <w:pStyle w:val="Heading2"/>
              <w:outlineLvl w:val="1"/>
              <w:rPr>
                <w:b/>
                <w:szCs w:val="24"/>
              </w:rPr>
            </w:pPr>
          </w:p>
        </w:tc>
      </w:tr>
      <w:tr w:rsidR="00F96AE2" w:rsidRPr="0077506C" w14:paraId="2A93E402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80A23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7DC316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5561492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14:paraId="1040A20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14:paraId="1A93E0B9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14:paraId="3620E350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14:paraId="26BD4031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</w:p>
          <w:p w14:paraId="45546042" w14:textId="77777777" w:rsidR="00F96AE2" w:rsidRPr="0077506C" w:rsidRDefault="00F96AE2" w:rsidP="00E756C8">
            <w:pPr>
              <w:pStyle w:val="Heading2"/>
              <w:outlineLvl w:val="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50FD9041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14:paraId="3CCD3D6D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9EE4C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8BAE3FC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40" w:type="dxa"/>
            <w:gridSpan w:val="2"/>
            <w:shd w:val="clear" w:color="auto" w:fill="FFFFFF" w:themeFill="background1"/>
          </w:tcPr>
          <w:p w14:paraId="54C8F78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14:paraId="35407A73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BA65B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1DC5B79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FFFFFF" w:themeFill="background1"/>
          </w:tcPr>
          <w:p w14:paraId="4DADE375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64" w:type="dxa"/>
            <w:shd w:val="clear" w:color="auto" w:fill="FFFFFF" w:themeFill="background1"/>
          </w:tcPr>
          <w:p w14:paraId="22FBE9A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11666384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A6572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shd w:val="clear" w:color="auto" w:fill="FFFFFF" w:themeFill="background1"/>
          </w:tcPr>
          <w:p w14:paraId="59698685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shd w:val="clear" w:color="auto" w:fill="FFFFFF" w:themeFill="background1"/>
          </w:tcPr>
          <w:p w14:paraId="405A8DFC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D05C513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4BEBDB9A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046AF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shd w:val="clear" w:color="auto" w:fill="FFFFFF" w:themeFill="background1"/>
          </w:tcPr>
          <w:p w14:paraId="64874490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E3E2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E841379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2D99A4D9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548A33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shd w:val="clear" w:color="auto" w:fill="FFFFFF" w:themeFill="background1"/>
          </w:tcPr>
          <w:p w14:paraId="7046858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shd w:val="clear" w:color="auto" w:fill="FFFFFF" w:themeFill="background1"/>
          </w:tcPr>
          <w:p w14:paraId="5C7DF61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757C7D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328993EC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55DF5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shd w:val="clear" w:color="auto" w:fill="FFFFFF" w:themeFill="background1"/>
          </w:tcPr>
          <w:p w14:paraId="4B65E386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shd w:val="clear" w:color="auto" w:fill="FFFFFF" w:themeFill="background1"/>
          </w:tcPr>
          <w:p w14:paraId="1ED65A2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204C84A6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090BE002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FC8060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8.5.</w:t>
            </w:r>
          </w:p>
        </w:tc>
        <w:tc>
          <w:tcPr>
            <w:tcW w:w="6662" w:type="dxa"/>
            <w:shd w:val="clear" w:color="auto" w:fill="FFFFFF" w:themeFill="background1"/>
          </w:tcPr>
          <w:p w14:paraId="0BD5D33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shd w:val="clear" w:color="auto" w:fill="FFFFFF" w:themeFill="background1"/>
          </w:tcPr>
          <w:p w14:paraId="2513E35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0705EAC3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082D26DE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9D63CD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shd w:val="clear" w:color="auto" w:fill="FFFFFF" w:themeFill="background1"/>
          </w:tcPr>
          <w:p w14:paraId="5C0A765A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shd w:val="clear" w:color="auto" w:fill="FFFFFF" w:themeFill="background1"/>
          </w:tcPr>
          <w:p w14:paraId="186B5475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893C659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70AF3B6C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38C0A8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743B4BC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40" w:type="dxa"/>
            <w:gridSpan w:val="2"/>
            <w:shd w:val="clear" w:color="auto" w:fill="FFFFFF" w:themeFill="background1"/>
          </w:tcPr>
          <w:p w14:paraId="2B7989F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14:paraId="752577B6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8784E4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shd w:val="clear" w:color="auto" w:fill="FFFFFF" w:themeFill="background1"/>
          </w:tcPr>
          <w:p w14:paraId="2301CC9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shd w:val="clear" w:color="auto" w:fill="FFFFFF" w:themeFill="background1"/>
          </w:tcPr>
          <w:p w14:paraId="171355D7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64" w:type="dxa"/>
            <w:shd w:val="clear" w:color="auto" w:fill="FFFFFF" w:themeFill="background1"/>
          </w:tcPr>
          <w:p w14:paraId="5BD0D26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5277EF1F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6E725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shd w:val="clear" w:color="auto" w:fill="FFFFFF" w:themeFill="background1"/>
          </w:tcPr>
          <w:p w14:paraId="5D251266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shd w:val="clear" w:color="auto" w:fill="FFFFFF" w:themeFill="background1"/>
          </w:tcPr>
          <w:p w14:paraId="723FC5F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139B938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00ED9357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1D57DE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shd w:val="clear" w:color="auto" w:fill="FFFFFF" w:themeFill="background1"/>
          </w:tcPr>
          <w:p w14:paraId="26C0D729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shd w:val="clear" w:color="auto" w:fill="FFFFFF" w:themeFill="background1"/>
          </w:tcPr>
          <w:p w14:paraId="4F0B0ED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764645B8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5821DA28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3A2EDF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shd w:val="clear" w:color="auto" w:fill="FFFFFF" w:themeFill="background1"/>
          </w:tcPr>
          <w:p w14:paraId="1424F8AF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shd w:val="clear" w:color="auto" w:fill="FFFFFF" w:themeFill="background1"/>
          </w:tcPr>
          <w:p w14:paraId="6964FE1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14:paraId="6275B15B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70D3D917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5BB122A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14B4A2BD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</w:p>
        </w:tc>
      </w:tr>
      <w:tr w:rsidR="00F96AE2" w:rsidRPr="0077506C" w14:paraId="3C3F8139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3C3C8C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43EB7DA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F96AE2" w:rsidRPr="0077506C" w14:paraId="1A3ADE82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4D4B96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0F599834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</w:p>
          <w:p w14:paraId="7B30CD24" w14:textId="77777777" w:rsidR="00F96AE2" w:rsidRPr="0077506C" w:rsidRDefault="0077506C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</w:p>
        </w:tc>
      </w:tr>
      <w:tr w:rsidR="00F96AE2" w:rsidRPr="0077506C" w14:paraId="52C59765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76E197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6EB938D1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F96AE2" w:rsidRPr="0097347E" w14:paraId="32018419" w14:textId="77777777" w:rsidTr="00536EC7">
        <w:tblPrEx>
          <w:shd w:val="clear" w:color="auto" w:fill="FFFFFF" w:themeFill="background1"/>
        </w:tblPrEx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4DE612" w14:textId="77777777" w:rsidR="00F96AE2" w:rsidRPr="0077506C" w:rsidRDefault="00F96AE2" w:rsidP="00E756C8">
            <w:pPr>
              <w:pStyle w:val="Heading2"/>
              <w:outlineLvl w:val="1"/>
              <w:rPr>
                <w:szCs w:val="24"/>
              </w:rPr>
            </w:pP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247FF4FE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14:paraId="5BE66D72" w14:textId="77777777" w:rsidR="00F96AE2" w:rsidRPr="0077506C" w:rsidRDefault="00F96AE2" w:rsidP="00E756C8">
            <w:pPr>
              <w:pStyle w:val="Heading2"/>
              <w:outlineLvl w:val="1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7F356E6C" w14:textId="77777777"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2E515" w14:textId="77777777" w:rsidR="00405C6F" w:rsidRDefault="00405C6F" w:rsidP="0077506C">
      <w:r>
        <w:separator/>
      </w:r>
    </w:p>
  </w:endnote>
  <w:endnote w:type="continuationSeparator" w:id="0">
    <w:p w14:paraId="743A0A74" w14:textId="77777777" w:rsidR="00405C6F" w:rsidRDefault="00405C6F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062297"/>
      <w:docPartObj>
        <w:docPartGallery w:val="Page Numbers (Bottom of Page)"/>
        <w:docPartUnique/>
      </w:docPartObj>
    </w:sdtPr>
    <w:sdtEndPr/>
    <w:sdtContent>
      <w:p w14:paraId="7B0156CC" w14:textId="77777777" w:rsidR="00DE7E8B" w:rsidRDefault="00DE7E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6BD46F" w14:textId="77777777" w:rsidR="00DE7E8B" w:rsidRDefault="00DE7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D46B" w14:textId="77777777" w:rsidR="00405C6F" w:rsidRDefault="00405C6F" w:rsidP="0077506C">
      <w:r>
        <w:separator/>
      </w:r>
    </w:p>
  </w:footnote>
  <w:footnote w:type="continuationSeparator" w:id="0">
    <w:p w14:paraId="3F76D687" w14:textId="77777777" w:rsidR="00405C6F" w:rsidRDefault="00405C6F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32A0"/>
    <w:multiLevelType w:val="hybridMultilevel"/>
    <w:tmpl w:val="129E9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36"/>
  </w:num>
  <w:num w:numId="4">
    <w:abstractNumId w:val="5"/>
  </w:num>
  <w:num w:numId="5">
    <w:abstractNumId w:val="17"/>
  </w:num>
  <w:num w:numId="6">
    <w:abstractNumId w:val="14"/>
  </w:num>
  <w:num w:numId="7">
    <w:abstractNumId w:val="13"/>
  </w:num>
  <w:num w:numId="8">
    <w:abstractNumId w:val="26"/>
  </w:num>
  <w:num w:numId="9">
    <w:abstractNumId w:val="31"/>
  </w:num>
  <w:num w:numId="10">
    <w:abstractNumId w:val="28"/>
  </w:num>
  <w:num w:numId="11">
    <w:abstractNumId w:val="29"/>
  </w:num>
  <w:num w:numId="12">
    <w:abstractNumId w:val="25"/>
  </w:num>
  <w:num w:numId="13">
    <w:abstractNumId w:val="1"/>
  </w:num>
  <w:num w:numId="14">
    <w:abstractNumId w:val="12"/>
  </w:num>
  <w:num w:numId="15">
    <w:abstractNumId w:val="21"/>
  </w:num>
  <w:num w:numId="16">
    <w:abstractNumId w:val="9"/>
  </w:num>
  <w:num w:numId="17">
    <w:abstractNumId w:val="10"/>
  </w:num>
  <w:num w:numId="18">
    <w:abstractNumId w:val="40"/>
  </w:num>
  <w:num w:numId="19">
    <w:abstractNumId w:val="11"/>
  </w:num>
  <w:num w:numId="20">
    <w:abstractNumId w:val="32"/>
  </w:num>
  <w:num w:numId="21">
    <w:abstractNumId w:val="43"/>
  </w:num>
  <w:num w:numId="22">
    <w:abstractNumId w:val="38"/>
  </w:num>
  <w:num w:numId="23">
    <w:abstractNumId w:val="7"/>
  </w:num>
  <w:num w:numId="24">
    <w:abstractNumId w:val="18"/>
  </w:num>
  <w:num w:numId="25">
    <w:abstractNumId w:val="33"/>
  </w:num>
  <w:num w:numId="26">
    <w:abstractNumId w:val="37"/>
  </w:num>
  <w:num w:numId="27">
    <w:abstractNumId w:val="34"/>
  </w:num>
  <w:num w:numId="28">
    <w:abstractNumId w:val="35"/>
  </w:num>
  <w:num w:numId="29">
    <w:abstractNumId w:val="27"/>
  </w:num>
  <w:num w:numId="30">
    <w:abstractNumId w:val="22"/>
  </w:num>
  <w:num w:numId="31">
    <w:abstractNumId w:val="30"/>
  </w:num>
  <w:num w:numId="32">
    <w:abstractNumId w:val="8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3"/>
  </w:num>
  <w:num w:numId="39">
    <w:abstractNumId w:val="19"/>
  </w:num>
  <w:num w:numId="40">
    <w:abstractNumId w:val="16"/>
  </w:num>
  <w:num w:numId="41">
    <w:abstractNumId w:val="42"/>
  </w:num>
  <w:num w:numId="42">
    <w:abstractNumId w:val="41"/>
  </w:num>
  <w:num w:numId="43">
    <w:abstractNumId w:val="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E2"/>
    <w:rsid w:val="00003D59"/>
    <w:rsid w:val="00012BEF"/>
    <w:rsid w:val="0003158B"/>
    <w:rsid w:val="00046E35"/>
    <w:rsid w:val="000831E8"/>
    <w:rsid w:val="000E67A8"/>
    <w:rsid w:val="000E6BCB"/>
    <w:rsid w:val="000F078A"/>
    <w:rsid w:val="000F196F"/>
    <w:rsid w:val="000F1C82"/>
    <w:rsid w:val="00103FEE"/>
    <w:rsid w:val="0012522C"/>
    <w:rsid w:val="001306AC"/>
    <w:rsid w:val="00133484"/>
    <w:rsid w:val="00161A7F"/>
    <w:rsid w:val="0019648F"/>
    <w:rsid w:val="001B0F4B"/>
    <w:rsid w:val="00203244"/>
    <w:rsid w:val="002608D1"/>
    <w:rsid w:val="002D5E96"/>
    <w:rsid w:val="0031769C"/>
    <w:rsid w:val="00317A82"/>
    <w:rsid w:val="00331AD3"/>
    <w:rsid w:val="00352005"/>
    <w:rsid w:val="003D3DF7"/>
    <w:rsid w:val="00405C6F"/>
    <w:rsid w:val="00417C14"/>
    <w:rsid w:val="00427346"/>
    <w:rsid w:val="004B2B8B"/>
    <w:rsid w:val="004E2C75"/>
    <w:rsid w:val="00512BB9"/>
    <w:rsid w:val="00517382"/>
    <w:rsid w:val="0052576E"/>
    <w:rsid w:val="0053340B"/>
    <w:rsid w:val="00536EC7"/>
    <w:rsid w:val="00553B21"/>
    <w:rsid w:val="005703B6"/>
    <w:rsid w:val="005A0D49"/>
    <w:rsid w:val="00622CE6"/>
    <w:rsid w:val="006318B6"/>
    <w:rsid w:val="00651D75"/>
    <w:rsid w:val="0066494A"/>
    <w:rsid w:val="00697CC0"/>
    <w:rsid w:val="006D42CE"/>
    <w:rsid w:val="00700FEF"/>
    <w:rsid w:val="0071467E"/>
    <w:rsid w:val="007743E6"/>
    <w:rsid w:val="0077506C"/>
    <w:rsid w:val="007E45C3"/>
    <w:rsid w:val="00815C71"/>
    <w:rsid w:val="00830D68"/>
    <w:rsid w:val="00856237"/>
    <w:rsid w:val="00856D65"/>
    <w:rsid w:val="00860F96"/>
    <w:rsid w:val="00865BF8"/>
    <w:rsid w:val="008905D1"/>
    <w:rsid w:val="008A6AE3"/>
    <w:rsid w:val="008B46F6"/>
    <w:rsid w:val="00940218"/>
    <w:rsid w:val="00942DC5"/>
    <w:rsid w:val="00974315"/>
    <w:rsid w:val="009B4844"/>
    <w:rsid w:val="009D5199"/>
    <w:rsid w:val="00A125D3"/>
    <w:rsid w:val="00A27E93"/>
    <w:rsid w:val="00A70780"/>
    <w:rsid w:val="00AB3186"/>
    <w:rsid w:val="00AC16DA"/>
    <w:rsid w:val="00AF08B7"/>
    <w:rsid w:val="00B33AB2"/>
    <w:rsid w:val="00B54061"/>
    <w:rsid w:val="00BC0D3A"/>
    <w:rsid w:val="00BD47A2"/>
    <w:rsid w:val="00C55AC7"/>
    <w:rsid w:val="00C605D1"/>
    <w:rsid w:val="00C86713"/>
    <w:rsid w:val="00CD2523"/>
    <w:rsid w:val="00D0380F"/>
    <w:rsid w:val="00D24D7F"/>
    <w:rsid w:val="00D57F78"/>
    <w:rsid w:val="00D65432"/>
    <w:rsid w:val="00D81618"/>
    <w:rsid w:val="00D81B4D"/>
    <w:rsid w:val="00DA4771"/>
    <w:rsid w:val="00DE7E8B"/>
    <w:rsid w:val="00DF59A9"/>
    <w:rsid w:val="00E37ECB"/>
    <w:rsid w:val="00E435BF"/>
    <w:rsid w:val="00E6690C"/>
    <w:rsid w:val="00E756C8"/>
    <w:rsid w:val="00E77947"/>
    <w:rsid w:val="00EC0EA7"/>
    <w:rsid w:val="00F355C0"/>
    <w:rsid w:val="00F65BAA"/>
    <w:rsid w:val="00F71B05"/>
    <w:rsid w:val="00F92E1A"/>
    <w:rsid w:val="00F949BB"/>
    <w:rsid w:val="00F96AE2"/>
    <w:rsid w:val="00FD3E2C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773F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03D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3D59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03D5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4021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15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71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71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7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E75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novoselac@mrrfe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C9FB-1259-4D17-A9C6-C6EA5E66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Jadranka Tadić</cp:lastModifiedBy>
  <cp:revision>5</cp:revision>
  <cp:lastPrinted>2018-09-04T11:23:00Z</cp:lastPrinted>
  <dcterms:created xsi:type="dcterms:W3CDTF">2019-09-16T12:11:00Z</dcterms:created>
  <dcterms:modified xsi:type="dcterms:W3CDTF">2019-09-16T12:28:00Z</dcterms:modified>
</cp:coreProperties>
</file>