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7609B6" w:rsidP="004C59DC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Prijedlog</w:t>
            </w:r>
            <w:bookmarkStart w:id="0" w:name="_GoBack"/>
            <w:bookmarkEnd w:id="0"/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PROGRAMA PRAĆENJA KVALITET</w:t>
            </w:r>
            <w:r w:rsidR="00FB6023">
              <w:rPr>
                <w:rFonts w:ascii="Arial" w:eastAsia="Simsun (Founder Extended)" w:hAnsi="Arial" w:cs="Arial"/>
                <w:sz w:val="20"/>
                <w:szCs w:val="20"/>
              </w:rPr>
              <w:t>E TEKUĆIH NAFTNIH GORIVA ZA 2020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4C59DC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FB6023" w:rsidRPr="00FB6023" w:rsidRDefault="00FB6023" w:rsidP="00FB60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B6023">
              <w:rPr>
                <w:rFonts w:ascii="Arial" w:eastAsia="Simsun (Founder Extended)" w:hAnsi="Arial" w:cs="Arial"/>
                <w:sz w:val="20"/>
                <w:szCs w:val="20"/>
              </w:rPr>
              <w:t xml:space="preserve">Pravna osnova za donošenje Programa praćenja kvalitete tekućih naftnih goriva za 2020. godinu je članak 26. </w:t>
            </w:r>
            <w:r w:rsidRPr="00FB6023">
              <w:rPr>
                <w:rFonts w:ascii="Arial" w:eastAsia="Simsun (Founder Extended)" w:hAnsi="Arial" w:cs="Arial"/>
                <w:i/>
                <w:sz w:val="20"/>
                <w:szCs w:val="20"/>
              </w:rPr>
              <w:t>Uredbe o kvaliteti tekućih naftnih goriva i načinu praćenja i izvješćivanja te metodologiji izračuna emisija stakleničkih plinova u životnom vijeku isporučenih goriva i energije</w:t>
            </w:r>
            <w:r w:rsidRPr="00FB6023">
              <w:rPr>
                <w:rFonts w:ascii="Arial" w:eastAsia="Simsun (Founder Extended)" w:hAnsi="Arial" w:cs="Arial"/>
                <w:sz w:val="20"/>
                <w:szCs w:val="20"/>
              </w:rPr>
              <w:t xml:space="preserve"> (NN, broj 57/17) kojim je dana ovlast ministru zaštite okoliša i energetike za donošenjem godišnjeg Programa kojim se obuhvaćaju dobavljači koji tekuća naftna goriva stavljaju na tržište ili koriste za vlastite potrebe. </w:t>
            </w:r>
          </w:p>
          <w:p w:rsidR="00FB6023" w:rsidRPr="00FB6023" w:rsidRDefault="00FB6023" w:rsidP="00FB60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B6023" w:rsidRPr="00FB6023" w:rsidRDefault="00FB6023" w:rsidP="00FB60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B6023">
              <w:rPr>
                <w:rFonts w:ascii="Arial" w:eastAsia="Simsun (Founder Extended)" w:hAnsi="Arial" w:cs="Arial"/>
                <w:sz w:val="20"/>
                <w:szCs w:val="20"/>
              </w:rPr>
              <w:t>Tekuća naftna goriva koja su obuhvaćena ovim Programom su benzin, dizel, plinsko i loživo ulje te brodska goriva.</w:t>
            </w:r>
          </w:p>
          <w:p w:rsidR="00FB6023" w:rsidRPr="00FB6023" w:rsidRDefault="00FB6023" w:rsidP="00FB60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4C59DC" w:rsidRPr="00AA051D" w:rsidRDefault="00FB6023" w:rsidP="00FB60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B6023">
              <w:rPr>
                <w:rFonts w:ascii="Arial" w:eastAsia="Simsun (Founder Extended)" w:hAnsi="Arial" w:cs="Arial"/>
                <w:sz w:val="20"/>
                <w:szCs w:val="20"/>
              </w:rPr>
              <w:t>Svrha donošenja Programa je praćenje i provjera kvalitete navedenih goriva koja se stavljaju na tržište te njihovom udovoljavanju propisanim odredbama kvalitete iz Uredbe o kvaliteti tekućih naftnih goriva, a naročito propisanoj količini sumpora u gorivima.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FB6023" w:rsidP="004C59D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15. listopada 2019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1806F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za e-savjetovanje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FB6023" w:rsidRPr="00FB6023" w:rsidRDefault="00FB6023" w:rsidP="00FB60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Prijedlogom Programa propisuje se:</w:t>
            </w:r>
          </w:p>
          <w:p w:rsidR="00FB6023" w:rsidRPr="00FB6023" w:rsidRDefault="00FB6023" w:rsidP="00FB6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način uzorkovanja tekućih naftnih goriva na benzinskim postajama,</w:t>
            </w:r>
          </w:p>
          <w:p w:rsidR="00FB6023" w:rsidRPr="00FB6023" w:rsidRDefault="00FB6023" w:rsidP="00FB6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broj i učestalost uzimanja uzoraka i lokacije uzorkovanja tekućih naftnih goriva na benzinskim postajama po dobavljačima,</w:t>
            </w:r>
          </w:p>
          <w:p w:rsidR="00FB6023" w:rsidRPr="00FB6023" w:rsidRDefault="00FB6023" w:rsidP="00FB6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način uzorkovanja tekućih naftnih goriva na skladištima,</w:t>
            </w:r>
          </w:p>
          <w:p w:rsidR="00FB6023" w:rsidRPr="00FB6023" w:rsidRDefault="00FB6023" w:rsidP="00FB6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broj uzorkovanja tekućih naftnih goriva na skladištima po dobavljačima,</w:t>
            </w:r>
          </w:p>
          <w:p w:rsidR="004C59DC" w:rsidRPr="00FB6023" w:rsidRDefault="00FB6023" w:rsidP="00FB602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023">
              <w:rPr>
                <w:rFonts w:ascii="Arial" w:hAnsi="Arial" w:cs="Arial"/>
                <w:sz w:val="20"/>
                <w:szCs w:val="20"/>
              </w:rPr>
              <w:t>laboratorijska analiza uzoraka tekućih naftnih goriva i izvješćivanje o rezultatima.</w:t>
            </w:r>
          </w:p>
          <w:p w:rsidR="001806F9" w:rsidRDefault="00FB6023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B6023">
              <w:rPr>
                <w:rFonts w:ascii="Arial" w:eastAsia="Simsun (Founder Extended)" w:hAnsi="Arial" w:cs="Arial"/>
                <w:sz w:val="20"/>
                <w:szCs w:val="20"/>
              </w:rPr>
              <w:t>Izrađenim prijedlogom Programa je u 2020. godini predviđeno ukupno 506 uzorkovanja i analiza tekućih naftnih goriva (375 na benzinskim postajama i 131 na terminalima) za 46 pravnih osoba (dobavljača) koje stavljaju tekuća naftna goriva na tržište Republike Hrvatske.</w:t>
            </w:r>
          </w:p>
          <w:p w:rsidR="001806F9" w:rsidRDefault="001806F9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Donošenjem predmetnog Programa provode se odredbe iz Uredbe o kvaliteti tekućih naftnih goriva i načinu praćenja i izvješćivanja te metodologiji izračuna emisija stakleničkih plinova u životnom vijeku isporučenih goriva i energije kojom je usklađeno hrvatsko zakonodavstvo iz područja zaštite okoliša sa pravnom stečevinom Europske unije i odredbama Direktive 98/70/EZ od 13. listopada 1998. u pogledu specifikacija benzina, dizelskog goriva i plinskog ulja i uvođenjem mehanizama praćenja i smanjivanja emisija stakleničkih plinova i Direktive Vijeća 1999/32/EZ o smanjenju sadržaja sumpora u određenim tekućim gorivima, te njihovim izmjenama i dopunama kroz Direktivu 2003/17/EZ Europskog parlamenata i Vijeća od 03. ožujka 2003. godine, Direktivu 2005/33EZ Europskog parlamenta i Vijeća od 06. srpnja 2005., Direktivu 2009/30/EZ Europskog parlamenta i Vijeća od 23. travnja 2009. i Direktivu 2012/33/EU Europskog parlamenta i Vijeća od 21. studenoga 2012.</w:t>
            </w:r>
          </w:p>
          <w:p w:rsidR="001806F9" w:rsidRPr="00AA051D" w:rsidRDefault="001806F9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Obveza praćenja kvalitete benzina i dizelskog goriva za sve članice Europske unije propisana je Direktivom 98/70/EZ i njenim izmjenama i dopunama kroz Direktive 2003/17/EZ i 2009/30/EZ dok je obveza praćenja plinskog i loživog ulja te brodskih goriva propisana Direktivom 1999/32/EZ i njenim izmjenama i dopunama kroz Direktivu 2012/33/EU. Minimalni broj uzoraka kroz godinu i način praćenja tekućih naftnih goriva propisuje se u skladu sa standardima Europske unije odnosno temeljem pravila statističke metode HRN EN 14274.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1806F9" w:rsidP="001806F9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Javnost i zainteresirana javnost može se uključiti u izradu Prijedloga Programa davanjem svojih prijedloga, mišljenja ili primjedbi putem portala e-Savjetovanja u razdoblju</w:t>
            </w:r>
            <w:r w:rsidR="007609B6">
              <w:rPr>
                <w:rFonts w:ascii="Arial" w:eastAsia="Simsun (Founder Extended)" w:hAnsi="Arial" w:cs="Arial"/>
                <w:sz w:val="20"/>
                <w:szCs w:val="20"/>
              </w:rPr>
              <w:t xml:space="preserve"> od 30 dana od dana objave ovog savjetovanja</w:t>
            </w: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56F"/>
    <w:multiLevelType w:val="hybridMultilevel"/>
    <w:tmpl w:val="5CD0F9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8777D"/>
    <w:rsid w:val="000A69CB"/>
    <w:rsid w:val="00117139"/>
    <w:rsid w:val="001806F9"/>
    <w:rsid w:val="00297BD5"/>
    <w:rsid w:val="004C59DC"/>
    <w:rsid w:val="0066471C"/>
    <w:rsid w:val="007609B6"/>
    <w:rsid w:val="007968C1"/>
    <w:rsid w:val="007A3196"/>
    <w:rsid w:val="0083569D"/>
    <w:rsid w:val="009436A5"/>
    <w:rsid w:val="00A14585"/>
    <w:rsid w:val="00A17EFF"/>
    <w:rsid w:val="00AA051D"/>
    <w:rsid w:val="00B0255E"/>
    <w:rsid w:val="00BE22C2"/>
    <w:rsid w:val="00BF0E0B"/>
    <w:rsid w:val="00C9590D"/>
    <w:rsid w:val="00CD5231"/>
    <w:rsid w:val="00DD1522"/>
    <w:rsid w:val="00E3268D"/>
    <w:rsid w:val="00E34ED3"/>
    <w:rsid w:val="00EE6637"/>
    <w:rsid w:val="00F46CF3"/>
    <w:rsid w:val="00F504AD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788F"/>
  <w15:chartTrackingRefBased/>
  <w15:docId w15:val="{C9417520-A382-4B35-9917-826665D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Gordan Došen</cp:lastModifiedBy>
  <cp:revision>3</cp:revision>
  <dcterms:created xsi:type="dcterms:W3CDTF">2018-11-20T08:36:00Z</dcterms:created>
  <dcterms:modified xsi:type="dcterms:W3CDTF">2019-10-15T08:07:00Z</dcterms:modified>
</cp:coreProperties>
</file>