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5D23D" w14:textId="77777777" w:rsidR="00C408E2" w:rsidRDefault="00EC7570" w:rsidP="00C408E2">
      <w:pPr>
        <w:rPr>
          <w:rFonts w:ascii="CarolinaBar-B39-25F2" w:hAnsi="CarolinaBar-B39-25F2"/>
          <w:color w:val="000000"/>
          <w:sz w:val="32"/>
          <w:szCs w:val="32"/>
        </w:rPr>
      </w:pPr>
      <w:r w:rsidRPr="008D7790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53BAA4E" wp14:editId="2D01309A">
            <wp:extent cx="3841897" cy="1459865"/>
            <wp:effectExtent l="0" t="0" r="6350" b="6985"/>
            <wp:docPr id="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9F35DE4-0D2B-4222-AE70-17C2290A30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9F35DE4-0D2B-4222-AE70-17C2290A305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0" t="10735"/>
                    <a:stretch/>
                  </pic:blipFill>
                  <pic:spPr bwMode="auto">
                    <a:xfrm>
                      <a:off x="0" y="0"/>
                      <a:ext cx="3924859" cy="149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F26CE" w14:textId="77777777" w:rsidR="00C408E2" w:rsidRPr="007152B2" w:rsidRDefault="00C408E2" w:rsidP="008273C5">
      <w:pPr>
        <w:jc w:val="center"/>
        <w:rPr>
          <w:color w:val="000000"/>
        </w:rPr>
      </w:pPr>
    </w:p>
    <w:p w14:paraId="012092F8" w14:textId="77777777" w:rsidR="00DB3E84" w:rsidRDefault="00DB3E84" w:rsidP="00C408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9B2D762" w14:textId="77777777" w:rsidR="00DB3E84" w:rsidRDefault="00DB3E84" w:rsidP="00C408E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FDB9A6" w14:textId="673BC98E" w:rsidR="00C408E2" w:rsidRDefault="00C408E2" w:rsidP="00A118E4">
      <w:pPr>
        <w:jc w:val="center"/>
        <w:rPr>
          <w:rFonts w:ascii="Times New Roman" w:hAnsi="Times New Roman" w:cs="Times New Roman"/>
        </w:rPr>
      </w:pPr>
    </w:p>
    <w:p w14:paraId="6CC7DB96" w14:textId="49F02B76" w:rsidR="00C408E2" w:rsidRPr="003C616C" w:rsidRDefault="00CA60E9" w:rsidP="00940070">
      <w:pPr>
        <w:pStyle w:val="Title"/>
        <w:jc w:val="center"/>
        <w:rPr>
          <w:rStyle w:val="zadanifontodlomka"/>
          <w:rFonts w:ascii="Times New Roman" w:hAnsi="Times New Roman" w:cs="Times New Roman"/>
        </w:rPr>
      </w:pPr>
      <w:bookmarkStart w:id="0" w:name="_GoBack"/>
      <w:bookmarkEnd w:id="0"/>
      <w:r w:rsidRPr="003C616C">
        <w:rPr>
          <w:rStyle w:val="zadanifontodlomka"/>
          <w:rFonts w:ascii="Times New Roman" w:hAnsi="Times New Roman" w:cs="Times New Roman"/>
        </w:rPr>
        <w:t>Program „Hrvatski otočni proizvod“</w:t>
      </w:r>
    </w:p>
    <w:p w14:paraId="4A3FF1DE" w14:textId="77777777" w:rsidR="00C408E2" w:rsidRDefault="00C408E2">
      <w:pPr>
        <w:rPr>
          <w:rFonts w:ascii="Times New Roman" w:hAnsi="Times New Roman" w:cs="Times New Roman"/>
        </w:rPr>
      </w:pPr>
    </w:p>
    <w:p w14:paraId="122EAC8A" w14:textId="77777777" w:rsidR="00C408E2" w:rsidRDefault="00C408E2" w:rsidP="00B54DD6">
      <w:pPr>
        <w:pStyle w:val="Title"/>
        <w:contextualSpacing w:val="0"/>
        <w:jc w:val="center"/>
        <w:rPr>
          <w:rFonts w:ascii="Times New Roman" w:hAnsi="Times New Roman" w:cs="Times New Roman"/>
        </w:rPr>
      </w:pPr>
    </w:p>
    <w:p w14:paraId="239DEA46" w14:textId="77777777" w:rsidR="00DB3E84" w:rsidRDefault="00DB3E84" w:rsidP="00B136BE">
      <w:pPr>
        <w:spacing w:after="0"/>
        <w:rPr>
          <w:rFonts w:ascii="Times New Roman" w:hAnsi="Times New Roman" w:cs="Times New Roman"/>
        </w:rPr>
      </w:pPr>
    </w:p>
    <w:p w14:paraId="7C31457C" w14:textId="77777777" w:rsidR="00DB3E84" w:rsidRDefault="00DB3E84" w:rsidP="00B136BE">
      <w:pPr>
        <w:spacing w:after="0"/>
        <w:rPr>
          <w:rFonts w:ascii="Times New Roman" w:hAnsi="Times New Roman" w:cs="Times New Roman"/>
        </w:rPr>
      </w:pPr>
    </w:p>
    <w:p w14:paraId="09439FE2" w14:textId="77777777" w:rsidR="00DB3E84" w:rsidRDefault="00DB3E84" w:rsidP="00B136BE">
      <w:pPr>
        <w:spacing w:after="0"/>
        <w:rPr>
          <w:rFonts w:ascii="Times New Roman" w:hAnsi="Times New Roman" w:cs="Times New Roman"/>
        </w:rPr>
      </w:pPr>
    </w:p>
    <w:p w14:paraId="02596212" w14:textId="77777777" w:rsidR="00DB3E84" w:rsidRDefault="00DB3E84" w:rsidP="00B136BE">
      <w:pPr>
        <w:spacing w:after="0"/>
        <w:rPr>
          <w:rFonts w:ascii="Times New Roman" w:hAnsi="Times New Roman" w:cs="Times New Roman"/>
        </w:rPr>
      </w:pPr>
    </w:p>
    <w:p w14:paraId="3A13EC29" w14:textId="77777777" w:rsidR="00714A6D" w:rsidRDefault="00714A6D" w:rsidP="00B136BE">
      <w:pPr>
        <w:spacing w:after="0"/>
        <w:rPr>
          <w:rFonts w:ascii="Times New Roman" w:hAnsi="Times New Roman" w:cs="Times New Roman"/>
        </w:rPr>
      </w:pPr>
    </w:p>
    <w:p w14:paraId="2957AD66" w14:textId="77777777" w:rsidR="00DB3E84" w:rsidRDefault="00DB3E84" w:rsidP="00B136BE">
      <w:pPr>
        <w:spacing w:after="0"/>
        <w:rPr>
          <w:rFonts w:ascii="Times New Roman" w:hAnsi="Times New Roman" w:cs="Times New Roman"/>
        </w:rPr>
      </w:pPr>
    </w:p>
    <w:p w14:paraId="23A3FDFE" w14:textId="77777777" w:rsidR="00B136BE" w:rsidRDefault="00B136BE">
      <w:pPr>
        <w:rPr>
          <w:rFonts w:ascii="Times New Roman" w:hAnsi="Times New Roman" w:cs="Times New Roman"/>
        </w:rPr>
      </w:pPr>
    </w:p>
    <w:p w14:paraId="6553CE3D" w14:textId="77777777" w:rsidR="008A7792" w:rsidRDefault="008A7792">
      <w:pPr>
        <w:rPr>
          <w:rFonts w:ascii="Times New Roman" w:hAnsi="Times New Roman" w:cs="Times New Roman"/>
        </w:rPr>
      </w:pPr>
    </w:p>
    <w:p w14:paraId="5B1BF99D" w14:textId="77777777" w:rsidR="00C408E2" w:rsidRPr="00DB3E84" w:rsidRDefault="00E70E8C" w:rsidP="00DB3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E84">
        <w:rPr>
          <w:rFonts w:ascii="Times New Roman" w:hAnsi="Times New Roman" w:cs="Times New Roman"/>
          <w:b/>
          <w:sz w:val="24"/>
          <w:szCs w:val="24"/>
        </w:rPr>
        <w:t>Zagreb, 2019. godine</w:t>
      </w:r>
    </w:p>
    <w:p w14:paraId="5B43D4C0" w14:textId="77777777" w:rsidR="00C408E2" w:rsidRDefault="00C408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2027060580"/>
        <w:docPartObj>
          <w:docPartGallery w:val="Table of Contents"/>
          <w:docPartUnique/>
        </w:docPartObj>
      </w:sdtPr>
      <w:sdtEndPr/>
      <w:sdtContent>
        <w:p w14:paraId="1A61A8CE" w14:textId="77777777" w:rsidR="000C4FA7" w:rsidRPr="000C4FA7" w:rsidRDefault="000C4FA7" w:rsidP="00692C9C">
          <w:pPr>
            <w:pStyle w:val="TOCHeading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0C4FA7">
            <w:rPr>
              <w:rFonts w:ascii="Times New Roman" w:hAnsi="Times New Roman" w:cs="Times New Roman"/>
              <w:color w:val="000000" w:themeColor="text1"/>
            </w:rPr>
            <w:t>SADRŽAJ</w:t>
          </w:r>
        </w:p>
        <w:p w14:paraId="2F95B6F0" w14:textId="77777777" w:rsidR="000C4FA7" w:rsidRDefault="000C4FA7" w:rsidP="00692C9C">
          <w:pPr>
            <w:spacing w:line="360" w:lineRule="auto"/>
            <w:rPr>
              <w:lang w:eastAsia="hr-HR"/>
            </w:rPr>
          </w:pPr>
        </w:p>
        <w:p w14:paraId="1D97CF56" w14:textId="77777777" w:rsidR="000C4FA7" w:rsidRPr="000C4FA7" w:rsidRDefault="000C4FA7" w:rsidP="00692C9C">
          <w:pPr>
            <w:spacing w:line="360" w:lineRule="auto"/>
            <w:rPr>
              <w:rFonts w:ascii="Times New Roman" w:hAnsi="Times New Roman" w:cs="Times New Roman"/>
              <w:b/>
              <w:sz w:val="28"/>
              <w:szCs w:val="28"/>
              <w:lang w:eastAsia="hr-HR"/>
            </w:rPr>
          </w:pPr>
        </w:p>
        <w:p w14:paraId="63F9C7EB" w14:textId="77777777" w:rsidR="000C4FA7" w:rsidRPr="000C4FA7" w:rsidRDefault="000C4FA7" w:rsidP="00692C9C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 w:rsidRPr="000C4FA7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0C4FA7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0C4FA7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21599066" w:history="1">
            <w:r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Pr="000C4F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UVOD</w:t>
            </w:r>
            <w:r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_Toc21599066 \h </w:instrText>
            </w:r>
            <w:r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</w:t>
            </w:r>
            <w:r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776CA0" w14:textId="77777777" w:rsidR="000C4FA7" w:rsidRPr="000C4FA7" w:rsidRDefault="00276C4A" w:rsidP="00692C9C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21599067" w:history="1"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2.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DOSADAŠNJI REZULTATI PROVEDBE PROJEKTA „HRVATSKI OTOČNI PROIZVOD“ 2007. - 2018.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_Toc21599067 \h </w:instrTex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4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8ED8F9" w14:textId="77777777" w:rsidR="000C4FA7" w:rsidRPr="000C4FA7" w:rsidRDefault="00276C4A" w:rsidP="00692C9C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21599068" w:history="1"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3.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PRAVNI I STRATEŠKI OKVIR PROGRAMA „HRVATSKI OTOČNI PROIZVOD“, DIONICI PROGRAMA I IZVOR FINANCIRANJA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_Toc21599068 \h </w:instrTex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14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266755" w14:textId="77777777" w:rsidR="000C4FA7" w:rsidRPr="000C4FA7" w:rsidRDefault="00276C4A" w:rsidP="00692C9C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21599069" w:history="1"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4.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CILJEVI, MJERE I AKTIVNOSTI PROGRAMA „HRVATSKI OTOČNI PROIZVOD“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_Toc21599069 \h </w:instrTex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16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56E08F" w14:textId="77777777" w:rsidR="000C4FA7" w:rsidRPr="000C4FA7" w:rsidRDefault="00276C4A" w:rsidP="00692C9C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21599070" w:history="1"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5.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PRAĆENJE I VREDNOVANJE PROGRAMA „HRVATSKI OTOČNI PROIZVOD“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_Toc21599070 \h </w:instrTex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19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F1B3BF" w14:textId="02EFED27" w:rsidR="000C4FA7" w:rsidRPr="000C4FA7" w:rsidRDefault="00276C4A" w:rsidP="00692C9C">
          <w:pPr>
            <w:pStyle w:val="TOC1"/>
            <w:tabs>
              <w:tab w:val="left" w:pos="440"/>
              <w:tab w:val="right" w:leader="dot" w:pos="9016"/>
            </w:tabs>
            <w:spacing w:line="360" w:lineRule="auto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hyperlink w:anchor="_Toc21599071" w:history="1"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6.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ab/>
            </w:r>
            <w:r w:rsidR="000C4FA7" w:rsidRPr="000C4FA7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PRILO</w:t>
            </w:r>
            <w:r w:rsidR="00BE705D">
              <w:rPr>
                <w:rStyle w:val="Hyperlink"/>
                <w:rFonts w:ascii="Times New Roman" w:hAnsi="Times New Roman" w:cs="Times New Roman"/>
                <w:b/>
                <w:noProof/>
                <w:sz w:val="28"/>
                <w:szCs w:val="28"/>
              </w:rPr>
              <w:t>G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instrText xml:space="preserve"> PAGEREF _Toc21599071 \h </w:instrTex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t>21</w:t>
            </w:r>
            <w:r w:rsidR="000C4FA7" w:rsidRPr="000C4FA7">
              <w:rPr>
                <w:rFonts w:ascii="Times New Roman" w:hAnsi="Times New Roman" w:cs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89998D" w14:textId="77777777" w:rsidR="000C4FA7" w:rsidRPr="000C4FA7" w:rsidRDefault="00276C4A" w:rsidP="00692C9C">
          <w:pPr>
            <w:pStyle w:val="TOC2"/>
            <w:spacing w:line="360" w:lineRule="auto"/>
            <w:rPr>
              <w:rFonts w:eastAsiaTheme="minorEastAsia"/>
              <w:noProof/>
              <w:sz w:val="28"/>
              <w:szCs w:val="28"/>
              <w:lang w:val="hr-HR"/>
            </w:rPr>
          </w:pPr>
          <w:hyperlink w:anchor="_Toc21599072" w:history="1">
            <w:r w:rsidR="000C4FA7" w:rsidRPr="000C4FA7">
              <w:rPr>
                <w:rStyle w:val="Hyperlink"/>
                <w:noProof/>
                <w:sz w:val="28"/>
                <w:szCs w:val="28"/>
              </w:rPr>
              <w:t>Prilog 1.</w:t>
            </w:r>
            <w:r w:rsidR="000C4FA7" w:rsidRPr="000C4FA7">
              <w:rPr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noProof/>
                <w:webHidden/>
                <w:sz w:val="28"/>
                <w:szCs w:val="28"/>
              </w:rPr>
              <w:instrText xml:space="preserve"> PAGEREF _Toc21599072 \h </w:instrText>
            </w:r>
            <w:r w:rsidR="000C4FA7" w:rsidRPr="000C4FA7">
              <w:rPr>
                <w:noProof/>
                <w:webHidden/>
                <w:sz w:val="28"/>
                <w:szCs w:val="28"/>
              </w:rPr>
            </w:r>
            <w:r w:rsidR="00BE705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noProof/>
                <w:webHidden/>
                <w:sz w:val="28"/>
                <w:szCs w:val="28"/>
              </w:rPr>
              <w:t>21</w:t>
            </w:r>
            <w:r w:rsidR="000C4FA7" w:rsidRPr="000C4F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D49707" w14:textId="77777777" w:rsidR="000C4FA7" w:rsidRPr="000C4FA7" w:rsidRDefault="00276C4A" w:rsidP="00692C9C">
          <w:pPr>
            <w:pStyle w:val="TOC2"/>
            <w:spacing w:line="360" w:lineRule="auto"/>
            <w:rPr>
              <w:rFonts w:eastAsiaTheme="minorEastAsia"/>
              <w:noProof/>
              <w:sz w:val="28"/>
              <w:szCs w:val="28"/>
              <w:lang w:val="hr-HR"/>
            </w:rPr>
          </w:pPr>
          <w:hyperlink w:anchor="_Toc21599073" w:history="1">
            <w:r w:rsidR="000C4FA7" w:rsidRPr="000C4FA7">
              <w:rPr>
                <w:rStyle w:val="Hyperlink"/>
                <w:i/>
                <w:noProof/>
                <w:sz w:val="28"/>
                <w:szCs w:val="28"/>
              </w:rPr>
              <w:t>Prikaz registriranih žigova pri Državnom zavodu za intelektualno vlasništvo na nositelja Ministarstvo regionalnoga razvoja i fondova Europske unije</w:t>
            </w:r>
            <w:r w:rsidR="000C4FA7" w:rsidRPr="000C4FA7">
              <w:rPr>
                <w:noProof/>
                <w:webHidden/>
                <w:sz w:val="28"/>
                <w:szCs w:val="28"/>
              </w:rPr>
              <w:tab/>
            </w:r>
            <w:r w:rsidR="000C4FA7" w:rsidRPr="000C4FA7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A7" w:rsidRPr="000C4FA7">
              <w:rPr>
                <w:noProof/>
                <w:webHidden/>
                <w:sz w:val="28"/>
                <w:szCs w:val="28"/>
              </w:rPr>
              <w:instrText xml:space="preserve"> PAGEREF _Toc21599073 \h </w:instrText>
            </w:r>
            <w:r w:rsidR="000C4FA7" w:rsidRPr="000C4FA7">
              <w:rPr>
                <w:noProof/>
                <w:webHidden/>
                <w:sz w:val="28"/>
                <w:szCs w:val="28"/>
              </w:rPr>
            </w:r>
            <w:r w:rsidR="000C4FA7" w:rsidRPr="000C4FA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BE705D">
              <w:rPr>
                <w:noProof/>
                <w:webHidden/>
                <w:sz w:val="28"/>
                <w:szCs w:val="28"/>
              </w:rPr>
              <w:t>21</w:t>
            </w:r>
            <w:r w:rsidR="000C4FA7" w:rsidRPr="000C4FA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2DB75" w14:textId="77777777" w:rsidR="000C4FA7" w:rsidRPr="000C4FA7" w:rsidRDefault="000C4FA7" w:rsidP="00692C9C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0C4FA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C99F157" w14:textId="77777777" w:rsidR="00C85019" w:rsidRPr="000C4FA7" w:rsidRDefault="00C85019" w:rsidP="000C4FA7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CC8EA3" w14:textId="77777777" w:rsidR="0085251F" w:rsidRDefault="0085251F" w:rsidP="00BC28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89031F" w14:textId="77777777" w:rsidR="0085251F" w:rsidRDefault="008525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49720F" w14:textId="3942D481" w:rsidR="00C408E2" w:rsidRPr="00B54DD6" w:rsidRDefault="00AB792C" w:rsidP="00A1446A">
      <w:pPr>
        <w:pStyle w:val="Heading1"/>
        <w:numPr>
          <w:ilvl w:val="0"/>
          <w:numId w:val="33"/>
        </w:numPr>
      </w:pPr>
      <w:bookmarkStart w:id="1" w:name="_Toc21599066"/>
      <w:r w:rsidRPr="00B54DD6">
        <w:lastRenderedPageBreak/>
        <w:t>UVOD</w:t>
      </w:r>
      <w:bookmarkEnd w:id="1"/>
    </w:p>
    <w:p w14:paraId="2DA99353" w14:textId="77777777" w:rsidR="00C408E2" w:rsidRDefault="00C408E2" w:rsidP="00FF6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5A3E1" w14:textId="77777777" w:rsidR="00571B6A" w:rsidRPr="008647E4" w:rsidRDefault="005D7675" w:rsidP="008647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735684"/>
      <w:r w:rsidRPr="008647E4">
        <w:rPr>
          <w:rFonts w:ascii="Times New Roman" w:hAnsi="Times New Roman" w:cs="Times New Roman"/>
          <w:sz w:val="24"/>
          <w:szCs w:val="24"/>
        </w:rPr>
        <w:t>Projekt „Hrvatski otočni proizvod“ (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u daljnjem tekstu: Projekt </w:t>
      </w:r>
      <w:r w:rsidRPr="008647E4">
        <w:rPr>
          <w:rFonts w:ascii="Times New Roman" w:hAnsi="Times New Roman" w:cs="Times New Roman"/>
          <w:sz w:val="24"/>
          <w:szCs w:val="24"/>
        </w:rPr>
        <w:t>HOP)</w:t>
      </w:r>
      <w:r w:rsidR="00E22237" w:rsidRPr="008647E4">
        <w:rPr>
          <w:rFonts w:ascii="Times New Roman" w:hAnsi="Times New Roman" w:cs="Times New Roman"/>
          <w:sz w:val="24"/>
          <w:szCs w:val="24"/>
        </w:rPr>
        <w:t>, kao projekt vizualnog označavanja otočnih proizvoda oznakom HOP,</w:t>
      </w:r>
      <w:r w:rsidRPr="008647E4">
        <w:rPr>
          <w:rFonts w:ascii="Times New Roman" w:hAnsi="Times New Roman" w:cs="Times New Roman"/>
          <w:sz w:val="24"/>
          <w:szCs w:val="24"/>
        </w:rPr>
        <w:t xml:space="preserve"> pokrenut je početkom 2007.</w:t>
      </w:r>
      <w:r w:rsidR="006D467C" w:rsidRPr="008647E4">
        <w:rPr>
          <w:rFonts w:ascii="Times New Roman" w:hAnsi="Times New Roman" w:cs="Times New Roman"/>
          <w:sz w:val="24"/>
          <w:szCs w:val="24"/>
        </w:rPr>
        <w:t xml:space="preserve"> godine</w:t>
      </w:r>
      <w:r w:rsidRPr="008647E4">
        <w:rPr>
          <w:rFonts w:ascii="Times New Roman" w:hAnsi="Times New Roman" w:cs="Times New Roman"/>
          <w:sz w:val="24"/>
          <w:szCs w:val="24"/>
        </w:rPr>
        <w:t xml:space="preserve"> u tadašnjem Ministarstvu mora, turizma, pro</w:t>
      </w:r>
      <w:r w:rsidR="00E22237" w:rsidRPr="008647E4">
        <w:rPr>
          <w:rFonts w:ascii="Times New Roman" w:hAnsi="Times New Roman" w:cs="Times New Roman"/>
          <w:sz w:val="24"/>
          <w:szCs w:val="24"/>
        </w:rPr>
        <w:t>meta i razvitka, a i</w:t>
      </w:r>
      <w:r w:rsidR="005F1A3B" w:rsidRPr="008647E4">
        <w:rPr>
          <w:rFonts w:ascii="Times New Roman" w:hAnsi="Times New Roman" w:cs="Times New Roman"/>
          <w:sz w:val="24"/>
          <w:szCs w:val="24"/>
        </w:rPr>
        <w:t>zvođenje P</w:t>
      </w:r>
      <w:r w:rsidRPr="008647E4">
        <w:rPr>
          <w:rFonts w:ascii="Times New Roman" w:hAnsi="Times New Roman" w:cs="Times New Roman"/>
          <w:sz w:val="24"/>
          <w:szCs w:val="24"/>
        </w:rPr>
        <w:t xml:space="preserve">rojekta </w:t>
      </w:r>
      <w:r w:rsidR="005F1A3B" w:rsidRPr="008647E4">
        <w:rPr>
          <w:rFonts w:ascii="Times New Roman" w:hAnsi="Times New Roman" w:cs="Times New Roman"/>
          <w:sz w:val="24"/>
          <w:szCs w:val="24"/>
        </w:rPr>
        <w:t xml:space="preserve">HOP 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se nastavlja </w:t>
      </w:r>
      <w:r w:rsidRPr="008647E4">
        <w:rPr>
          <w:rFonts w:ascii="Times New Roman" w:hAnsi="Times New Roman" w:cs="Times New Roman"/>
          <w:sz w:val="24"/>
          <w:szCs w:val="24"/>
        </w:rPr>
        <w:t>u Ministarstvu regionalnog</w:t>
      </w:r>
      <w:r w:rsidR="004778D7" w:rsidRPr="008647E4">
        <w:rPr>
          <w:rFonts w:ascii="Times New Roman" w:hAnsi="Times New Roman" w:cs="Times New Roman"/>
          <w:sz w:val="24"/>
          <w:szCs w:val="24"/>
        </w:rPr>
        <w:t>a</w:t>
      </w:r>
      <w:r w:rsidRPr="008647E4">
        <w:rPr>
          <w:rFonts w:ascii="Times New Roman" w:hAnsi="Times New Roman" w:cs="Times New Roman"/>
          <w:sz w:val="24"/>
          <w:szCs w:val="24"/>
        </w:rPr>
        <w:t xml:space="preserve"> razvoja i fondova Europske unije (u 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daljnjem tekstu: Ministarstvo). Zakonodavni okvir </w:t>
      </w:r>
      <w:r w:rsidR="005F1A3B" w:rsidRPr="008647E4">
        <w:rPr>
          <w:rFonts w:ascii="Times New Roman" w:hAnsi="Times New Roman" w:cs="Times New Roman"/>
          <w:sz w:val="24"/>
          <w:szCs w:val="24"/>
        </w:rPr>
        <w:t>za provedbu Projekta HOP postavljen je u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 </w:t>
      </w:r>
      <w:r w:rsidRPr="008647E4">
        <w:rPr>
          <w:rFonts w:ascii="Times New Roman" w:hAnsi="Times New Roman" w:cs="Times New Roman"/>
          <w:sz w:val="24"/>
          <w:szCs w:val="24"/>
        </w:rPr>
        <w:t>Na</w:t>
      </w:r>
      <w:r w:rsidR="005F1A3B" w:rsidRPr="008647E4">
        <w:rPr>
          <w:rFonts w:ascii="Times New Roman" w:hAnsi="Times New Roman" w:cs="Times New Roman"/>
          <w:sz w:val="24"/>
          <w:szCs w:val="24"/>
        </w:rPr>
        <w:t>cionalnom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 program</w:t>
      </w:r>
      <w:r w:rsidR="005F1A3B" w:rsidRPr="008647E4">
        <w:rPr>
          <w:rFonts w:ascii="Times New Roman" w:hAnsi="Times New Roman" w:cs="Times New Roman"/>
          <w:sz w:val="24"/>
          <w:szCs w:val="24"/>
        </w:rPr>
        <w:t>u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 razvitka otoka</w:t>
      </w:r>
      <w:r w:rsidR="00922427" w:rsidRPr="008647E4">
        <w:rPr>
          <w:rFonts w:ascii="Times New Roman" w:hAnsi="Times New Roman" w:cs="Times New Roman"/>
          <w:sz w:val="24"/>
          <w:szCs w:val="24"/>
        </w:rPr>
        <w:t xml:space="preserve"> (usvojen u Hrvatskom saboru 28.</w:t>
      </w:r>
      <w:r w:rsidR="00083591" w:rsidRPr="008647E4">
        <w:rPr>
          <w:rFonts w:ascii="Times New Roman" w:hAnsi="Times New Roman" w:cs="Times New Roman"/>
          <w:sz w:val="24"/>
          <w:szCs w:val="24"/>
        </w:rPr>
        <w:t xml:space="preserve"> veljače</w:t>
      </w:r>
      <w:r w:rsidR="00922427" w:rsidRPr="008647E4">
        <w:rPr>
          <w:rFonts w:ascii="Times New Roman" w:hAnsi="Times New Roman" w:cs="Times New Roman"/>
          <w:sz w:val="24"/>
          <w:szCs w:val="24"/>
        </w:rPr>
        <w:t xml:space="preserve"> 1997.)</w:t>
      </w:r>
      <w:r w:rsidR="00E22237" w:rsidRPr="008647E4">
        <w:rPr>
          <w:rFonts w:ascii="Times New Roman" w:hAnsi="Times New Roman" w:cs="Times New Roman"/>
          <w:sz w:val="24"/>
          <w:szCs w:val="24"/>
        </w:rPr>
        <w:t>, Zakon</w:t>
      </w:r>
      <w:r w:rsidR="005F1A3B" w:rsidRPr="008647E4">
        <w:rPr>
          <w:rFonts w:ascii="Times New Roman" w:hAnsi="Times New Roman" w:cs="Times New Roman"/>
          <w:sz w:val="24"/>
          <w:szCs w:val="24"/>
        </w:rPr>
        <w:t>u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 o otocima</w:t>
      </w:r>
      <w:r w:rsidR="00E22237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(„Narodne novine“, broj 34/99,149/99, 32/02 i 33/06) i</w:t>
      </w:r>
      <w:r w:rsidR="001668F1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</w:t>
      </w:r>
      <w:r w:rsidR="00E22237" w:rsidRPr="008647E4">
        <w:rPr>
          <w:rStyle w:val="Strong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  <w:shd w:val="clear" w:color="auto" w:fill="FFFFFF"/>
        </w:rPr>
        <w:t>Pravilnik</w:t>
      </w:r>
      <w:r w:rsidR="005F1A3B" w:rsidRPr="008647E4">
        <w:rPr>
          <w:rStyle w:val="Strong"/>
          <w:rFonts w:ascii="Times New Roman" w:hAnsi="Times New Roman" w:cs="Times New Roman"/>
          <w:b w:val="0"/>
          <w:color w:val="021526"/>
          <w:sz w:val="24"/>
          <w:szCs w:val="24"/>
          <w:bdr w:val="none" w:sz="0" w:space="0" w:color="auto" w:frame="1"/>
          <w:shd w:val="clear" w:color="auto" w:fill="FFFFFF"/>
        </w:rPr>
        <w:t>u</w:t>
      </w:r>
      <w:r w:rsidR="001668F1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</w:t>
      </w:r>
      <w:r w:rsidR="00E22237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o uvjetima, kriterijima i načinu označavanja proizvoda oznakom „Hrvatski otočni proizvod“ („Narodne novine“, broj 47/07).</w:t>
      </w:r>
      <w:r w:rsidRPr="008647E4">
        <w:rPr>
          <w:rFonts w:ascii="Times New Roman" w:hAnsi="Times New Roman" w:cs="Times New Roman"/>
          <w:sz w:val="24"/>
          <w:szCs w:val="24"/>
        </w:rPr>
        <w:t xml:space="preserve"> Od samog početka Projekt HOP je stru</w:t>
      </w:r>
      <w:r w:rsidR="00E22237" w:rsidRPr="008647E4">
        <w:rPr>
          <w:rFonts w:ascii="Times New Roman" w:hAnsi="Times New Roman" w:cs="Times New Roman"/>
          <w:sz w:val="24"/>
          <w:szCs w:val="24"/>
        </w:rPr>
        <w:t>kturiran kao razvojni projekt, te su u</w:t>
      </w:r>
      <w:r w:rsidRPr="008647E4">
        <w:rPr>
          <w:rFonts w:ascii="Times New Roman" w:hAnsi="Times New Roman" w:cs="Times New Roman"/>
          <w:sz w:val="24"/>
          <w:szCs w:val="24"/>
        </w:rPr>
        <w:t xml:space="preserve"> njegovo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j izvedbenoj fazi definirani </w:t>
      </w:r>
      <w:r w:rsidRPr="008647E4">
        <w:rPr>
          <w:rFonts w:ascii="Times New Roman" w:hAnsi="Times New Roman" w:cs="Times New Roman"/>
          <w:sz w:val="24"/>
          <w:szCs w:val="24"/>
        </w:rPr>
        <w:t>modaliteti za u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spostavu razvojnog ciklusa koji </w:t>
      </w:r>
      <w:r w:rsidRPr="008647E4">
        <w:rPr>
          <w:rFonts w:ascii="Times New Roman" w:hAnsi="Times New Roman" w:cs="Times New Roman"/>
          <w:sz w:val="24"/>
          <w:szCs w:val="24"/>
        </w:rPr>
        <w:t>se operacionaliziraju u suradnji Ministarstva i ostalih rel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evantnih subjekata. Glavni postavljeni </w:t>
      </w:r>
      <w:r w:rsidRPr="008647E4">
        <w:rPr>
          <w:rFonts w:ascii="Times New Roman" w:hAnsi="Times New Roman" w:cs="Times New Roman"/>
          <w:sz w:val="24"/>
          <w:szCs w:val="24"/>
        </w:rPr>
        <w:t>cilj</w:t>
      </w:r>
      <w:r w:rsidR="00E22237" w:rsidRPr="008647E4">
        <w:rPr>
          <w:rFonts w:ascii="Times New Roman" w:hAnsi="Times New Roman" w:cs="Times New Roman"/>
          <w:sz w:val="24"/>
          <w:szCs w:val="24"/>
        </w:rPr>
        <w:t>evi</w:t>
      </w:r>
      <w:r w:rsidRPr="008647E4">
        <w:rPr>
          <w:rFonts w:ascii="Times New Roman" w:hAnsi="Times New Roman" w:cs="Times New Roman"/>
          <w:sz w:val="24"/>
          <w:szCs w:val="24"/>
        </w:rPr>
        <w:t xml:space="preserve"> Projekta </w:t>
      </w:r>
      <w:r w:rsidR="00E22237" w:rsidRPr="008647E4">
        <w:rPr>
          <w:rFonts w:ascii="Times New Roman" w:hAnsi="Times New Roman" w:cs="Times New Roman"/>
          <w:sz w:val="24"/>
          <w:szCs w:val="24"/>
        </w:rPr>
        <w:t xml:space="preserve">HOP </w:t>
      </w:r>
      <w:r w:rsidR="004B4833" w:rsidRPr="008647E4">
        <w:rPr>
          <w:rFonts w:ascii="Times New Roman" w:hAnsi="Times New Roman" w:cs="Times New Roman"/>
          <w:sz w:val="24"/>
          <w:szCs w:val="24"/>
        </w:rPr>
        <w:t xml:space="preserve">su </w:t>
      </w:r>
      <w:r w:rsidRPr="008647E4">
        <w:rPr>
          <w:rFonts w:ascii="Times New Roman" w:hAnsi="Times New Roman" w:cs="Times New Roman"/>
          <w:sz w:val="24"/>
          <w:szCs w:val="24"/>
        </w:rPr>
        <w:t xml:space="preserve">identificiranje, </w:t>
      </w:r>
      <w:r w:rsidR="00217574" w:rsidRPr="008647E4">
        <w:rPr>
          <w:rFonts w:ascii="Times New Roman" w:hAnsi="Times New Roman" w:cs="Times New Roman"/>
          <w:sz w:val="24"/>
          <w:szCs w:val="24"/>
        </w:rPr>
        <w:t xml:space="preserve">poticanje </w:t>
      </w:r>
      <w:r w:rsidRPr="008647E4">
        <w:rPr>
          <w:rFonts w:ascii="Times New Roman" w:hAnsi="Times New Roman" w:cs="Times New Roman"/>
          <w:sz w:val="24"/>
          <w:szCs w:val="24"/>
        </w:rPr>
        <w:t>proizvodnj</w:t>
      </w:r>
      <w:r w:rsidR="00217574" w:rsidRPr="008647E4">
        <w:rPr>
          <w:rFonts w:ascii="Times New Roman" w:hAnsi="Times New Roman" w:cs="Times New Roman"/>
          <w:sz w:val="24"/>
          <w:szCs w:val="24"/>
        </w:rPr>
        <w:t xml:space="preserve">e i </w:t>
      </w:r>
      <w:r w:rsidRPr="008647E4">
        <w:rPr>
          <w:rFonts w:ascii="Times New Roman" w:hAnsi="Times New Roman" w:cs="Times New Roman"/>
          <w:sz w:val="24"/>
          <w:szCs w:val="24"/>
        </w:rPr>
        <w:t>distribucij</w:t>
      </w:r>
      <w:r w:rsidR="00217574" w:rsidRPr="008647E4">
        <w:rPr>
          <w:rFonts w:ascii="Times New Roman" w:hAnsi="Times New Roman" w:cs="Times New Roman"/>
          <w:sz w:val="24"/>
          <w:szCs w:val="24"/>
        </w:rPr>
        <w:t>e te</w:t>
      </w:r>
      <w:r w:rsidRPr="008647E4">
        <w:rPr>
          <w:rFonts w:ascii="Times New Roman" w:hAnsi="Times New Roman" w:cs="Times New Roman"/>
          <w:sz w:val="24"/>
          <w:szCs w:val="24"/>
        </w:rPr>
        <w:t xml:space="preserve"> </w:t>
      </w:r>
      <w:r w:rsidR="000738C4" w:rsidRPr="008647E4">
        <w:rPr>
          <w:rFonts w:ascii="Times New Roman" w:hAnsi="Times New Roman" w:cs="Times New Roman"/>
          <w:sz w:val="24"/>
          <w:szCs w:val="24"/>
        </w:rPr>
        <w:t>promocija</w:t>
      </w:r>
      <w:r w:rsidRPr="008647E4">
        <w:rPr>
          <w:rFonts w:ascii="Times New Roman" w:hAnsi="Times New Roman" w:cs="Times New Roman"/>
          <w:sz w:val="24"/>
          <w:szCs w:val="24"/>
        </w:rPr>
        <w:t xml:space="preserve"> izvornih i kvalitetnih otočnih proizvoda</w:t>
      </w:r>
      <w:r w:rsidR="00B94536" w:rsidRPr="008647E4">
        <w:rPr>
          <w:rFonts w:ascii="Times New Roman" w:hAnsi="Times New Roman" w:cs="Times New Roman"/>
          <w:sz w:val="24"/>
          <w:szCs w:val="24"/>
        </w:rPr>
        <w:t>,</w:t>
      </w:r>
      <w:r w:rsidRPr="008647E4">
        <w:rPr>
          <w:rFonts w:ascii="Times New Roman" w:hAnsi="Times New Roman" w:cs="Times New Roman"/>
          <w:sz w:val="24"/>
          <w:szCs w:val="24"/>
        </w:rPr>
        <w:t xml:space="preserve"> koji će kao takvi biti prepoznati u Hrvatskoj i izvan nje.</w:t>
      </w:r>
      <w:r w:rsidR="001567F7" w:rsidRPr="008647E4">
        <w:rPr>
          <w:rFonts w:ascii="Times New Roman" w:hAnsi="Times New Roman" w:cs="Times New Roman"/>
          <w:sz w:val="24"/>
          <w:szCs w:val="24"/>
        </w:rPr>
        <w:t xml:space="preserve"> </w:t>
      </w:r>
      <w:r w:rsidR="000A79EB" w:rsidRPr="008647E4">
        <w:rPr>
          <w:rFonts w:ascii="Times New Roman" w:hAnsi="Times New Roman" w:cs="Times New Roman"/>
          <w:sz w:val="24"/>
          <w:szCs w:val="24"/>
        </w:rPr>
        <w:t>Radi se o proizvodima koji uključuju značajke otočne tradicije, razvojno istraživačkog rada te promociju hrvatskih otoka kao područja od posebnog interesa za Republiku Hrvatsku</w:t>
      </w:r>
      <w:r w:rsidR="009D770B" w:rsidRPr="008647E4">
        <w:rPr>
          <w:rFonts w:ascii="Times New Roman" w:hAnsi="Times New Roman" w:cs="Times New Roman"/>
          <w:sz w:val="24"/>
          <w:szCs w:val="24"/>
        </w:rPr>
        <w:t>,</w:t>
      </w:r>
      <w:r w:rsidR="000A79EB" w:rsidRPr="008647E4">
        <w:rPr>
          <w:rFonts w:ascii="Times New Roman" w:hAnsi="Times New Roman" w:cs="Times New Roman"/>
          <w:sz w:val="24"/>
          <w:szCs w:val="24"/>
        </w:rPr>
        <w:t xml:space="preserve"> u cilju pozicioniranja </w:t>
      </w:r>
      <w:r w:rsidR="00D65970" w:rsidRPr="008647E4">
        <w:rPr>
          <w:rFonts w:ascii="Times New Roman" w:hAnsi="Times New Roman" w:cs="Times New Roman"/>
          <w:sz w:val="24"/>
          <w:szCs w:val="24"/>
        </w:rPr>
        <w:t>otočnih</w:t>
      </w:r>
      <w:r w:rsidR="000A79EB" w:rsidRPr="008647E4">
        <w:rPr>
          <w:rFonts w:ascii="Times New Roman" w:hAnsi="Times New Roman" w:cs="Times New Roman"/>
          <w:sz w:val="24"/>
          <w:szCs w:val="24"/>
        </w:rPr>
        <w:t xml:space="preserve"> proizvoda na domaćem i stranom tržištu</w:t>
      </w:r>
      <w:r w:rsidR="00D65970" w:rsidRPr="008647E4">
        <w:rPr>
          <w:rFonts w:ascii="Times New Roman" w:hAnsi="Times New Roman" w:cs="Times New Roman"/>
          <w:sz w:val="24"/>
          <w:szCs w:val="24"/>
        </w:rPr>
        <w:t xml:space="preserve"> te </w:t>
      </w:r>
      <w:r w:rsidR="00F62AF5" w:rsidRPr="008647E4">
        <w:rPr>
          <w:rFonts w:ascii="Times New Roman" w:hAnsi="Times New Roman" w:cs="Times New Roman"/>
          <w:sz w:val="24"/>
          <w:szCs w:val="24"/>
        </w:rPr>
        <w:t>jača</w:t>
      </w:r>
      <w:r w:rsidR="00442845" w:rsidRPr="008647E4">
        <w:rPr>
          <w:rFonts w:ascii="Times New Roman" w:hAnsi="Times New Roman" w:cs="Times New Roman"/>
          <w:sz w:val="24"/>
          <w:szCs w:val="24"/>
        </w:rPr>
        <w:t>n</w:t>
      </w:r>
      <w:r w:rsidR="00F62AF5" w:rsidRPr="008647E4">
        <w:rPr>
          <w:rFonts w:ascii="Times New Roman" w:hAnsi="Times New Roman" w:cs="Times New Roman"/>
          <w:sz w:val="24"/>
          <w:szCs w:val="24"/>
        </w:rPr>
        <w:t>ju</w:t>
      </w:r>
      <w:r w:rsidR="001567F7" w:rsidRPr="008647E4">
        <w:rPr>
          <w:rFonts w:ascii="Times New Roman" w:hAnsi="Times New Roman" w:cs="Times New Roman"/>
          <w:sz w:val="24"/>
          <w:szCs w:val="24"/>
        </w:rPr>
        <w:t xml:space="preserve"> identitet</w:t>
      </w:r>
      <w:r w:rsidR="00442845" w:rsidRPr="008647E4">
        <w:rPr>
          <w:rFonts w:ascii="Times New Roman" w:hAnsi="Times New Roman" w:cs="Times New Roman"/>
          <w:sz w:val="24"/>
          <w:szCs w:val="24"/>
        </w:rPr>
        <w:t>a</w:t>
      </w:r>
      <w:r w:rsidR="001567F7" w:rsidRPr="008647E4">
        <w:rPr>
          <w:rFonts w:ascii="Times New Roman" w:hAnsi="Times New Roman" w:cs="Times New Roman"/>
          <w:sz w:val="24"/>
          <w:szCs w:val="24"/>
        </w:rPr>
        <w:t>, prepoznatljivost</w:t>
      </w:r>
      <w:r w:rsidR="00442845" w:rsidRPr="008647E4">
        <w:rPr>
          <w:rFonts w:ascii="Times New Roman" w:hAnsi="Times New Roman" w:cs="Times New Roman"/>
          <w:sz w:val="24"/>
          <w:szCs w:val="24"/>
        </w:rPr>
        <w:t>i</w:t>
      </w:r>
      <w:r w:rsidR="001567F7" w:rsidRPr="008647E4">
        <w:rPr>
          <w:rFonts w:ascii="Times New Roman" w:hAnsi="Times New Roman" w:cs="Times New Roman"/>
          <w:sz w:val="24"/>
          <w:szCs w:val="24"/>
        </w:rPr>
        <w:t xml:space="preserve"> i direktn</w:t>
      </w:r>
      <w:r w:rsidR="00442845" w:rsidRPr="008647E4">
        <w:rPr>
          <w:rFonts w:ascii="Times New Roman" w:hAnsi="Times New Roman" w:cs="Times New Roman"/>
          <w:sz w:val="24"/>
          <w:szCs w:val="24"/>
        </w:rPr>
        <w:t>e</w:t>
      </w:r>
      <w:r w:rsidR="001567F7" w:rsidRPr="008647E4">
        <w:rPr>
          <w:rFonts w:ascii="Times New Roman" w:hAnsi="Times New Roman" w:cs="Times New Roman"/>
          <w:sz w:val="24"/>
          <w:szCs w:val="24"/>
        </w:rPr>
        <w:t xml:space="preserve"> povezanost</w:t>
      </w:r>
      <w:r w:rsidR="00442845" w:rsidRPr="008647E4">
        <w:rPr>
          <w:rFonts w:ascii="Times New Roman" w:hAnsi="Times New Roman" w:cs="Times New Roman"/>
          <w:sz w:val="24"/>
          <w:szCs w:val="24"/>
        </w:rPr>
        <w:t>i</w:t>
      </w:r>
      <w:r w:rsidR="001567F7" w:rsidRPr="008647E4">
        <w:rPr>
          <w:rFonts w:ascii="Times New Roman" w:hAnsi="Times New Roman" w:cs="Times New Roman"/>
          <w:sz w:val="24"/>
          <w:szCs w:val="24"/>
        </w:rPr>
        <w:t xml:space="preserve"> s otokom. </w:t>
      </w:r>
      <w:r w:rsidR="00571B6A" w:rsidRPr="008647E4">
        <w:rPr>
          <w:rFonts w:ascii="Times New Roman" w:hAnsi="Times New Roman" w:cs="Times New Roman"/>
          <w:sz w:val="24"/>
          <w:szCs w:val="24"/>
        </w:rPr>
        <w:t>K</w:t>
      </w:r>
      <w:r w:rsidR="001567F7" w:rsidRPr="008647E4">
        <w:rPr>
          <w:rFonts w:ascii="Times New Roman" w:hAnsi="Times New Roman" w:cs="Times New Roman"/>
          <w:sz w:val="24"/>
          <w:szCs w:val="24"/>
        </w:rPr>
        <w:t>roz Projekt HOP dodatno se obogatila i</w:t>
      </w:r>
      <w:r w:rsidR="00F62AF5" w:rsidRPr="008647E4">
        <w:rPr>
          <w:rFonts w:ascii="Times New Roman" w:hAnsi="Times New Roman" w:cs="Times New Roman"/>
          <w:sz w:val="24"/>
          <w:szCs w:val="24"/>
        </w:rPr>
        <w:t xml:space="preserve"> turistička ponuda Hrvatske s</w:t>
      </w:r>
      <w:r w:rsidR="00571B6A" w:rsidRPr="008647E4">
        <w:rPr>
          <w:rFonts w:ascii="Times New Roman" w:hAnsi="Times New Roman" w:cs="Times New Roman"/>
          <w:sz w:val="24"/>
          <w:szCs w:val="24"/>
        </w:rPr>
        <w:t xml:space="preserve"> prepoznatljivim au</w:t>
      </w:r>
      <w:r w:rsidR="00F62AF5" w:rsidRPr="008647E4">
        <w:rPr>
          <w:rFonts w:ascii="Times New Roman" w:hAnsi="Times New Roman" w:cs="Times New Roman"/>
          <w:sz w:val="24"/>
          <w:szCs w:val="24"/>
        </w:rPr>
        <w:t xml:space="preserve">tohtonim proizvodima te </w:t>
      </w:r>
      <w:r w:rsidR="001567F7" w:rsidRPr="008647E4">
        <w:rPr>
          <w:rFonts w:ascii="Times New Roman" w:hAnsi="Times New Roman" w:cs="Times New Roman"/>
          <w:sz w:val="24"/>
          <w:szCs w:val="24"/>
        </w:rPr>
        <w:t>posjetitelji</w:t>
      </w:r>
      <w:r w:rsidR="00571B6A" w:rsidRPr="008647E4">
        <w:rPr>
          <w:rFonts w:ascii="Times New Roman" w:hAnsi="Times New Roman" w:cs="Times New Roman"/>
          <w:sz w:val="24"/>
          <w:szCs w:val="24"/>
        </w:rPr>
        <w:t xml:space="preserve"> mogu dodatno doživjeti ljepote hrvatskih otoka.</w:t>
      </w:r>
    </w:p>
    <w:p w14:paraId="6AECC893" w14:textId="77777777" w:rsidR="00B94536" w:rsidRDefault="000C1E80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 w:rsidRPr="008647E4">
        <w:rPr>
          <w:rFonts w:ascii="Times New Roman" w:hAnsi="Times New Roman" w:cs="Times New Roman"/>
          <w:sz w:val="24"/>
          <w:szCs w:val="24"/>
        </w:rPr>
        <w:t>Projekt vizualnog označavanja otočnih proizvoda</w:t>
      </w:r>
      <w:r w:rsidR="008473EB" w:rsidRPr="008647E4">
        <w:rPr>
          <w:rFonts w:ascii="Times New Roman" w:hAnsi="Times New Roman" w:cs="Times New Roman"/>
          <w:sz w:val="24"/>
          <w:szCs w:val="24"/>
        </w:rPr>
        <w:t xml:space="preserve"> u dosadašnjoj provedbi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</w:t>
      </w:r>
      <w:r w:rsidR="008473EB" w:rsidRPr="008647E4">
        <w:rPr>
          <w:rFonts w:ascii="Times New Roman" w:hAnsi="Times New Roman" w:cs="Times New Roman"/>
          <w:sz w:val="24"/>
          <w:szCs w:val="24"/>
        </w:rPr>
        <w:t xml:space="preserve">realizirao 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se kroz dodjelu </w:t>
      </w:r>
      <w:r w:rsidR="007B32A5" w:rsidRPr="008647E4">
        <w:rPr>
          <w:rFonts w:ascii="Times New Roman" w:hAnsi="Times New Roman" w:cs="Times New Roman"/>
          <w:sz w:val="24"/>
          <w:szCs w:val="24"/>
        </w:rPr>
        <w:t xml:space="preserve">prava označavanja </w:t>
      </w:r>
      <w:r w:rsidR="00B94536" w:rsidRPr="008647E4">
        <w:rPr>
          <w:rFonts w:ascii="Times New Roman" w:hAnsi="Times New Roman" w:cs="Times New Roman"/>
          <w:sz w:val="24"/>
          <w:szCs w:val="24"/>
        </w:rPr>
        <w:t>oznak</w:t>
      </w:r>
      <w:r w:rsidR="007B32A5" w:rsidRPr="008647E4">
        <w:rPr>
          <w:rFonts w:ascii="Times New Roman" w:hAnsi="Times New Roman" w:cs="Times New Roman"/>
          <w:sz w:val="24"/>
          <w:szCs w:val="24"/>
        </w:rPr>
        <w:t>om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„Hrvatski otočni proizvod“</w:t>
      </w:r>
      <w:r w:rsidR="006620C7" w:rsidRPr="008647E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9D770B" w:rsidRPr="008647E4">
        <w:rPr>
          <w:rFonts w:ascii="Times New Roman" w:hAnsi="Times New Roman" w:cs="Times New Roman"/>
          <w:sz w:val="24"/>
          <w:szCs w:val="24"/>
        </w:rPr>
        <w:t xml:space="preserve">oznaka </w:t>
      </w:r>
      <w:r w:rsidR="006620C7" w:rsidRPr="008647E4">
        <w:rPr>
          <w:rFonts w:ascii="Times New Roman" w:hAnsi="Times New Roman" w:cs="Times New Roman"/>
          <w:sz w:val="24"/>
          <w:szCs w:val="24"/>
        </w:rPr>
        <w:t>HOP)</w:t>
      </w:r>
      <w:r w:rsidR="00D6715A" w:rsidRPr="008647E4">
        <w:rPr>
          <w:rFonts w:ascii="Times New Roman" w:hAnsi="Times New Roman" w:cs="Times New Roman"/>
          <w:sz w:val="24"/>
          <w:szCs w:val="24"/>
        </w:rPr>
        <w:t xml:space="preserve"> za tradicijske i inovativne proizvode, otočnim</w:t>
      </w:r>
      <w:r w:rsidR="002D7E29" w:rsidRPr="008647E4">
        <w:rPr>
          <w:rFonts w:ascii="Times New Roman" w:hAnsi="Times New Roman" w:cs="Times New Roman"/>
          <w:sz w:val="24"/>
          <w:szCs w:val="24"/>
        </w:rPr>
        <w:t xml:space="preserve"> </w:t>
      </w:r>
      <w:r w:rsidR="00C3442B" w:rsidRPr="008647E4">
        <w:rPr>
          <w:rFonts w:ascii="Times New Roman" w:hAnsi="Times New Roman" w:cs="Times New Roman"/>
          <w:sz w:val="24"/>
          <w:szCs w:val="24"/>
        </w:rPr>
        <w:t>subjektima</w:t>
      </w:r>
      <w:r w:rsidR="00D6715A" w:rsidRPr="008647E4">
        <w:rPr>
          <w:rFonts w:ascii="Times New Roman" w:hAnsi="Times New Roman" w:cs="Times New Roman"/>
          <w:sz w:val="24"/>
          <w:szCs w:val="24"/>
        </w:rPr>
        <w:t xml:space="preserve"> – pravnim i fizičkim osobama koji imaju sjedište na otocima i </w:t>
      </w:r>
      <w:r w:rsidR="00800BD2" w:rsidRPr="008647E4">
        <w:rPr>
          <w:rFonts w:ascii="Times New Roman" w:hAnsi="Times New Roman" w:cs="Times New Roman"/>
          <w:sz w:val="24"/>
          <w:szCs w:val="24"/>
        </w:rPr>
        <w:t>ujedno</w:t>
      </w:r>
      <w:r w:rsidR="00D6715A" w:rsidRPr="008647E4">
        <w:rPr>
          <w:rFonts w:ascii="Times New Roman" w:hAnsi="Times New Roman" w:cs="Times New Roman"/>
          <w:sz w:val="24"/>
          <w:szCs w:val="24"/>
        </w:rPr>
        <w:t xml:space="preserve"> svoju djelatnost obavljaju na otocima</w:t>
      </w:r>
      <w:r w:rsidR="008520AC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, a provedba </w:t>
      </w:r>
      <w:r w:rsidR="00800BD2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cjelokupnog </w:t>
      </w:r>
      <w:r w:rsidR="008520AC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postupka propisana je</w:t>
      </w:r>
      <w:r w:rsidR="00800BD2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gore navedenim</w:t>
      </w:r>
      <w:r w:rsidR="008520AC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pravilnikom</w:t>
      </w:r>
      <w:r w:rsidR="00D6715A" w:rsidRPr="008647E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. Temeljem istog, s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tručno mišljenje o zadovoljavanju uvjeta i kriterija stjecanja prava </w:t>
      </w:r>
      <w:r w:rsidR="007B32A5" w:rsidRPr="008647E4">
        <w:rPr>
          <w:rFonts w:ascii="Times New Roman" w:hAnsi="Times New Roman" w:cs="Times New Roman"/>
          <w:sz w:val="24"/>
          <w:szCs w:val="24"/>
        </w:rPr>
        <w:t>označavanja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donos</w:t>
      </w:r>
      <w:r w:rsidR="00D6715A" w:rsidRPr="008647E4">
        <w:rPr>
          <w:rFonts w:ascii="Times New Roman" w:hAnsi="Times New Roman" w:cs="Times New Roman"/>
          <w:sz w:val="24"/>
          <w:szCs w:val="24"/>
        </w:rPr>
        <w:t>ile su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neovisne tehničke komisije</w:t>
      </w:r>
      <w:r w:rsidR="00501F13" w:rsidRPr="008647E4">
        <w:rPr>
          <w:rFonts w:ascii="Times New Roman" w:hAnsi="Times New Roman" w:cs="Times New Roman"/>
          <w:sz w:val="24"/>
          <w:szCs w:val="24"/>
        </w:rPr>
        <w:t xml:space="preserve"> za pojedine grupe proizvoda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(za hranu, pića, kemijske proizvode, za područje primijenjene umjetnosti i dizajna), </w:t>
      </w:r>
      <w:r w:rsidR="00D6715A" w:rsidRPr="008647E4">
        <w:rPr>
          <w:rFonts w:ascii="Times New Roman" w:hAnsi="Times New Roman" w:cs="Times New Roman"/>
          <w:sz w:val="24"/>
          <w:szCs w:val="24"/>
        </w:rPr>
        <w:t xml:space="preserve">u čijem sastavu su se nalazili </w:t>
      </w:r>
      <w:r w:rsidR="00B94536" w:rsidRPr="008647E4">
        <w:rPr>
          <w:rFonts w:ascii="Times New Roman" w:hAnsi="Times New Roman" w:cs="Times New Roman"/>
          <w:sz w:val="24"/>
          <w:szCs w:val="24"/>
        </w:rPr>
        <w:t>str</w:t>
      </w:r>
      <w:r w:rsidR="00A05C21" w:rsidRPr="008647E4">
        <w:rPr>
          <w:rFonts w:ascii="Times New Roman" w:hAnsi="Times New Roman" w:cs="Times New Roman"/>
          <w:sz w:val="24"/>
          <w:szCs w:val="24"/>
        </w:rPr>
        <w:t xml:space="preserve">učnjaci za relevantna područja, a </w:t>
      </w:r>
      <w:r w:rsidR="00EB0E72" w:rsidRPr="008647E4">
        <w:rPr>
          <w:rFonts w:ascii="Times New Roman" w:hAnsi="Times New Roman" w:cs="Times New Roman"/>
          <w:sz w:val="24"/>
          <w:szCs w:val="24"/>
        </w:rPr>
        <w:t xml:space="preserve">kao radna tijela Projekta HOP, </w:t>
      </w:r>
      <w:r w:rsidR="00A05C21" w:rsidRPr="008647E4">
        <w:rPr>
          <w:rFonts w:ascii="Times New Roman" w:hAnsi="Times New Roman" w:cs="Times New Roman"/>
          <w:sz w:val="24"/>
          <w:szCs w:val="24"/>
        </w:rPr>
        <w:t>imen</w:t>
      </w:r>
      <w:r w:rsidR="00D6715A" w:rsidRPr="008647E4">
        <w:rPr>
          <w:rFonts w:ascii="Times New Roman" w:hAnsi="Times New Roman" w:cs="Times New Roman"/>
          <w:sz w:val="24"/>
          <w:szCs w:val="24"/>
        </w:rPr>
        <w:t>ovao</w:t>
      </w:r>
      <w:r w:rsidR="00A05C21" w:rsidRPr="008647E4">
        <w:rPr>
          <w:rFonts w:ascii="Times New Roman" w:hAnsi="Times New Roman" w:cs="Times New Roman"/>
          <w:sz w:val="24"/>
          <w:szCs w:val="24"/>
        </w:rPr>
        <w:t xml:space="preserve"> ih </w:t>
      </w:r>
      <w:r w:rsidR="00D6715A" w:rsidRPr="008647E4">
        <w:rPr>
          <w:rFonts w:ascii="Times New Roman" w:hAnsi="Times New Roman" w:cs="Times New Roman"/>
          <w:sz w:val="24"/>
          <w:szCs w:val="24"/>
        </w:rPr>
        <w:t xml:space="preserve">je </w:t>
      </w:r>
      <w:r w:rsidR="00A05C21" w:rsidRPr="008647E4">
        <w:rPr>
          <w:rFonts w:ascii="Times New Roman" w:hAnsi="Times New Roman" w:cs="Times New Roman"/>
          <w:sz w:val="24"/>
          <w:szCs w:val="24"/>
        </w:rPr>
        <w:t xml:space="preserve">nadležni ministar na vrijeme od četiri godine. 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Prijedlog odluke o dodjeli </w:t>
      </w:r>
      <w:r w:rsidR="007B32A5" w:rsidRPr="008647E4">
        <w:rPr>
          <w:rFonts w:ascii="Times New Roman" w:hAnsi="Times New Roman" w:cs="Times New Roman"/>
          <w:sz w:val="24"/>
          <w:szCs w:val="24"/>
        </w:rPr>
        <w:t>prava označavanja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donosi</w:t>
      </w:r>
      <w:r w:rsidR="00D6715A" w:rsidRPr="008647E4">
        <w:rPr>
          <w:rFonts w:ascii="Times New Roman" w:hAnsi="Times New Roman" w:cs="Times New Roman"/>
          <w:sz w:val="24"/>
          <w:szCs w:val="24"/>
        </w:rPr>
        <w:t>o</w:t>
      </w:r>
      <w:r w:rsidR="00B94536" w:rsidRPr="008647E4">
        <w:rPr>
          <w:rFonts w:ascii="Times New Roman" w:hAnsi="Times New Roman" w:cs="Times New Roman"/>
          <w:sz w:val="24"/>
          <w:szCs w:val="24"/>
        </w:rPr>
        <w:t xml:space="preserve"> </w:t>
      </w:r>
      <w:r w:rsidR="00DE433B" w:rsidRPr="008647E4">
        <w:rPr>
          <w:rFonts w:ascii="Times New Roman" w:hAnsi="Times New Roman" w:cs="Times New Roman"/>
          <w:sz w:val="24"/>
          <w:szCs w:val="24"/>
        </w:rPr>
        <w:t xml:space="preserve">je </w:t>
      </w:r>
      <w:r w:rsidR="00B94536" w:rsidRPr="008647E4">
        <w:rPr>
          <w:rFonts w:ascii="Times New Roman" w:hAnsi="Times New Roman" w:cs="Times New Roman"/>
          <w:sz w:val="24"/>
          <w:szCs w:val="24"/>
        </w:rPr>
        <w:t>Savjet projekta</w:t>
      </w:r>
      <w:r w:rsidR="00DE433B" w:rsidRPr="008647E4">
        <w:rPr>
          <w:rFonts w:ascii="Times New Roman" w:hAnsi="Times New Roman" w:cs="Times New Roman"/>
          <w:sz w:val="24"/>
          <w:szCs w:val="24"/>
        </w:rPr>
        <w:t>, sastavljen od 11 članova (predstavnici tijela državne uprave te udruge potrošača)</w:t>
      </w:r>
      <w:r w:rsidR="00B94536" w:rsidRPr="008647E4">
        <w:rPr>
          <w:rFonts w:ascii="Times New Roman" w:hAnsi="Times New Roman" w:cs="Times New Roman"/>
          <w:sz w:val="24"/>
          <w:szCs w:val="24"/>
        </w:rPr>
        <w:t>, a konačnu odluku ministar.</w:t>
      </w:r>
      <w:r w:rsidR="003C38BA" w:rsidRPr="008647E4">
        <w:rPr>
          <w:rFonts w:ascii="Times New Roman" w:hAnsi="Times New Roman" w:cs="Times New Roman"/>
          <w:sz w:val="24"/>
          <w:szCs w:val="24"/>
        </w:rPr>
        <w:t xml:space="preserve"> Po donesenoj odluci ministra, Ministarstvo i korisnici sklapali</w:t>
      </w:r>
      <w:r w:rsidR="00F35284" w:rsidRPr="008647E4">
        <w:rPr>
          <w:rFonts w:ascii="Times New Roman" w:hAnsi="Times New Roman" w:cs="Times New Roman"/>
          <w:sz w:val="24"/>
          <w:szCs w:val="24"/>
        </w:rPr>
        <w:t xml:space="preserve"> su </w:t>
      </w:r>
      <w:r w:rsidR="003C38BA" w:rsidRPr="008647E4">
        <w:rPr>
          <w:rFonts w:ascii="Times New Roman" w:hAnsi="Times New Roman" w:cs="Times New Roman"/>
          <w:sz w:val="24"/>
          <w:szCs w:val="24"/>
        </w:rPr>
        <w:t xml:space="preserve"> ugovor o pravu označavanja proizvoda oznakom HOP na razdoblje od tri godine.</w:t>
      </w:r>
    </w:p>
    <w:p w14:paraId="0EC324B4" w14:textId="77777777" w:rsidR="008647E4" w:rsidRDefault="008647E4" w:rsidP="008647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735703"/>
      <w:r>
        <w:rPr>
          <w:rFonts w:ascii="Times New Roman" w:hAnsi="Times New Roman" w:cs="Times New Roman"/>
          <w:sz w:val="24"/>
          <w:szCs w:val="24"/>
        </w:rPr>
        <w:t xml:space="preserve">Ministarstvo je, za potrebe projekta vizualnog označavanja otočnih proizvoda, </w:t>
      </w:r>
      <w:r w:rsidRPr="00B2709A">
        <w:rPr>
          <w:rFonts w:ascii="Times New Roman" w:hAnsi="Times New Roman" w:cs="Times New Roman"/>
          <w:sz w:val="24"/>
          <w:szCs w:val="24"/>
        </w:rPr>
        <w:t>11. prosinca 2007. godine registriralo figurativni jamstveni žig pri Državnom zavodu z</w:t>
      </w:r>
      <w:r>
        <w:rPr>
          <w:rFonts w:ascii="Times New Roman" w:hAnsi="Times New Roman" w:cs="Times New Roman"/>
          <w:sz w:val="24"/>
          <w:szCs w:val="24"/>
        </w:rPr>
        <w:t>a intelektualno vlasništvo. P</w:t>
      </w:r>
      <w:r w:rsidRPr="00B2709A">
        <w:rPr>
          <w:rFonts w:ascii="Times New Roman" w:hAnsi="Times New Roman" w:cs="Times New Roman"/>
          <w:sz w:val="24"/>
          <w:szCs w:val="24"/>
        </w:rPr>
        <w:t xml:space="preserve">ravo korištenja imaju </w:t>
      </w:r>
      <w:r>
        <w:rPr>
          <w:rFonts w:ascii="Times New Roman" w:hAnsi="Times New Roman" w:cs="Times New Roman"/>
          <w:sz w:val="24"/>
          <w:szCs w:val="24"/>
        </w:rPr>
        <w:t>subjekti</w:t>
      </w:r>
      <w:r w:rsidRPr="00B2709A">
        <w:rPr>
          <w:rFonts w:ascii="Times New Roman" w:hAnsi="Times New Roman" w:cs="Times New Roman"/>
          <w:sz w:val="24"/>
          <w:szCs w:val="24"/>
        </w:rPr>
        <w:t xml:space="preserve"> koji </w:t>
      </w:r>
      <w:r>
        <w:rPr>
          <w:rFonts w:ascii="Times New Roman" w:hAnsi="Times New Roman" w:cs="Times New Roman"/>
          <w:sz w:val="24"/>
          <w:szCs w:val="24"/>
        </w:rPr>
        <w:t>su stekli</w:t>
      </w:r>
      <w:r w:rsidRPr="00B2709A">
        <w:rPr>
          <w:rFonts w:ascii="Times New Roman" w:hAnsi="Times New Roman" w:cs="Times New Roman"/>
          <w:sz w:val="24"/>
          <w:szCs w:val="24"/>
        </w:rPr>
        <w:t xml:space="preserve"> pravo </w:t>
      </w:r>
      <w:r>
        <w:rPr>
          <w:rFonts w:ascii="Times New Roman" w:hAnsi="Times New Roman" w:cs="Times New Roman"/>
          <w:sz w:val="24"/>
          <w:szCs w:val="24"/>
        </w:rPr>
        <w:t>označavanja oznakom HOP i sklopili s Ministarstvom ugovor o pravu označavanja proizvoda oznakom HOP.</w:t>
      </w:r>
    </w:p>
    <w:p w14:paraId="05604468" w14:textId="6F63CF66" w:rsidR="008647E4" w:rsidRDefault="008647E4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 w:rsidRPr="00B2709A">
        <w:rPr>
          <w:rFonts w:ascii="Times New Roman" w:hAnsi="Times New Roman" w:cs="Times New Roman"/>
          <w:sz w:val="24"/>
          <w:szCs w:val="24"/>
        </w:rPr>
        <w:t>Predmetni žig je registriran pod brojem Z20072358.</w:t>
      </w:r>
      <w:bookmarkEnd w:id="3"/>
    </w:p>
    <w:p w14:paraId="7A54DBE3" w14:textId="03E666DE" w:rsidR="008647E4" w:rsidRDefault="008647E4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 w:rsidRPr="00B2709A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39050D65" wp14:editId="11DF9EC1">
            <wp:extent cx="1797627" cy="1496291"/>
            <wp:effectExtent l="1905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45" cy="152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220EC" w14:textId="77777777" w:rsidR="008647E4" w:rsidRDefault="008647E4" w:rsidP="008647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BB66" w14:textId="77777777" w:rsidR="008647E4" w:rsidRDefault="008647E4" w:rsidP="008647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A2DB1" w14:textId="77777777" w:rsidR="008647E4" w:rsidRPr="008647E4" w:rsidRDefault="008647E4" w:rsidP="008647E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D0EF66D" w14:textId="77777777" w:rsidR="00F47318" w:rsidRDefault="00F47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108D70" w14:textId="2CA1167B" w:rsidR="00D21387" w:rsidRPr="000C4FA7" w:rsidRDefault="00083591" w:rsidP="00A1446A">
      <w:pPr>
        <w:pStyle w:val="Heading1"/>
        <w:numPr>
          <w:ilvl w:val="0"/>
          <w:numId w:val="33"/>
        </w:numPr>
      </w:pPr>
      <w:bookmarkStart w:id="4" w:name="_Toc21599067"/>
      <w:r w:rsidRPr="000C4FA7">
        <w:lastRenderedPageBreak/>
        <w:t xml:space="preserve">DOSADAŠNJI </w:t>
      </w:r>
      <w:r w:rsidR="00D21387" w:rsidRPr="000C4FA7">
        <w:t>REZULTAT</w:t>
      </w:r>
      <w:r w:rsidR="00424AC1" w:rsidRPr="000C4FA7">
        <w:t>I</w:t>
      </w:r>
      <w:r w:rsidR="00D21387" w:rsidRPr="000C4FA7">
        <w:t xml:space="preserve"> </w:t>
      </w:r>
      <w:r w:rsidR="00F1007F" w:rsidRPr="000C4FA7">
        <w:t xml:space="preserve">PROVEDBE </w:t>
      </w:r>
      <w:r w:rsidR="00D21387" w:rsidRPr="000C4FA7">
        <w:t>PROJEKTA „HRVATSKI OTOČNI PROIZVOD“</w:t>
      </w:r>
      <w:r w:rsidR="00F1007F" w:rsidRPr="000C4FA7">
        <w:t xml:space="preserve"> 2007.</w:t>
      </w:r>
      <w:r w:rsidR="00A30959" w:rsidRPr="000C4FA7">
        <w:t xml:space="preserve"> </w:t>
      </w:r>
      <w:r w:rsidR="00F1007F" w:rsidRPr="000C4FA7">
        <w:t>-</w:t>
      </w:r>
      <w:r w:rsidR="00A30959" w:rsidRPr="000C4FA7">
        <w:t xml:space="preserve"> </w:t>
      </w:r>
      <w:r w:rsidR="00F1007F" w:rsidRPr="000C4FA7">
        <w:t>2018.</w:t>
      </w:r>
      <w:bookmarkEnd w:id="4"/>
    </w:p>
    <w:p w14:paraId="400ED35C" w14:textId="77777777" w:rsidR="00D21387" w:rsidRDefault="00D21387" w:rsidP="00D213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F49D0" w14:textId="77777777" w:rsidR="00D21387" w:rsidRPr="00940070" w:rsidRDefault="00D21387" w:rsidP="00940070">
      <w:pPr>
        <w:jc w:val="both"/>
        <w:rPr>
          <w:rFonts w:ascii="Times New Roman" w:hAnsi="Times New Roman" w:cs="Times New Roman"/>
          <w:sz w:val="24"/>
          <w:szCs w:val="24"/>
        </w:rPr>
      </w:pPr>
      <w:r w:rsidRPr="00940070">
        <w:rPr>
          <w:rFonts w:ascii="Times New Roman" w:hAnsi="Times New Roman" w:cs="Times New Roman"/>
          <w:sz w:val="24"/>
          <w:szCs w:val="24"/>
        </w:rPr>
        <w:t xml:space="preserve">Projekt HOP od početka do danas je </w:t>
      </w:r>
      <w:r w:rsidR="009650AD" w:rsidRPr="00940070">
        <w:rPr>
          <w:rFonts w:ascii="Times New Roman" w:hAnsi="Times New Roman" w:cs="Times New Roman"/>
          <w:sz w:val="24"/>
          <w:szCs w:val="24"/>
        </w:rPr>
        <w:t>u velikoj mjeri ispunio svoje ciljeve</w:t>
      </w:r>
      <w:r w:rsidRPr="00940070">
        <w:rPr>
          <w:rFonts w:ascii="Times New Roman" w:hAnsi="Times New Roman" w:cs="Times New Roman"/>
          <w:sz w:val="24"/>
          <w:szCs w:val="24"/>
        </w:rPr>
        <w:t xml:space="preserve"> te je pravo označavanja oznakom HOP zaključno s 2018. godinom ostvarilo 297 otočnih </w:t>
      </w:r>
      <w:r w:rsidR="00C3442B" w:rsidRPr="00940070">
        <w:rPr>
          <w:rFonts w:ascii="Times New Roman" w:hAnsi="Times New Roman" w:cs="Times New Roman"/>
          <w:sz w:val="24"/>
          <w:szCs w:val="24"/>
        </w:rPr>
        <w:t>subjekata</w:t>
      </w:r>
      <w:r w:rsidR="000C7FFC" w:rsidRPr="00940070">
        <w:rPr>
          <w:rFonts w:ascii="Times New Roman" w:hAnsi="Times New Roman" w:cs="Times New Roman"/>
          <w:sz w:val="24"/>
          <w:szCs w:val="24"/>
        </w:rPr>
        <w:t xml:space="preserve"> – korisnika </w:t>
      </w:r>
      <w:r w:rsidR="0035381D" w:rsidRPr="00940070">
        <w:rPr>
          <w:rFonts w:ascii="Times New Roman" w:hAnsi="Times New Roman" w:cs="Times New Roman"/>
          <w:sz w:val="24"/>
          <w:szCs w:val="24"/>
        </w:rPr>
        <w:t xml:space="preserve">prava označavanja oznakom HOP </w:t>
      </w:r>
      <w:r w:rsidRPr="00940070">
        <w:rPr>
          <w:rFonts w:ascii="Times New Roman" w:hAnsi="Times New Roman" w:cs="Times New Roman"/>
          <w:sz w:val="24"/>
          <w:szCs w:val="24"/>
        </w:rPr>
        <w:t xml:space="preserve">(od kojih je 26 eko-proizvođača, 28 proizvođača </w:t>
      </w:r>
      <w:r w:rsidR="009650AD" w:rsidRPr="00940070">
        <w:rPr>
          <w:rFonts w:ascii="Times New Roman" w:hAnsi="Times New Roman" w:cs="Times New Roman"/>
          <w:sz w:val="24"/>
          <w:szCs w:val="24"/>
        </w:rPr>
        <w:t xml:space="preserve">čiji proizvodi imaju </w:t>
      </w:r>
      <w:r w:rsidR="006F682E" w:rsidRPr="00940070">
        <w:rPr>
          <w:rFonts w:ascii="Times New Roman" w:hAnsi="Times New Roman" w:cs="Times New Roman"/>
          <w:sz w:val="24"/>
          <w:szCs w:val="24"/>
        </w:rPr>
        <w:t>oznaku</w:t>
      </w:r>
      <w:r w:rsidRPr="00940070">
        <w:rPr>
          <w:rFonts w:ascii="Times New Roman" w:hAnsi="Times New Roman" w:cs="Times New Roman"/>
          <w:sz w:val="24"/>
          <w:szCs w:val="24"/>
        </w:rPr>
        <w:t xml:space="preserve"> zemljopisnog podrijetla i 8 proizvođača </w:t>
      </w:r>
      <w:r w:rsidR="006F682E" w:rsidRPr="00940070">
        <w:rPr>
          <w:rFonts w:ascii="Times New Roman" w:hAnsi="Times New Roman" w:cs="Times New Roman"/>
          <w:sz w:val="24"/>
          <w:szCs w:val="24"/>
        </w:rPr>
        <w:t>čiji proizvodi imaju oznaku</w:t>
      </w:r>
      <w:r w:rsidRPr="00940070">
        <w:rPr>
          <w:rFonts w:ascii="Times New Roman" w:hAnsi="Times New Roman" w:cs="Times New Roman"/>
          <w:sz w:val="24"/>
          <w:szCs w:val="24"/>
        </w:rPr>
        <w:t xml:space="preserve"> izvornosti) za 971 proizvod i proizvodnu liniju s 24 otoka (Brač, Hvar, Vis, Korčula, Pag, Krk, Lastovo, Dugi Otok, Rab, Cres, Lošinj, Prvić, Ugljan, Mljet, Šolta, Žirje, Pašman, Iž, Murter, Olib, Kornat, Rava, Silba, Zlarin) i </w:t>
      </w:r>
      <w:r w:rsidR="00442845" w:rsidRPr="00940070">
        <w:rPr>
          <w:rFonts w:ascii="Times New Roman" w:hAnsi="Times New Roman" w:cs="Times New Roman"/>
          <w:sz w:val="24"/>
          <w:szCs w:val="24"/>
        </w:rPr>
        <w:t xml:space="preserve">s </w:t>
      </w:r>
      <w:r w:rsidRPr="00940070">
        <w:rPr>
          <w:rFonts w:ascii="Times New Roman" w:hAnsi="Times New Roman" w:cs="Times New Roman"/>
          <w:sz w:val="24"/>
          <w:szCs w:val="24"/>
        </w:rPr>
        <w:t>poluotoka Pelješca. Radi se o prehrambenim (vina, rakije, likeri, maslinova ulja, sirevi, slastice, ribe, salatne marinade, džemovi, med), kozmetičkim, odjevnim proizvodima</w:t>
      </w:r>
      <w:r w:rsidR="0035381D" w:rsidRPr="00940070">
        <w:rPr>
          <w:rFonts w:ascii="Times New Roman" w:hAnsi="Times New Roman" w:cs="Times New Roman"/>
          <w:sz w:val="24"/>
          <w:szCs w:val="24"/>
        </w:rPr>
        <w:t xml:space="preserve">, uporabnim predmetima, </w:t>
      </w:r>
      <w:r w:rsidRPr="00940070">
        <w:rPr>
          <w:rFonts w:ascii="Times New Roman" w:hAnsi="Times New Roman" w:cs="Times New Roman"/>
          <w:sz w:val="24"/>
          <w:szCs w:val="24"/>
        </w:rPr>
        <w:t>suvenirima</w:t>
      </w:r>
      <w:r w:rsidR="00F4253D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35381D" w:rsidRPr="00940070">
        <w:rPr>
          <w:rFonts w:ascii="Times New Roman" w:hAnsi="Times New Roman" w:cs="Times New Roman"/>
          <w:sz w:val="24"/>
          <w:szCs w:val="24"/>
        </w:rPr>
        <w:t>i dr</w:t>
      </w:r>
      <w:r w:rsidRPr="00940070">
        <w:rPr>
          <w:rFonts w:ascii="Times New Roman" w:hAnsi="Times New Roman" w:cs="Times New Roman"/>
          <w:sz w:val="24"/>
          <w:szCs w:val="24"/>
        </w:rPr>
        <w:t>.</w:t>
      </w:r>
    </w:p>
    <w:p w14:paraId="124F7ECA" w14:textId="77777777" w:rsidR="008F0467" w:rsidRDefault="008F0467" w:rsidP="000C7FF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bookmarkStart w:id="5" w:name="_Hlk9241765"/>
      <w:r w:rsidRPr="00A62BAE">
        <w:rPr>
          <w:rFonts w:ascii="Times New Roman" w:hAnsi="Times New Roman" w:cs="Times New Roman"/>
          <w:i/>
          <w:sz w:val="18"/>
          <w:szCs w:val="18"/>
        </w:rPr>
        <w:t xml:space="preserve">Grafikon 1. Ukupan broj </w:t>
      </w:r>
      <w:r w:rsidR="000C7FFC" w:rsidRPr="00A62BAE">
        <w:rPr>
          <w:rFonts w:ascii="Times New Roman" w:hAnsi="Times New Roman" w:cs="Times New Roman"/>
          <w:i/>
          <w:sz w:val="18"/>
          <w:szCs w:val="18"/>
        </w:rPr>
        <w:t>korisnika prava označavanja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oznak</w:t>
      </w:r>
      <w:r w:rsidR="000C7FFC" w:rsidRPr="00A62BAE">
        <w:rPr>
          <w:rFonts w:ascii="Times New Roman" w:hAnsi="Times New Roman" w:cs="Times New Roman"/>
          <w:i/>
          <w:sz w:val="18"/>
          <w:szCs w:val="18"/>
        </w:rPr>
        <w:t>om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HOP</w:t>
      </w:r>
      <w:r w:rsidR="00F1365A">
        <w:rPr>
          <w:rFonts w:ascii="Times New Roman" w:hAnsi="Times New Roman" w:cs="Times New Roman"/>
          <w:i/>
          <w:sz w:val="18"/>
          <w:szCs w:val="18"/>
        </w:rPr>
        <w:t xml:space="preserve"> – otočnih </w:t>
      </w:r>
      <w:r w:rsidR="00C3442B">
        <w:rPr>
          <w:rFonts w:ascii="Times New Roman" w:hAnsi="Times New Roman" w:cs="Times New Roman"/>
          <w:i/>
          <w:sz w:val="18"/>
          <w:szCs w:val="18"/>
        </w:rPr>
        <w:t>subjekata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po županijama u razdoblju 2007.</w:t>
      </w:r>
      <w:r w:rsidR="00DA6C93">
        <w:rPr>
          <w:rFonts w:ascii="Times New Roman" w:hAnsi="Times New Roman" w:cs="Times New Roman"/>
          <w:i/>
          <w:sz w:val="18"/>
          <w:szCs w:val="18"/>
        </w:rPr>
        <w:t>-2018.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godine</w:t>
      </w:r>
      <w:r w:rsidR="000C7FFC" w:rsidRPr="00A62BAE">
        <w:rPr>
          <w:rFonts w:ascii="Times New Roman" w:hAnsi="Times New Roman" w:cs="Times New Roman"/>
          <w:i/>
          <w:sz w:val="18"/>
          <w:szCs w:val="18"/>
        </w:rPr>
        <w:t xml:space="preserve"> (297 korisnika)</w:t>
      </w:r>
      <w:r w:rsidR="00D14AAE">
        <w:rPr>
          <w:rStyle w:val="FootnoteReference"/>
          <w:rFonts w:ascii="Times New Roman" w:hAnsi="Times New Roman" w:cs="Times New Roman"/>
          <w:i/>
          <w:sz w:val="18"/>
          <w:szCs w:val="18"/>
        </w:rPr>
        <w:footnoteReference w:id="1"/>
      </w:r>
    </w:p>
    <w:p w14:paraId="0EBFD723" w14:textId="77777777" w:rsidR="003A1113" w:rsidRDefault="003A1113" w:rsidP="000C7FF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p w14:paraId="70AD25B1" w14:textId="77777777" w:rsidR="003A1113" w:rsidRDefault="003A1113" w:rsidP="003A1113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1C165919" wp14:editId="2064CFCD">
            <wp:extent cx="4067251" cy="2179930"/>
            <wp:effectExtent l="0" t="0" r="9525" b="1143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0843E0-EC48-4866-8F24-BB4226B09C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D8BD82F" w14:textId="77777777" w:rsidR="008F0467" w:rsidRPr="000C7FFC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7FFC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65B3A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38F157AB" w14:textId="77777777" w:rsidR="00272089" w:rsidRPr="00940070" w:rsidRDefault="00432AA2" w:rsidP="00940070">
      <w:pPr>
        <w:jc w:val="both"/>
        <w:rPr>
          <w:rFonts w:ascii="Times New Roman" w:hAnsi="Times New Roman" w:cs="Times New Roman"/>
          <w:sz w:val="24"/>
          <w:szCs w:val="24"/>
        </w:rPr>
      </w:pPr>
      <w:r w:rsidRPr="00940070">
        <w:rPr>
          <w:rFonts w:ascii="Times New Roman" w:hAnsi="Times New Roman" w:cs="Times New Roman"/>
          <w:sz w:val="24"/>
          <w:szCs w:val="24"/>
        </w:rPr>
        <w:t xml:space="preserve">Najveći broj otočnih </w:t>
      </w:r>
      <w:r w:rsidR="00C3442B" w:rsidRPr="00940070">
        <w:rPr>
          <w:rFonts w:ascii="Times New Roman" w:hAnsi="Times New Roman" w:cs="Times New Roman"/>
          <w:sz w:val="24"/>
          <w:szCs w:val="24"/>
        </w:rPr>
        <w:t>subjekata</w:t>
      </w:r>
      <w:r w:rsidRPr="00940070">
        <w:rPr>
          <w:rFonts w:ascii="Times New Roman" w:hAnsi="Times New Roman" w:cs="Times New Roman"/>
          <w:sz w:val="24"/>
          <w:szCs w:val="24"/>
        </w:rPr>
        <w:t xml:space="preserve"> koji su stekli pravo označavanja oznakom HOP je s područja Splitsko-dalmatinske županije (</w:t>
      </w:r>
      <w:r w:rsidR="00553FF5" w:rsidRPr="00940070">
        <w:rPr>
          <w:rFonts w:ascii="Times New Roman" w:hAnsi="Times New Roman" w:cs="Times New Roman"/>
          <w:sz w:val="24"/>
          <w:szCs w:val="24"/>
        </w:rPr>
        <w:t>3</w:t>
      </w:r>
      <w:r w:rsidR="00D83519" w:rsidRPr="00940070">
        <w:rPr>
          <w:rFonts w:ascii="Times New Roman" w:hAnsi="Times New Roman" w:cs="Times New Roman"/>
          <w:sz w:val="24"/>
          <w:szCs w:val="24"/>
        </w:rPr>
        <w:t>1</w:t>
      </w:r>
      <w:r w:rsidR="00553FF5" w:rsidRPr="00940070">
        <w:rPr>
          <w:rFonts w:ascii="Times New Roman" w:hAnsi="Times New Roman" w:cs="Times New Roman"/>
          <w:sz w:val="24"/>
          <w:szCs w:val="24"/>
        </w:rPr>
        <w:t>%)</w:t>
      </w:r>
      <w:r w:rsidRPr="00940070">
        <w:rPr>
          <w:rFonts w:ascii="Times New Roman" w:hAnsi="Times New Roman" w:cs="Times New Roman"/>
          <w:sz w:val="24"/>
          <w:szCs w:val="24"/>
        </w:rPr>
        <w:t>, zatim iz Zadarske županije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(2</w:t>
      </w:r>
      <w:r w:rsidR="00EB61EF" w:rsidRPr="00940070">
        <w:rPr>
          <w:rFonts w:ascii="Times New Roman" w:hAnsi="Times New Roman" w:cs="Times New Roman"/>
          <w:sz w:val="24"/>
          <w:szCs w:val="24"/>
        </w:rPr>
        <w:t>2</w:t>
      </w:r>
      <w:r w:rsidR="00553FF5" w:rsidRPr="00940070">
        <w:rPr>
          <w:rFonts w:ascii="Times New Roman" w:hAnsi="Times New Roman" w:cs="Times New Roman"/>
          <w:sz w:val="24"/>
          <w:szCs w:val="24"/>
        </w:rPr>
        <w:t>%)</w:t>
      </w:r>
      <w:r w:rsidR="008F0467" w:rsidRPr="00940070">
        <w:rPr>
          <w:rFonts w:ascii="Times New Roman" w:hAnsi="Times New Roman" w:cs="Times New Roman"/>
          <w:sz w:val="24"/>
          <w:szCs w:val="24"/>
        </w:rPr>
        <w:t>, Dubrovačko-neretvanske županije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(21%)</w:t>
      </w:r>
      <w:r w:rsidR="008F0467" w:rsidRPr="00940070">
        <w:rPr>
          <w:rFonts w:ascii="Times New Roman" w:hAnsi="Times New Roman" w:cs="Times New Roman"/>
          <w:sz w:val="24"/>
          <w:szCs w:val="24"/>
        </w:rPr>
        <w:t>,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8F0467" w:rsidRPr="00940070">
        <w:rPr>
          <w:rFonts w:ascii="Times New Roman" w:hAnsi="Times New Roman" w:cs="Times New Roman"/>
          <w:sz w:val="24"/>
          <w:szCs w:val="24"/>
        </w:rPr>
        <w:t>Primorsko-goranske županije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(1</w:t>
      </w:r>
      <w:r w:rsidR="00EB61EF" w:rsidRPr="00940070">
        <w:rPr>
          <w:rFonts w:ascii="Times New Roman" w:hAnsi="Times New Roman" w:cs="Times New Roman"/>
          <w:sz w:val="24"/>
          <w:szCs w:val="24"/>
        </w:rPr>
        <w:t>9</w:t>
      </w:r>
      <w:r w:rsidR="00553FF5" w:rsidRPr="00940070">
        <w:rPr>
          <w:rFonts w:ascii="Times New Roman" w:hAnsi="Times New Roman" w:cs="Times New Roman"/>
          <w:sz w:val="24"/>
          <w:szCs w:val="24"/>
        </w:rPr>
        <w:t>) Šibensko-kninske županije (6%)</w:t>
      </w:r>
      <w:r w:rsidR="00EB61EF" w:rsidRPr="00940070">
        <w:rPr>
          <w:rFonts w:ascii="Times New Roman" w:hAnsi="Times New Roman" w:cs="Times New Roman"/>
          <w:sz w:val="24"/>
          <w:szCs w:val="24"/>
        </w:rPr>
        <w:t xml:space="preserve"> te Ličko-senjske županije (2%)</w:t>
      </w:r>
      <w:r w:rsidR="00553FF5" w:rsidRPr="00940070">
        <w:rPr>
          <w:rFonts w:ascii="Times New Roman" w:hAnsi="Times New Roman" w:cs="Times New Roman"/>
          <w:sz w:val="24"/>
          <w:szCs w:val="24"/>
        </w:rPr>
        <w:t>. Očekivano, i najveći broj proizvoda/</w:t>
      </w:r>
      <w:r w:rsidR="004C335A" w:rsidRPr="00940070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linija za koje su korisnici stekli pravo označavanja oznakom HOP je također s područja Splitsko-dalmatinske županije (38%), zatim </w:t>
      </w:r>
      <w:r w:rsidR="004F1EC6" w:rsidRPr="00940070">
        <w:rPr>
          <w:rFonts w:ascii="Times New Roman" w:hAnsi="Times New Roman" w:cs="Times New Roman"/>
          <w:sz w:val="24"/>
          <w:szCs w:val="24"/>
        </w:rPr>
        <w:t xml:space="preserve">podjednako </w:t>
      </w:r>
      <w:r w:rsidR="00553FF5" w:rsidRPr="00940070">
        <w:rPr>
          <w:rFonts w:ascii="Times New Roman" w:hAnsi="Times New Roman" w:cs="Times New Roman"/>
          <w:sz w:val="24"/>
          <w:szCs w:val="24"/>
        </w:rPr>
        <w:t>Dubrovačko</w:t>
      </w:r>
      <w:r w:rsidR="004F1EC6" w:rsidRPr="00940070">
        <w:rPr>
          <w:rFonts w:ascii="Times New Roman" w:hAnsi="Times New Roman" w:cs="Times New Roman"/>
          <w:sz w:val="24"/>
          <w:szCs w:val="24"/>
        </w:rPr>
        <w:t>-</w:t>
      </w:r>
      <w:r w:rsidR="00553FF5" w:rsidRPr="00940070">
        <w:rPr>
          <w:rFonts w:ascii="Times New Roman" w:hAnsi="Times New Roman" w:cs="Times New Roman"/>
          <w:sz w:val="24"/>
          <w:szCs w:val="24"/>
        </w:rPr>
        <w:t>neretvanska županija i Zadarska županija (18,5%</w:t>
      </w:r>
      <w:r w:rsidR="004F1EC6" w:rsidRPr="00940070">
        <w:rPr>
          <w:rFonts w:ascii="Times New Roman" w:hAnsi="Times New Roman" w:cs="Times New Roman"/>
          <w:sz w:val="24"/>
          <w:szCs w:val="24"/>
        </w:rPr>
        <w:t xml:space="preserve">), </w:t>
      </w:r>
      <w:r w:rsidR="00553FF5" w:rsidRPr="00940070">
        <w:rPr>
          <w:rFonts w:ascii="Times New Roman" w:hAnsi="Times New Roman" w:cs="Times New Roman"/>
          <w:sz w:val="24"/>
          <w:szCs w:val="24"/>
        </w:rPr>
        <w:t>Primorsko</w:t>
      </w:r>
      <w:r w:rsidR="004F1EC6" w:rsidRPr="00940070">
        <w:rPr>
          <w:rFonts w:ascii="Times New Roman" w:hAnsi="Times New Roman" w:cs="Times New Roman"/>
          <w:sz w:val="24"/>
          <w:szCs w:val="24"/>
        </w:rPr>
        <w:t>-</w:t>
      </w:r>
      <w:r w:rsidR="00553FF5" w:rsidRPr="00940070">
        <w:rPr>
          <w:rFonts w:ascii="Times New Roman" w:hAnsi="Times New Roman" w:cs="Times New Roman"/>
          <w:sz w:val="24"/>
          <w:szCs w:val="24"/>
        </w:rPr>
        <w:t>goransk</w:t>
      </w:r>
      <w:r w:rsidR="004F1EC6" w:rsidRPr="00940070">
        <w:rPr>
          <w:rFonts w:ascii="Times New Roman" w:hAnsi="Times New Roman" w:cs="Times New Roman"/>
          <w:sz w:val="24"/>
          <w:szCs w:val="24"/>
        </w:rPr>
        <w:t xml:space="preserve">a </w:t>
      </w:r>
      <w:r w:rsidR="00553FF5" w:rsidRPr="00940070">
        <w:rPr>
          <w:rFonts w:ascii="Times New Roman" w:hAnsi="Times New Roman" w:cs="Times New Roman"/>
          <w:sz w:val="24"/>
          <w:szCs w:val="24"/>
        </w:rPr>
        <w:t>županij</w:t>
      </w:r>
      <w:r w:rsidR="004F1EC6" w:rsidRPr="00940070">
        <w:rPr>
          <w:rFonts w:ascii="Times New Roman" w:hAnsi="Times New Roman" w:cs="Times New Roman"/>
          <w:sz w:val="24"/>
          <w:szCs w:val="24"/>
        </w:rPr>
        <w:t>a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4F1EC6" w:rsidRPr="00940070">
        <w:rPr>
          <w:rFonts w:ascii="Times New Roman" w:hAnsi="Times New Roman" w:cs="Times New Roman"/>
          <w:sz w:val="24"/>
          <w:szCs w:val="24"/>
        </w:rPr>
        <w:t>(18%)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4F1EC6" w:rsidRPr="00940070">
        <w:rPr>
          <w:rFonts w:ascii="Times New Roman" w:hAnsi="Times New Roman" w:cs="Times New Roman"/>
          <w:sz w:val="24"/>
          <w:szCs w:val="24"/>
        </w:rPr>
        <w:t xml:space="preserve">te </w:t>
      </w:r>
      <w:r w:rsidR="00553FF5" w:rsidRPr="00940070">
        <w:rPr>
          <w:rFonts w:ascii="Times New Roman" w:hAnsi="Times New Roman" w:cs="Times New Roman"/>
          <w:sz w:val="24"/>
          <w:szCs w:val="24"/>
        </w:rPr>
        <w:t>Šibensko</w:t>
      </w:r>
      <w:r w:rsidR="004F1EC6" w:rsidRPr="00940070">
        <w:rPr>
          <w:rFonts w:ascii="Times New Roman" w:hAnsi="Times New Roman" w:cs="Times New Roman"/>
          <w:sz w:val="24"/>
          <w:szCs w:val="24"/>
        </w:rPr>
        <w:t>-</w:t>
      </w:r>
      <w:r w:rsidR="00553FF5" w:rsidRPr="00940070">
        <w:rPr>
          <w:rFonts w:ascii="Times New Roman" w:hAnsi="Times New Roman" w:cs="Times New Roman"/>
          <w:sz w:val="24"/>
          <w:szCs w:val="24"/>
        </w:rPr>
        <w:t>kninsk</w:t>
      </w:r>
      <w:r w:rsidR="004F1EC6" w:rsidRPr="00940070">
        <w:rPr>
          <w:rFonts w:ascii="Times New Roman" w:hAnsi="Times New Roman" w:cs="Times New Roman"/>
          <w:sz w:val="24"/>
          <w:szCs w:val="24"/>
        </w:rPr>
        <w:t>a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županij</w:t>
      </w:r>
      <w:r w:rsidR="004F1EC6" w:rsidRPr="00940070">
        <w:rPr>
          <w:rFonts w:ascii="Times New Roman" w:hAnsi="Times New Roman" w:cs="Times New Roman"/>
          <w:sz w:val="24"/>
          <w:szCs w:val="24"/>
        </w:rPr>
        <w:t>a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4F1EC6" w:rsidRPr="00940070">
        <w:rPr>
          <w:rFonts w:ascii="Times New Roman" w:hAnsi="Times New Roman" w:cs="Times New Roman"/>
          <w:sz w:val="24"/>
          <w:szCs w:val="24"/>
        </w:rPr>
        <w:t>(7%)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D17BC" w14:textId="77777777" w:rsidR="009A18D7" w:rsidRDefault="009A18D7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7A444E40" w14:textId="77777777" w:rsidR="00B66CA9" w:rsidRDefault="00B66CA9" w:rsidP="00EB61EF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BAE">
        <w:rPr>
          <w:rFonts w:ascii="Times New Roman" w:hAnsi="Times New Roman" w:cs="Times New Roman"/>
          <w:i/>
          <w:sz w:val="18"/>
          <w:szCs w:val="18"/>
        </w:rPr>
        <w:lastRenderedPageBreak/>
        <w:t>Grafikon 2. Ukupan broj proizvoda/</w:t>
      </w:r>
      <w:r w:rsidR="004C335A"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linija po županijama </w:t>
      </w:r>
      <w:r>
        <w:rPr>
          <w:rFonts w:ascii="Times New Roman" w:hAnsi="Times New Roman" w:cs="Times New Roman"/>
          <w:i/>
          <w:sz w:val="18"/>
          <w:szCs w:val="18"/>
        </w:rPr>
        <w:t xml:space="preserve">za koje su korisnici – otočni </w:t>
      </w:r>
      <w:r w:rsidR="00C3442B">
        <w:rPr>
          <w:rFonts w:ascii="Times New Roman" w:hAnsi="Times New Roman" w:cs="Times New Roman"/>
          <w:i/>
          <w:sz w:val="18"/>
          <w:szCs w:val="18"/>
        </w:rPr>
        <w:t>subjekti</w:t>
      </w:r>
      <w:r>
        <w:rPr>
          <w:rFonts w:ascii="Times New Roman" w:hAnsi="Times New Roman" w:cs="Times New Roman"/>
          <w:i/>
          <w:sz w:val="18"/>
          <w:szCs w:val="18"/>
        </w:rPr>
        <w:t xml:space="preserve"> stekli pravo označavanja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oznak</w:t>
      </w:r>
      <w:r>
        <w:rPr>
          <w:rFonts w:ascii="Times New Roman" w:hAnsi="Times New Roman" w:cs="Times New Roman"/>
          <w:i/>
          <w:sz w:val="18"/>
          <w:szCs w:val="18"/>
        </w:rPr>
        <w:t>om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HOP u</w:t>
      </w:r>
      <w:r w:rsidR="004C335A">
        <w:rPr>
          <w:rFonts w:ascii="Times New Roman" w:hAnsi="Times New Roman" w:cs="Times New Roman"/>
          <w:i/>
          <w:sz w:val="18"/>
          <w:szCs w:val="18"/>
        </w:rPr>
        <w:t xml:space="preserve"> razdoblju</w:t>
      </w:r>
      <w:r w:rsidRPr="00A62BAE">
        <w:rPr>
          <w:rFonts w:ascii="Times New Roman" w:hAnsi="Times New Roman" w:cs="Times New Roman"/>
          <w:i/>
          <w:sz w:val="18"/>
          <w:szCs w:val="18"/>
        </w:rPr>
        <w:t xml:space="preserve"> 2007.</w:t>
      </w:r>
      <w:r w:rsidR="00DA6C93">
        <w:rPr>
          <w:rFonts w:ascii="Times New Roman" w:hAnsi="Times New Roman" w:cs="Times New Roman"/>
          <w:i/>
          <w:sz w:val="18"/>
          <w:szCs w:val="18"/>
        </w:rPr>
        <w:t xml:space="preserve">-2018. </w:t>
      </w:r>
      <w:r w:rsidRPr="00A62BAE">
        <w:rPr>
          <w:rFonts w:ascii="Times New Roman" w:hAnsi="Times New Roman" w:cs="Times New Roman"/>
          <w:i/>
          <w:sz w:val="18"/>
          <w:szCs w:val="18"/>
        </w:rPr>
        <w:t>godine</w:t>
      </w:r>
      <w:r>
        <w:rPr>
          <w:rFonts w:ascii="Times New Roman" w:hAnsi="Times New Roman" w:cs="Times New Roman"/>
          <w:i/>
          <w:sz w:val="18"/>
          <w:szCs w:val="18"/>
        </w:rPr>
        <w:t xml:space="preserve"> (971 proizvod/proizvodn</w:t>
      </w:r>
      <w:r w:rsidR="00BB0378">
        <w:rPr>
          <w:rFonts w:ascii="Times New Roman" w:hAnsi="Times New Roman" w:cs="Times New Roman"/>
          <w:i/>
          <w:sz w:val="18"/>
          <w:szCs w:val="18"/>
        </w:rPr>
        <w:t>u</w:t>
      </w:r>
      <w:r>
        <w:rPr>
          <w:rFonts w:ascii="Times New Roman" w:hAnsi="Times New Roman" w:cs="Times New Roman"/>
          <w:i/>
          <w:sz w:val="18"/>
          <w:szCs w:val="18"/>
        </w:rPr>
        <w:t xml:space="preserve"> linija)</w:t>
      </w:r>
      <w:r w:rsidR="00D14AAE">
        <w:rPr>
          <w:rStyle w:val="FootnoteReference"/>
          <w:rFonts w:ascii="Times New Roman" w:hAnsi="Times New Roman" w:cs="Times New Roman"/>
          <w:i/>
          <w:sz w:val="18"/>
          <w:szCs w:val="18"/>
        </w:rPr>
        <w:footnoteReference w:id="2"/>
      </w:r>
    </w:p>
    <w:p w14:paraId="297AEDFB" w14:textId="77777777" w:rsidR="00EB61EF" w:rsidRDefault="00EB61EF" w:rsidP="00EB61EF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C086C0E" w14:textId="77777777" w:rsidR="008D610E" w:rsidRDefault="00B977DD" w:rsidP="00B977DD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5684BC65" wp14:editId="3D3C4F20">
            <wp:extent cx="4008729" cy="2209191"/>
            <wp:effectExtent l="0" t="0" r="11430" b="63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A206327-C6FD-4C6B-A888-9CBC87136C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2645EE" w14:textId="77777777" w:rsidR="008D610E" w:rsidRDefault="008D610E" w:rsidP="00B66CA9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9558437" w14:textId="77777777" w:rsidR="00B66CA9" w:rsidRPr="002A0376" w:rsidRDefault="00B66CA9" w:rsidP="00B66CA9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62BAE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70BE1A21" w14:textId="77777777" w:rsidR="00553FF5" w:rsidRPr="00940070" w:rsidRDefault="00071A83" w:rsidP="00940070">
      <w:pPr>
        <w:jc w:val="both"/>
        <w:rPr>
          <w:rFonts w:ascii="Times New Roman" w:hAnsi="Times New Roman" w:cs="Times New Roman"/>
          <w:sz w:val="24"/>
          <w:szCs w:val="24"/>
        </w:rPr>
      </w:pPr>
      <w:r w:rsidRPr="00940070">
        <w:rPr>
          <w:rFonts w:ascii="Times New Roman" w:hAnsi="Times New Roman" w:cs="Times New Roman"/>
          <w:sz w:val="24"/>
          <w:szCs w:val="24"/>
        </w:rPr>
        <w:t>Neujednačenost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rezultata </w:t>
      </w:r>
      <w:r w:rsidR="005D368B" w:rsidRPr="00940070">
        <w:rPr>
          <w:rFonts w:ascii="Times New Roman" w:hAnsi="Times New Roman" w:cs="Times New Roman"/>
          <w:sz w:val="24"/>
          <w:szCs w:val="24"/>
        </w:rPr>
        <w:t xml:space="preserve">po županijama 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se može pripisati različitim objektivnim čimbenicima, </w:t>
      </w:r>
      <w:r w:rsidR="005D368B" w:rsidRPr="00940070">
        <w:rPr>
          <w:rFonts w:ascii="Times New Roman" w:hAnsi="Times New Roman" w:cs="Times New Roman"/>
          <w:sz w:val="24"/>
          <w:szCs w:val="24"/>
        </w:rPr>
        <w:t xml:space="preserve">prije svega uzevši u 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obzir broj otoka u pojedinoj županiji, </w:t>
      </w:r>
      <w:r w:rsidR="005D368B" w:rsidRPr="00940070">
        <w:rPr>
          <w:rFonts w:ascii="Times New Roman" w:hAnsi="Times New Roman" w:cs="Times New Roman"/>
          <w:sz w:val="24"/>
          <w:szCs w:val="24"/>
        </w:rPr>
        <w:t xml:space="preserve">broju naselja na otocima, </w:t>
      </w:r>
      <w:r w:rsidR="00553FF5" w:rsidRPr="00940070">
        <w:rPr>
          <w:rFonts w:ascii="Times New Roman" w:hAnsi="Times New Roman" w:cs="Times New Roman"/>
          <w:sz w:val="24"/>
          <w:szCs w:val="24"/>
        </w:rPr>
        <w:t>ukupnom broju stanovnika</w:t>
      </w:r>
      <w:r w:rsidR="005D368B" w:rsidRPr="00940070">
        <w:rPr>
          <w:rFonts w:ascii="Times New Roman" w:hAnsi="Times New Roman" w:cs="Times New Roman"/>
          <w:sz w:val="24"/>
          <w:szCs w:val="24"/>
        </w:rPr>
        <w:t xml:space="preserve">, </w:t>
      </w:r>
      <w:r w:rsidR="00553FF5" w:rsidRPr="00940070">
        <w:rPr>
          <w:rFonts w:ascii="Times New Roman" w:hAnsi="Times New Roman" w:cs="Times New Roman"/>
          <w:sz w:val="24"/>
          <w:szCs w:val="24"/>
        </w:rPr>
        <w:t>gustoć</w:t>
      </w:r>
      <w:r w:rsidR="00BB0378" w:rsidRPr="00940070">
        <w:rPr>
          <w:rFonts w:ascii="Times New Roman" w:hAnsi="Times New Roman" w:cs="Times New Roman"/>
          <w:sz w:val="24"/>
          <w:szCs w:val="24"/>
        </w:rPr>
        <w:t>i</w:t>
      </w:r>
      <w:r w:rsidR="00553FF5" w:rsidRPr="00940070">
        <w:rPr>
          <w:rFonts w:ascii="Times New Roman" w:hAnsi="Times New Roman" w:cs="Times New Roman"/>
          <w:sz w:val="24"/>
          <w:szCs w:val="24"/>
        </w:rPr>
        <w:t xml:space="preserve"> stanovništva na pojedinom otoka, uvjetima za obavljanje gospodarske i druge djelatnosti i slično.</w:t>
      </w:r>
      <w:r w:rsidR="001905A2" w:rsidRPr="00940070">
        <w:rPr>
          <w:rFonts w:ascii="Times New Roman" w:hAnsi="Times New Roman" w:cs="Times New Roman"/>
          <w:sz w:val="24"/>
          <w:szCs w:val="24"/>
        </w:rPr>
        <w:t xml:space="preserve"> Međutim, </w:t>
      </w:r>
      <w:r w:rsidR="00A67712" w:rsidRPr="00940070">
        <w:rPr>
          <w:rFonts w:ascii="Times New Roman" w:hAnsi="Times New Roman" w:cs="Times New Roman"/>
          <w:sz w:val="24"/>
          <w:szCs w:val="24"/>
        </w:rPr>
        <w:t xml:space="preserve">uzimajući u obzir odnos broja otočnih </w:t>
      </w:r>
      <w:r w:rsidR="00C3442B" w:rsidRPr="00940070">
        <w:rPr>
          <w:rFonts w:ascii="Times New Roman" w:hAnsi="Times New Roman" w:cs="Times New Roman"/>
          <w:sz w:val="24"/>
          <w:szCs w:val="24"/>
        </w:rPr>
        <w:t>subjekata</w:t>
      </w:r>
      <w:r w:rsidR="00A67712" w:rsidRPr="00940070">
        <w:rPr>
          <w:rFonts w:ascii="Times New Roman" w:hAnsi="Times New Roman" w:cs="Times New Roman"/>
          <w:sz w:val="24"/>
          <w:szCs w:val="24"/>
        </w:rPr>
        <w:t xml:space="preserve">–korisnika prava označavanja oznakom HOP i broja proizvoda/proizvodnih linija za koje su stekli pravo označavanja, </w:t>
      </w:r>
      <w:r w:rsidR="001905A2" w:rsidRPr="00940070">
        <w:rPr>
          <w:rFonts w:ascii="Times New Roman" w:hAnsi="Times New Roman" w:cs="Times New Roman"/>
          <w:sz w:val="24"/>
          <w:szCs w:val="24"/>
        </w:rPr>
        <w:t xml:space="preserve">znakovito je kako </w:t>
      </w:r>
      <w:r w:rsidR="001E4739" w:rsidRPr="00940070">
        <w:rPr>
          <w:rFonts w:ascii="Times New Roman" w:hAnsi="Times New Roman" w:cs="Times New Roman"/>
          <w:sz w:val="24"/>
          <w:szCs w:val="24"/>
        </w:rPr>
        <w:t>su korisnici s područja Splitsko-dalmatinske županije te Dubrovačko-neretva</w:t>
      </w:r>
      <w:r w:rsidR="00261F45" w:rsidRPr="00940070">
        <w:rPr>
          <w:rFonts w:ascii="Times New Roman" w:hAnsi="Times New Roman" w:cs="Times New Roman"/>
          <w:sz w:val="24"/>
          <w:szCs w:val="24"/>
        </w:rPr>
        <w:t xml:space="preserve">nske </w:t>
      </w:r>
      <w:r w:rsidR="0086419C" w:rsidRPr="00940070">
        <w:rPr>
          <w:rFonts w:ascii="Times New Roman" w:hAnsi="Times New Roman" w:cs="Times New Roman"/>
          <w:sz w:val="24"/>
          <w:szCs w:val="24"/>
        </w:rPr>
        <w:t>iskazali već</w:t>
      </w:r>
      <w:r w:rsidR="00DF2A2F" w:rsidRPr="00940070">
        <w:rPr>
          <w:rFonts w:ascii="Times New Roman" w:hAnsi="Times New Roman" w:cs="Times New Roman"/>
          <w:sz w:val="24"/>
          <w:szCs w:val="24"/>
        </w:rPr>
        <w:t>i</w:t>
      </w:r>
      <w:r w:rsidR="0086419C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DF2A2F" w:rsidRPr="00940070">
        <w:rPr>
          <w:rFonts w:ascii="Times New Roman" w:hAnsi="Times New Roman" w:cs="Times New Roman"/>
          <w:sz w:val="24"/>
          <w:szCs w:val="24"/>
        </w:rPr>
        <w:t>interes za stjecanje prava označavanja svojih proizvoda oznakom HOP</w:t>
      </w:r>
      <w:r w:rsidR="00A67712" w:rsidRPr="00940070">
        <w:rPr>
          <w:rFonts w:ascii="Times New Roman" w:hAnsi="Times New Roman" w:cs="Times New Roman"/>
          <w:sz w:val="24"/>
          <w:szCs w:val="24"/>
        </w:rPr>
        <w:t>.</w:t>
      </w:r>
    </w:p>
    <w:p w14:paraId="47FD5042" w14:textId="77777777" w:rsidR="008F0467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CDFF2" w14:textId="77777777" w:rsidR="004C610F" w:rsidRPr="003C616C" w:rsidRDefault="004C610F" w:rsidP="003C616C">
      <w:pPr>
        <w:pStyle w:val="Heading2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</w:rPr>
        <w:t>Kvantitativni podaci po županijama</w:t>
      </w:r>
    </w:p>
    <w:p w14:paraId="0F283D4E" w14:textId="77777777" w:rsidR="008F0467" w:rsidRPr="00940070" w:rsidRDefault="0011558A" w:rsidP="00940070">
      <w:pPr>
        <w:jc w:val="both"/>
        <w:rPr>
          <w:rFonts w:ascii="Times New Roman" w:hAnsi="Times New Roman" w:cs="Times New Roman"/>
          <w:sz w:val="24"/>
          <w:szCs w:val="24"/>
        </w:rPr>
      </w:pPr>
      <w:r w:rsidRPr="00940070">
        <w:rPr>
          <w:rFonts w:ascii="Times New Roman" w:hAnsi="Times New Roman" w:cs="Times New Roman"/>
          <w:sz w:val="24"/>
          <w:szCs w:val="24"/>
        </w:rPr>
        <w:t xml:space="preserve">Kako je prethodno navedeno, </w:t>
      </w:r>
      <w:r w:rsidR="00EA3286" w:rsidRPr="00940070">
        <w:rPr>
          <w:rFonts w:ascii="Times New Roman" w:hAnsi="Times New Roman" w:cs="Times New Roman"/>
          <w:sz w:val="24"/>
          <w:szCs w:val="24"/>
        </w:rPr>
        <w:t>Projektom HOP je obuhvaćeno ukupno</w:t>
      </w:r>
      <w:r w:rsidR="008F0467" w:rsidRPr="00940070">
        <w:rPr>
          <w:rFonts w:ascii="Times New Roman" w:hAnsi="Times New Roman" w:cs="Times New Roman"/>
          <w:sz w:val="24"/>
          <w:szCs w:val="24"/>
        </w:rPr>
        <w:t xml:space="preserve"> 24 otoka</w:t>
      </w:r>
      <w:r w:rsidR="00EA3286" w:rsidRPr="00940070">
        <w:rPr>
          <w:rFonts w:ascii="Times New Roman" w:hAnsi="Times New Roman" w:cs="Times New Roman"/>
          <w:sz w:val="24"/>
          <w:szCs w:val="24"/>
        </w:rPr>
        <w:t xml:space="preserve"> i poluotok Pelješac,</w:t>
      </w:r>
      <w:r w:rsidR="008F0467" w:rsidRPr="00940070">
        <w:rPr>
          <w:rFonts w:ascii="Times New Roman" w:hAnsi="Times New Roman" w:cs="Times New Roman"/>
          <w:sz w:val="24"/>
          <w:szCs w:val="24"/>
        </w:rPr>
        <w:t xml:space="preserve"> s područja </w:t>
      </w:r>
      <w:r w:rsidR="00B977DD" w:rsidRPr="00940070">
        <w:rPr>
          <w:rFonts w:ascii="Times New Roman" w:hAnsi="Times New Roman" w:cs="Times New Roman"/>
          <w:sz w:val="24"/>
          <w:szCs w:val="24"/>
        </w:rPr>
        <w:t>6</w:t>
      </w:r>
      <w:r w:rsidR="008F0467" w:rsidRPr="00940070">
        <w:rPr>
          <w:rFonts w:ascii="Times New Roman" w:hAnsi="Times New Roman" w:cs="Times New Roman"/>
          <w:sz w:val="24"/>
          <w:szCs w:val="24"/>
        </w:rPr>
        <w:t xml:space="preserve"> obalno-otočnih županija</w:t>
      </w:r>
      <w:r w:rsidR="00A470D3" w:rsidRPr="00940070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3"/>
      </w:r>
      <w:r w:rsidR="00FA373A" w:rsidRPr="00940070">
        <w:rPr>
          <w:rFonts w:ascii="Times New Roman" w:hAnsi="Times New Roman" w:cs="Times New Roman"/>
          <w:sz w:val="24"/>
          <w:szCs w:val="24"/>
        </w:rPr>
        <w:t xml:space="preserve">: </w:t>
      </w:r>
      <w:r w:rsidR="008F0467" w:rsidRPr="00940070">
        <w:rPr>
          <w:rFonts w:ascii="Times New Roman" w:hAnsi="Times New Roman" w:cs="Times New Roman"/>
          <w:sz w:val="24"/>
          <w:szCs w:val="24"/>
        </w:rPr>
        <w:t xml:space="preserve">po </w:t>
      </w:r>
      <w:r w:rsidR="00EB7C0A" w:rsidRPr="00940070">
        <w:rPr>
          <w:rFonts w:ascii="Times New Roman" w:hAnsi="Times New Roman" w:cs="Times New Roman"/>
          <w:sz w:val="24"/>
          <w:szCs w:val="24"/>
        </w:rPr>
        <w:t>4</w:t>
      </w:r>
      <w:r w:rsidR="008F0467" w:rsidRPr="00940070">
        <w:rPr>
          <w:rFonts w:ascii="Times New Roman" w:hAnsi="Times New Roman" w:cs="Times New Roman"/>
          <w:sz w:val="24"/>
          <w:szCs w:val="24"/>
        </w:rPr>
        <w:t xml:space="preserve"> otoka u Primorsko</w:t>
      </w:r>
      <w:r w:rsidR="00EB7C0A" w:rsidRPr="00940070">
        <w:rPr>
          <w:rFonts w:ascii="Times New Roman" w:hAnsi="Times New Roman" w:cs="Times New Roman"/>
          <w:sz w:val="24"/>
          <w:szCs w:val="24"/>
        </w:rPr>
        <w:t>-</w:t>
      </w:r>
      <w:r w:rsidR="008F0467" w:rsidRPr="00940070">
        <w:rPr>
          <w:rFonts w:ascii="Times New Roman" w:hAnsi="Times New Roman" w:cs="Times New Roman"/>
          <w:sz w:val="24"/>
          <w:szCs w:val="24"/>
        </w:rPr>
        <w:t>goranskoj,</w:t>
      </w:r>
      <w:r w:rsidR="00EA3286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C05281" w:rsidRPr="00940070">
        <w:rPr>
          <w:rFonts w:ascii="Times New Roman" w:hAnsi="Times New Roman" w:cs="Times New Roman"/>
          <w:sz w:val="24"/>
          <w:szCs w:val="24"/>
        </w:rPr>
        <w:t xml:space="preserve"> 4 otoka u </w:t>
      </w:r>
      <w:r w:rsidR="008F0467" w:rsidRPr="00940070">
        <w:rPr>
          <w:rFonts w:ascii="Times New Roman" w:hAnsi="Times New Roman" w:cs="Times New Roman"/>
          <w:sz w:val="24"/>
          <w:szCs w:val="24"/>
        </w:rPr>
        <w:t>Splitsko</w:t>
      </w:r>
      <w:r w:rsidR="00EB7C0A" w:rsidRPr="00940070">
        <w:rPr>
          <w:rFonts w:ascii="Times New Roman" w:hAnsi="Times New Roman" w:cs="Times New Roman"/>
          <w:sz w:val="24"/>
          <w:szCs w:val="24"/>
        </w:rPr>
        <w:t>-</w:t>
      </w:r>
      <w:r w:rsidR="008F0467" w:rsidRPr="00940070">
        <w:rPr>
          <w:rFonts w:ascii="Times New Roman" w:hAnsi="Times New Roman" w:cs="Times New Roman"/>
          <w:sz w:val="24"/>
          <w:szCs w:val="24"/>
        </w:rPr>
        <w:t xml:space="preserve">dalmatinskoj i </w:t>
      </w:r>
      <w:r w:rsidR="00C05281" w:rsidRPr="00940070">
        <w:rPr>
          <w:rFonts w:ascii="Times New Roman" w:hAnsi="Times New Roman" w:cs="Times New Roman"/>
          <w:sz w:val="24"/>
          <w:szCs w:val="24"/>
        </w:rPr>
        <w:t xml:space="preserve">3 otoka i poluotok Pelješac u </w:t>
      </w:r>
      <w:r w:rsidR="008F0467" w:rsidRPr="00940070">
        <w:rPr>
          <w:rFonts w:ascii="Times New Roman" w:hAnsi="Times New Roman" w:cs="Times New Roman"/>
          <w:sz w:val="24"/>
          <w:szCs w:val="24"/>
        </w:rPr>
        <w:t>Dubrovačko</w:t>
      </w:r>
      <w:r w:rsidR="00EB7C0A" w:rsidRPr="00940070">
        <w:rPr>
          <w:rFonts w:ascii="Times New Roman" w:hAnsi="Times New Roman" w:cs="Times New Roman"/>
          <w:sz w:val="24"/>
          <w:szCs w:val="24"/>
        </w:rPr>
        <w:t>-</w:t>
      </w:r>
      <w:r w:rsidR="008F0467" w:rsidRPr="00940070">
        <w:rPr>
          <w:rFonts w:ascii="Times New Roman" w:hAnsi="Times New Roman" w:cs="Times New Roman"/>
          <w:sz w:val="24"/>
          <w:szCs w:val="24"/>
        </w:rPr>
        <w:t>neretvanskoj županiji,</w:t>
      </w:r>
      <w:r w:rsidR="00EA3286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EB7C0A" w:rsidRPr="00940070">
        <w:rPr>
          <w:rFonts w:ascii="Times New Roman" w:hAnsi="Times New Roman" w:cs="Times New Roman"/>
          <w:sz w:val="24"/>
          <w:szCs w:val="24"/>
        </w:rPr>
        <w:t>5</w:t>
      </w:r>
      <w:r w:rsidR="00EA3286" w:rsidRPr="00940070">
        <w:rPr>
          <w:rFonts w:ascii="Times New Roman" w:hAnsi="Times New Roman" w:cs="Times New Roman"/>
          <w:sz w:val="24"/>
          <w:szCs w:val="24"/>
        </w:rPr>
        <w:t xml:space="preserve"> otoka u Šibensko – kninskoj te </w:t>
      </w:r>
      <w:r w:rsidR="00EB7C0A" w:rsidRPr="00940070">
        <w:rPr>
          <w:rFonts w:ascii="Times New Roman" w:hAnsi="Times New Roman" w:cs="Times New Roman"/>
          <w:sz w:val="24"/>
          <w:szCs w:val="24"/>
        </w:rPr>
        <w:t>8</w:t>
      </w:r>
      <w:r w:rsidR="00B977DD"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8F0467" w:rsidRPr="00940070">
        <w:rPr>
          <w:rFonts w:ascii="Times New Roman" w:hAnsi="Times New Roman" w:cs="Times New Roman"/>
          <w:sz w:val="24"/>
          <w:szCs w:val="24"/>
        </w:rPr>
        <w:t>otoka u Zadarskoj županiji</w:t>
      </w:r>
      <w:r w:rsidR="00D94B3F" w:rsidRPr="00940070">
        <w:rPr>
          <w:rFonts w:ascii="Times New Roman" w:hAnsi="Times New Roman" w:cs="Times New Roman"/>
          <w:sz w:val="24"/>
          <w:szCs w:val="24"/>
        </w:rPr>
        <w:t>, odnosno</w:t>
      </w:r>
      <w:r w:rsidR="008803A9" w:rsidRPr="00940070">
        <w:rPr>
          <w:rFonts w:ascii="Times New Roman" w:hAnsi="Times New Roman" w:cs="Times New Roman"/>
          <w:sz w:val="24"/>
          <w:szCs w:val="24"/>
        </w:rPr>
        <w:t xml:space="preserve"> otok Pag </w:t>
      </w:r>
      <w:r w:rsidR="00B977DD" w:rsidRPr="00940070">
        <w:rPr>
          <w:rFonts w:ascii="Times New Roman" w:hAnsi="Times New Roman" w:cs="Times New Roman"/>
          <w:sz w:val="24"/>
          <w:szCs w:val="24"/>
        </w:rPr>
        <w:t>u Ličko-senjskoj županiji.</w:t>
      </w:r>
      <w:r w:rsidR="00B977DD" w:rsidRPr="00940070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15C48C84" w14:textId="77777777" w:rsidR="008F0467" w:rsidRPr="00FA373A" w:rsidRDefault="008F0467" w:rsidP="0038274A">
      <w:pPr>
        <w:spacing w:before="240"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38EA">
        <w:rPr>
          <w:rFonts w:ascii="Times New Roman" w:hAnsi="Times New Roman" w:cs="Times New Roman"/>
          <w:i/>
          <w:sz w:val="18"/>
          <w:szCs w:val="18"/>
        </w:rPr>
        <w:t>Grafikon</w:t>
      </w:r>
      <w:r w:rsidRPr="00FA373A">
        <w:rPr>
          <w:rFonts w:ascii="Times New Roman" w:hAnsi="Times New Roman" w:cs="Times New Roman"/>
          <w:i/>
          <w:sz w:val="18"/>
          <w:szCs w:val="18"/>
        </w:rPr>
        <w:t xml:space="preserve"> 3. Broj otoka</w:t>
      </w:r>
      <w:r w:rsidR="001155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A373A">
        <w:rPr>
          <w:rFonts w:ascii="Times New Roman" w:hAnsi="Times New Roman" w:cs="Times New Roman"/>
          <w:i/>
          <w:sz w:val="18"/>
          <w:szCs w:val="18"/>
        </w:rPr>
        <w:t>po županijama</w:t>
      </w:r>
      <w:r w:rsidRPr="00FA373A">
        <w:rPr>
          <w:rFonts w:ascii="Times New Roman" w:hAnsi="Times New Roman" w:cs="Times New Roman"/>
          <w:i/>
          <w:sz w:val="18"/>
          <w:szCs w:val="18"/>
        </w:rPr>
        <w:t xml:space="preserve"> uključenih u </w:t>
      </w:r>
      <w:r w:rsidR="00647312">
        <w:rPr>
          <w:rFonts w:ascii="Times New Roman" w:hAnsi="Times New Roman" w:cs="Times New Roman"/>
          <w:i/>
          <w:sz w:val="18"/>
          <w:szCs w:val="18"/>
        </w:rPr>
        <w:t>P</w:t>
      </w:r>
      <w:r w:rsidRPr="00FA373A">
        <w:rPr>
          <w:rFonts w:ascii="Times New Roman" w:hAnsi="Times New Roman" w:cs="Times New Roman"/>
          <w:i/>
          <w:sz w:val="18"/>
          <w:szCs w:val="18"/>
        </w:rPr>
        <w:t>rojekt HOP u razdoblju 2007.</w:t>
      </w:r>
      <w:r w:rsidR="00DA6C93">
        <w:rPr>
          <w:rFonts w:ascii="Times New Roman" w:hAnsi="Times New Roman" w:cs="Times New Roman"/>
          <w:i/>
          <w:sz w:val="18"/>
          <w:szCs w:val="18"/>
        </w:rPr>
        <w:t>-2018.</w:t>
      </w:r>
      <w:r w:rsidRPr="00FA373A">
        <w:rPr>
          <w:rFonts w:ascii="Times New Roman" w:hAnsi="Times New Roman" w:cs="Times New Roman"/>
          <w:i/>
          <w:sz w:val="18"/>
          <w:szCs w:val="18"/>
        </w:rPr>
        <w:t xml:space="preserve"> godine</w:t>
      </w:r>
    </w:p>
    <w:p w14:paraId="304F59C1" w14:textId="77777777" w:rsidR="00B977DD" w:rsidRDefault="00B977DD" w:rsidP="00B977DD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4DB44FB2" wp14:editId="19624E09">
            <wp:extent cx="3448050" cy="1041400"/>
            <wp:effectExtent l="0" t="0" r="0" b="635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43B83F-7277-456B-88C2-0D4943B0BE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F33049F" w14:textId="77777777" w:rsidR="008F0467" w:rsidRPr="0011558A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1558A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13453ADB" w14:textId="77777777" w:rsidR="00EA0E98" w:rsidRPr="00940070" w:rsidRDefault="00EA0E98" w:rsidP="009400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985871"/>
      <w:r w:rsidRPr="00940070">
        <w:rPr>
          <w:rFonts w:ascii="Times New Roman" w:hAnsi="Times New Roman" w:cs="Times New Roman"/>
          <w:sz w:val="24"/>
          <w:szCs w:val="24"/>
        </w:rPr>
        <w:lastRenderedPageBreak/>
        <w:t xml:space="preserve">U Dubrovačko-neretvanskoj županiji je ukupno 63 otočnih </w:t>
      </w:r>
      <w:r w:rsidR="00C3442B" w:rsidRPr="00940070">
        <w:rPr>
          <w:rFonts w:ascii="Times New Roman" w:hAnsi="Times New Roman" w:cs="Times New Roman"/>
          <w:sz w:val="24"/>
          <w:szCs w:val="24"/>
        </w:rPr>
        <w:t>subjekata</w:t>
      </w:r>
      <w:r w:rsidRPr="00940070">
        <w:rPr>
          <w:rFonts w:ascii="Times New Roman" w:hAnsi="Times New Roman" w:cs="Times New Roman"/>
          <w:sz w:val="24"/>
          <w:szCs w:val="24"/>
        </w:rPr>
        <w:t xml:space="preserve"> steklo pravo označavanja oznakom HOP za ukupno 182 proizvoda/linije. </w:t>
      </w:r>
      <w:r w:rsidR="00961500" w:rsidRPr="00940070">
        <w:rPr>
          <w:rFonts w:ascii="Times New Roman" w:hAnsi="Times New Roman" w:cs="Times New Roman"/>
          <w:sz w:val="24"/>
          <w:szCs w:val="24"/>
        </w:rPr>
        <w:t>Ukupno</w:t>
      </w:r>
      <w:r w:rsidRPr="00940070">
        <w:rPr>
          <w:rFonts w:ascii="Times New Roman" w:hAnsi="Times New Roman" w:cs="Times New Roman"/>
          <w:sz w:val="24"/>
          <w:szCs w:val="24"/>
        </w:rPr>
        <w:t xml:space="preserve"> gledajući, najveći broj proizvoda/proizvodnih linija je s poluotoka Pelješca (78), iako je na Korčuli zabilježen najveći broj novih dobitnika</w:t>
      </w:r>
      <w:r w:rsidR="007E7155" w:rsidRPr="00940070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940070">
        <w:rPr>
          <w:rFonts w:ascii="Times New Roman" w:hAnsi="Times New Roman" w:cs="Times New Roman"/>
          <w:sz w:val="24"/>
          <w:szCs w:val="24"/>
        </w:rPr>
        <w:t>.</w:t>
      </w:r>
    </w:p>
    <w:p w14:paraId="61EF9708" w14:textId="77777777" w:rsidR="00EA0E98" w:rsidRPr="00B73740" w:rsidRDefault="00EA0E98" w:rsidP="00EA0E98">
      <w:pPr>
        <w:spacing w:before="240"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7" w:name="_Hlk8989361"/>
      <w:r w:rsidRPr="00B73740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>
        <w:rPr>
          <w:rFonts w:ascii="Times New Roman" w:hAnsi="Times New Roman" w:cs="Times New Roman"/>
          <w:i/>
          <w:sz w:val="18"/>
          <w:szCs w:val="18"/>
        </w:rPr>
        <w:t>4</w:t>
      </w:r>
      <w:r w:rsidRPr="00B73740">
        <w:rPr>
          <w:rFonts w:ascii="Times New Roman" w:hAnsi="Times New Roman" w:cs="Times New Roman"/>
          <w:i/>
          <w:sz w:val="18"/>
          <w:szCs w:val="18"/>
        </w:rPr>
        <w:t>. Pregled ukupnog broja novih dobitnika i proizvoda/</w:t>
      </w:r>
      <w:r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linija </w:t>
      </w:r>
      <w:r w:rsidR="00C3442B">
        <w:rPr>
          <w:rFonts w:ascii="Times New Roman" w:hAnsi="Times New Roman" w:cs="Times New Roman"/>
          <w:i/>
          <w:sz w:val="18"/>
          <w:szCs w:val="18"/>
        </w:rPr>
        <w:t>za koje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su stekli pravo označavanja oznakom 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 HOP </w:t>
      </w:r>
      <w:r>
        <w:rPr>
          <w:rFonts w:ascii="Times New Roman" w:hAnsi="Times New Roman" w:cs="Times New Roman"/>
          <w:i/>
          <w:sz w:val="18"/>
          <w:szCs w:val="18"/>
        </w:rPr>
        <w:t>u razdoblju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 2007.</w:t>
      </w: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B73740">
        <w:rPr>
          <w:rFonts w:ascii="Times New Roman" w:hAnsi="Times New Roman" w:cs="Times New Roman"/>
          <w:i/>
          <w:sz w:val="18"/>
          <w:szCs w:val="18"/>
        </w:rPr>
        <w:t>2018. godine po otocima Dubrovačko</w:t>
      </w: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B73740">
        <w:rPr>
          <w:rFonts w:ascii="Times New Roman" w:hAnsi="Times New Roman" w:cs="Times New Roman"/>
          <w:i/>
          <w:sz w:val="18"/>
          <w:szCs w:val="18"/>
        </w:rPr>
        <w:t>neretvanske županije</w:t>
      </w:r>
    </w:p>
    <w:bookmarkEnd w:id="7"/>
    <w:p w14:paraId="3F8205F1" w14:textId="77777777" w:rsidR="00EA0E98" w:rsidRDefault="00EA0E98" w:rsidP="00EA0E9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B587819" wp14:editId="3C044634">
            <wp:extent cx="4269602" cy="2313305"/>
            <wp:effectExtent l="0" t="0" r="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ACF5DE-BBF7-4DA8-8348-A897000565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2AC7F0" w14:textId="77777777" w:rsidR="00EA0E98" w:rsidRPr="00B73740" w:rsidRDefault="00EA0E98" w:rsidP="00EA0E98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564536C6" w14:textId="77777777" w:rsidR="00965883" w:rsidRPr="00940070" w:rsidRDefault="0011558A" w:rsidP="00940070">
      <w:pPr>
        <w:jc w:val="both"/>
        <w:rPr>
          <w:rFonts w:ascii="Times New Roman" w:hAnsi="Times New Roman" w:cs="Times New Roman"/>
          <w:sz w:val="24"/>
          <w:szCs w:val="24"/>
        </w:rPr>
      </w:pPr>
      <w:r w:rsidRPr="00940070">
        <w:rPr>
          <w:rFonts w:ascii="Times New Roman" w:hAnsi="Times New Roman" w:cs="Times New Roman"/>
          <w:sz w:val="24"/>
          <w:szCs w:val="24"/>
        </w:rPr>
        <w:t>U Splitsko</w:t>
      </w:r>
      <w:r w:rsidR="00647312" w:rsidRPr="00940070">
        <w:rPr>
          <w:rFonts w:ascii="Times New Roman" w:hAnsi="Times New Roman" w:cs="Times New Roman"/>
          <w:sz w:val="24"/>
          <w:szCs w:val="24"/>
        </w:rPr>
        <w:t>-</w:t>
      </w:r>
      <w:r w:rsidRPr="00940070">
        <w:rPr>
          <w:rFonts w:ascii="Times New Roman" w:hAnsi="Times New Roman" w:cs="Times New Roman"/>
          <w:sz w:val="24"/>
          <w:szCs w:val="24"/>
        </w:rPr>
        <w:t>dalmatinskoj županiji</w:t>
      </w:r>
      <w:r w:rsidR="00647312" w:rsidRPr="00940070">
        <w:rPr>
          <w:rFonts w:ascii="Times New Roman" w:hAnsi="Times New Roman" w:cs="Times New Roman"/>
          <w:sz w:val="24"/>
          <w:szCs w:val="24"/>
        </w:rPr>
        <w:t xml:space="preserve"> je</w:t>
      </w:r>
      <w:r w:rsidR="00965883" w:rsidRPr="00940070">
        <w:rPr>
          <w:rFonts w:ascii="Times New Roman" w:hAnsi="Times New Roman" w:cs="Times New Roman"/>
          <w:sz w:val="24"/>
          <w:szCs w:val="24"/>
        </w:rPr>
        <w:t>,</w:t>
      </w:r>
      <w:r w:rsidR="00647312" w:rsidRPr="00940070">
        <w:rPr>
          <w:rFonts w:ascii="Times New Roman" w:hAnsi="Times New Roman" w:cs="Times New Roman"/>
          <w:sz w:val="24"/>
          <w:szCs w:val="24"/>
        </w:rPr>
        <w:t xml:space="preserve"> tijekom provedbe Projekta HOP</w:t>
      </w:r>
      <w:r w:rsidR="00965883" w:rsidRPr="00940070">
        <w:rPr>
          <w:rFonts w:ascii="Times New Roman" w:hAnsi="Times New Roman" w:cs="Times New Roman"/>
          <w:sz w:val="24"/>
          <w:szCs w:val="24"/>
        </w:rPr>
        <w:t>,</w:t>
      </w:r>
      <w:r w:rsidR="00647312" w:rsidRPr="00940070">
        <w:rPr>
          <w:rFonts w:ascii="Times New Roman" w:hAnsi="Times New Roman" w:cs="Times New Roman"/>
          <w:sz w:val="24"/>
          <w:szCs w:val="24"/>
        </w:rPr>
        <w:t xml:space="preserve"> ukupno </w:t>
      </w:r>
      <w:r w:rsidRPr="00940070">
        <w:rPr>
          <w:rFonts w:ascii="Times New Roman" w:hAnsi="Times New Roman" w:cs="Times New Roman"/>
          <w:sz w:val="24"/>
          <w:szCs w:val="24"/>
        </w:rPr>
        <w:t xml:space="preserve">91 </w:t>
      </w:r>
      <w:r w:rsidR="00647312" w:rsidRPr="00940070">
        <w:rPr>
          <w:rFonts w:ascii="Times New Roman" w:hAnsi="Times New Roman" w:cs="Times New Roman"/>
          <w:sz w:val="24"/>
          <w:szCs w:val="24"/>
        </w:rPr>
        <w:t xml:space="preserve">otočni </w:t>
      </w:r>
      <w:r w:rsidR="00C3442B" w:rsidRPr="00940070">
        <w:rPr>
          <w:rFonts w:ascii="Times New Roman" w:hAnsi="Times New Roman" w:cs="Times New Roman"/>
          <w:sz w:val="24"/>
          <w:szCs w:val="24"/>
        </w:rPr>
        <w:t>subjekt</w:t>
      </w:r>
      <w:r w:rsidR="00647312" w:rsidRPr="00940070">
        <w:rPr>
          <w:rFonts w:ascii="Times New Roman" w:hAnsi="Times New Roman" w:cs="Times New Roman"/>
          <w:sz w:val="24"/>
          <w:szCs w:val="24"/>
        </w:rPr>
        <w:t>, za ukupno 368 proizvoda/</w:t>
      </w:r>
      <w:r w:rsidR="004C335A" w:rsidRPr="00940070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647312" w:rsidRPr="00940070">
        <w:rPr>
          <w:rFonts w:ascii="Times New Roman" w:hAnsi="Times New Roman" w:cs="Times New Roman"/>
          <w:sz w:val="24"/>
          <w:szCs w:val="24"/>
        </w:rPr>
        <w:t>linija</w:t>
      </w:r>
      <w:r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965883" w:rsidRPr="00940070">
        <w:rPr>
          <w:rFonts w:ascii="Times New Roman" w:hAnsi="Times New Roman" w:cs="Times New Roman"/>
          <w:sz w:val="24"/>
          <w:szCs w:val="24"/>
        </w:rPr>
        <w:t xml:space="preserve">stekao pravo označavanja oznakom HOP i to </w:t>
      </w:r>
      <w:r w:rsidRPr="00940070">
        <w:rPr>
          <w:rFonts w:ascii="Times New Roman" w:hAnsi="Times New Roman" w:cs="Times New Roman"/>
          <w:sz w:val="24"/>
          <w:szCs w:val="24"/>
        </w:rPr>
        <w:t xml:space="preserve">s </w:t>
      </w:r>
      <w:r w:rsidR="00965883" w:rsidRPr="00940070">
        <w:rPr>
          <w:rFonts w:ascii="Times New Roman" w:hAnsi="Times New Roman" w:cs="Times New Roman"/>
          <w:sz w:val="24"/>
          <w:szCs w:val="24"/>
        </w:rPr>
        <w:t>4</w:t>
      </w:r>
      <w:r w:rsidRPr="00940070">
        <w:rPr>
          <w:rFonts w:ascii="Times New Roman" w:hAnsi="Times New Roman" w:cs="Times New Roman"/>
          <w:sz w:val="24"/>
          <w:szCs w:val="24"/>
        </w:rPr>
        <w:t xml:space="preserve"> otoka</w:t>
      </w:r>
      <w:r w:rsidR="00965883" w:rsidRPr="00940070">
        <w:rPr>
          <w:rFonts w:ascii="Times New Roman" w:hAnsi="Times New Roman" w:cs="Times New Roman"/>
          <w:sz w:val="24"/>
          <w:szCs w:val="24"/>
        </w:rPr>
        <w:t>:</w:t>
      </w:r>
      <w:r w:rsidRPr="00940070">
        <w:rPr>
          <w:rFonts w:ascii="Times New Roman" w:hAnsi="Times New Roman" w:cs="Times New Roman"/>
          <w:sz w:val="24"/>
          <w:szCs w:val="24"/>
        </w:rPr>
        <w:t xml:space="preserve"> Vis, Hvar, Brač i Šol</w:t>
      </w:r>
      <w:r w:rsidR="00965883" w:rsidRPr="00940070">
        <w:rPr>
          <w:rFonts w:ascii="Times New Roman" w:hAnsi="Times New Roman" w:cs="Times New Roman"/>
          <w:sz w:val="24"/>
          <w:szCs w:val="24"/>
        </w:rPr>
        <w:t>ta.</w:t>
      </w:r>
      <w:r w:rsidRPr="00940070">
        <w:rPr>
          <w:rFonts w:ascii="Times New Roman" w:hAnsi="Times New Roman" w:cs="Times New Roman"/>
          <w:sz w:val="24"/>
          <w:szCs w:val="24"/>
        </w:rPr>
        <w:t xml:space="preserve"> </w:t>
      </w:r>
      <w:r w:rsidR="00D2557B" w:rsidRPr="00940070">
        <w:rPr>
          <w:rFonts w:ascii="Times New Roman" w:hAnsi="Times New Roman" w:cs="Times New Roman"/>
          <w:sz w:val="24"/>
          <w:szCs w:val="24"/>
        </w:rPr>
        <w:t>Uvjerljivo n</w:t>
      </w:r>
      <w:r w:rsidRPr="00940070">
        <w:rPr>
          <w:rFonts w:ascii="Times New Roman" w:hAnsi="Times New Roman" w:cs="Times New Roman"/>
          <w:sz w:val="24"/>
          <w:szCs w:val="24"/>
        </w:rPr>
        <w:t>ajveći broj proizvoda</w:t>
      </w:r>
      <w:r w:rsidR="004C335A" w:rsidRPr="00940070">
        <w:rPr>
          <w:rFonts w:ascii="Times New Roman" w:hAnsi="Times New Roman" w:cs="Times New Roman"/>
          <w:sz w:val="24"/>
          <w:szCs w:val="24"/>
        </w:rPr>
        <w:t xml:space="preserve">/proizvodnih </w:t>
      </w:r>
      <w:r w:rsidRPr="00940070">
        <w:rPr>
          <w:rFonts w:ascii="Times New Roman" w:hAnsi="Times New Roman" w:cs="Times New Roman"/>
          <w:sz w:val="24"/>
          <w:szCs w:val="24"/>
        </w:rPr>
        <w:t xml:space="preserve">/linija </w:t>
      </w:r>
      <w:r w:rsidR="00965883" w:rsidRPr="00940070">
        <w:rPr>
          <w:rFonts w:ascii="Times New Roman" w:hAnsi="Times New Roman" w:cs="Times New Roman"/>
          <w:sz w:val="24"/>
          <w:szCs w:val="24"/>
        </w:rPr>
        <w:t xml:space="preserve">je </w:t>
      </w:r>
      <w:r w:rsidRPr="00940070">
        <w:rPr>
          <w:rFonts w:ascii="Times New Roman" w:hAnsi="Times New Roman" w:cs="Times New Roman"/>
          <w:sz w:val="24"/>
          <w:szCs w:val="24"/>
        </w:rPr>
        <w:t>s otoka Hvara</w:t>
      </w:r>
      <w:r w:rsidR="00965883" w:rsidRPr="00940070">
        <w:rPr>
          <w:rFonts w:ascii="Times New Roman" w:hAnsi="Times New Roman" w:cs="Times New Roman"/>
          <w:sz w:val="24"/>
          <w:szCs w:val="24"/>
        </w:rPr>
        <w:t xml:space="preserve"> (</w:t>
      </w:r>
      <w:r w:rsidRPr="00940070">
        <w:rPr>
          <w:rFonts w:ascii="Times New Roman" w:hAnsi="Times New Roman" w:cs="Times New Roman"/>
          <w:sz w:val="24"/>
          <w:szCs w:val="24"/>
        </w:rPr>
        <w:t>180</w:t>
      </w:r>
      <w:r w:rsidR="00965883" w:rsidRPr="00940070">
        <w:rPr>
          <w:rFonts w:ascii="Times New Roman" w:hAnsi="Times New Roman" w:cs="Times New Roman"/>
          <w:sz w:val="24"/>
          <w:szCs w:val="24"/>
        </w:rPr>
        <w:t>), iako je najveći broj novih dobitnika s otoka Brača</w:t>
      </w:r>
      <w:r w:rsidR="00D2557B" w:rsidRPr="00940070">
        <w:rPr>
          <w:rFonts w:ascii="Times New Roman" w:hAnsi="Times New Roman" w:cs="Times New Roman"/>
          <w:sz w:val="24"/>
          <w:szCs w:val="24"/>
        </w:rPr>
        <w:t xml:space="preserve"> (33, u odnosu na 32 s otoka Hvara). </w:t>
      </w:r>
    </w:p>
    <w:p w14:paraId="38533C0C" w14:textId="77777777" w:rsidR="008F0467" w:rsidRPr="0011558A" w:rsidRDefault="008F0467" w:rsidP="00D2557B">
      <w:pPr>
        <w:spacing w:before="240"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1558A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 w:rsidR="00EA0E98">
        <w:rPr>
          <w:rFonts w:ascii="Times New Roman" w:hAnsi="Times New Roman" w:cs="Times New Roman"/>
          <w:i/>
          <w:sz w:val="18"/>
          <w:szCs w:val="18"/>
        </w:rPr>
        <w:t>5</w:t>
      </w:r>
      <w:r w:rsidRPr="0011558A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>Pregled ukupnog broja novih dobitnika i proizvoda/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linija </w:t>
      </w:r>
      <w:r w:rsidR="00C3442B">
        <w:rPr>
          <w:rFonts w:ascii="Times New Roman" w:hAnsi="Times New Roman" w:cs="Times New Roman"/>
          <w:i/>
          <w:sz w:val="18"/>
          <w:szCs w:val="18"/>
        </w:rPr>
        <w:t>za koje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su stekli pravo označavanja oznakom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HOP </w:t>
      </w:r>
      <w:r w:rsidR="001075F0">
        <w:rPr>
          <w:rFonts w:ascii="Times New Roman" w:hAnsi="Times New Roman" w:cs="Times New Roman"/>
          <w:i/>
          <w:sz w:val="18"/>
          <w:szCs w:val="18"/>
        </w:rPr>
        <w:t>u razdoblju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2007.</w:t>
      </w:r>
      <w:r w:rsidR="001075F0">
        <w:rPr>
          <w:rFonts w:ascii="Times New Roman" w:hAnsi="Times New Roman" w:cs="Times New Roman"/>
          <w:i/>
          <w:sz w:val="18"/>
          <w:szCs w:val="18"/>
        </w:rPr>
        <w:t>-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>2018</w:t>
      </w:r>
      <w:r w:rsidRPr="0011558A">
        <w:rPr>
          <w:rFonts w:ascii="Times New Roman" w:hAnsi="Times New Roman" w:cs="Times New Roman"/>
          <w:i/>
          <w:sz w:val="18"/>
          <w:szCs w:val="18"/>
        </w:rPr>
        <w:t>. godine po otocima Splitsko</w:t>
      </w:r>
      <w:r w:rsidR="00690C3A">
        <w:rPr>
          <w:rFonts w:ascii="Times New Roman" w:hAnsi="Times New Roman" w:cs="Times New Roman"/>
          <w:i/>
          <w:sz w:val="18"/>
          <w:szCs w:val="18"/>
        </w:rPr>
        <w:t>-</w:t>
      </w:r>
      <w:r w:rsidRPr="0011558A">
        <w:rPr>
          <w:rFonts w:ascii="Times New Roman" w:hAnsi="Times New Roman" w:cs="Times New Roman"/>
          <w:i/>
          <w:sz w:val="18"/>
          <w:szCs w:val="18"/>
        </w:rPr>
        <w:t>dalmatinske županije</w:t>
      </w:r>
      <w:bookmarkEnd w:id="6"/>
    </w:p>
    <w:p w14:paraId="6C336456" w14:textId="77777777" w:rsidR="008F0467" w:rsidRDefault="000E3596" w:rsidP="008F0467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B05FAC2" wp14:editId="7F718AFC">
            <wp:extent cx="4349336" cy="2091055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F4A2C8-273C-4F18-85E5-4A66EE1C16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A9D1821" w14:textId="77777777" w:rsidR="008F0467" w:rsidRPr="00B73740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47B35838" w14:textId="77777777" w:rsidR="00132681" w:rsidRPr="00940070" w:rsidRDefault="00132681" w:rsidP="00940070">
      <w:pPr>
        <w:jc w:val="both"/>
        <w:rPr>
          <w:rFonts w:ascii="Times New Roman" w:hAnsi="Times New Roman" w:cs="Times New Roman"/>
          <w:sz w:val="24"/>
          <w:szCs w:val="24"/>
        </w:rPr>
      </w:pPr>
      <w:r w:rsidRPr="00940070">
        <w:rPr>
          <w:rFonts w:ascii="Times New Roman" w:hAnsi="Times New Roman" w:cs="Times New Roman"/>
          <w:sz w:val="24"/>
          <w:szCs w:val="24"/>
        </w:rPr>
        <w:t xml:space="preserve">U Šibensko-kninskoj županiji je ukupno 18 otočnih </w:t>
      </w:r>
      <w:r w:rsidR="00C3442B" w:rsidRPr="00940070">
        <w:rPr>
          <w:rFonts w:ascii="Times New Roman" w:hAnsi="Times New Roman" w:cs="Times New Roman"/>
          <w:sz w:val="24"/>
          <w:szCs w:val="24"/>
        </w:rPr>
        <w:t>subjekata</w:t>
      </w:r>
      <w:r w:rsidRPr="00940070">
        <w:rPr>
          <w:rFonts w:ascii="Times New Roman" w:hAnsi="Times New Roman" w:cs="Times New Roman"/>
          <w:sz w:val="24"/>
          <w:szCs w:val="24"/>
        </w:rPr>
        <w:t xml:space="preserve"> steklo pravo označavanja oznakom HOP za ukupno </w:t>
      </w:r>
      <w:r w:rsidR="00395B12" w:rsidRPr="00940070">
        <w:rPr>
          <w:rFonts w:ascii="Times New Roman" w:hAnsi="Times New Roman" w:cs="Times New Roman"/>
          <w:sz w:val="24"/>
          <w:szCs w:val="24"/>
        </w:rPr>
        <w:t>65</w:t>
      </w:r>
      <w:r w:rsidRPr="00940070">
        <w:rPr>
          <w:rFonts w:ascii="Times New Roman" w:hAnsi="Times New Roman" w:cs="Times New Roman"/>
          <w:sz w:val="24"/>
          <w:szCs w:val="24"/>
        </w:rPr>
        <w:t xml:space="preserve"> proizvoda/</w:t>
      </w:r>
      <w:r w:rsidR="003D38C9" w:rsidRPr="00940070">
        <w:rPr>
          <w:rFonts w:ascii="Times New Roman" w:hAnsi="Times New Roman" w:cs="Times New Roman"/>
          <w:sz w:val="24"/>
          <w:szCs w:val="24"/>
        </w:rPr>
        <w:t xml:space="preserve">proizvodnih </w:t>
      </w:r>
      <w:r w:rsidRPr="00940070">
        <w:rPr>
          <w:rFonts w:ascii="Times New Roman" w:hAnsi="Times New Roman" w:cs="Times New Roman"/>
          <w:sz w:val="24"/>
          <w:szCs w:val="24"/>
        </w:rPr>
        <w:t>linij</w:t>
      </w:r>
      <w:r w:rsidR="003D38C9" w:rsidRPr="00940070">
        <w:rPr>
          <w:rFonts w:ascii="Times New Roman" w:hAnsi="Times New Roman" w:cs="Times New Roman"/>
          <w:sz w:val="24"/>
          <w:szCs w:val="24"/>
        </w:rPr>
        <w:t>a</w:t>
      </w:r>
      <w:r w:rsidR="00395B12" w:rsidRPr="00940070">
        <w:rPr>
          <w:rFonts w:ascii="Times New Roman" w:hAnsi="Times New Roman" w:cs="Times New Roman"/>
          <w:sz w:val="24"/>
          <w:szCs w:val="24"/>
        </w:rPr>
        <w:t>. Kao i u prethodne dvije županije, uočava se veća aktivnost na otoku s manjim brojem novih dobitnika u odnosu na broj proizvoda/</w:t>
      </w:r>
      <w:r w:rsidR="004C335A" w:rsidRPr="00940070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395B12" w:rsidRPr="00940070">
        <w:rPr>
          <w:rFonts w:ascii="Times New Roman" w:hAnsi="Times New Roman" w:cs="Times New Roman"/>
          <w:sz w:val="24"/>
          <w:szCs w:val="24"/>
        </w:rPr>
        <w:t xml:space="preserve">linija, a u ovom slučaju je to Prvić s 6 novih dobitnika i 36 </w:t>
      </w:r>
      <w:r w:rsidR="00395B12" w:rsidRPr="00940070">
        <w:rPr>
          <w:rFonts w:ascii="Times New Roman" w:hAnsi="Times New Roman" w:cs="Times New Roman"/>
          <w:sz w:val="24"/>
          <w:szCs w:val="24"/>
        </w:rPr>
        <w:lastRenderedPageBreak/>
        <w:t>proizvoda/</w:t>
      </w:r>
      <w:r w:rsidR="004C335A" w:rsidRPr="00940070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395B12" w:rsidRPr="00940070">
        <w:rPr>
          <w:rFonts w:ascii="Times New Roman" w:hAnsi="Times New Roman" w:cs="Times New Roman"/>
          <w:sz w:val="24"/>
          <w:szCs w:val="24"/>
        </w:rPr>
        <w:t>linija u odnosu na Murter s 8 novih dobitnika i 18 proizvoda/</w:t>
      </w:r>
      <w:r w:rsidR="004C335A" w:rsidRPr="00940070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395B12" w:rsidRPr="00940070">
        <w:rPr>
          <w:rFonts w:ascii="Times New Roman" w:hAnsi="Times New Roman" w:cs="Times New Roman"/>
          <w:sz w:val="24"/>
          <w:szCs w:val="24"/>
        </w:rPr>
        <w:t>linija.</w:t>
      </w:r>
    </w:p>
    <w:p w14:paraId="464C38F4" w14:textId="77777777" w:rsidR="008F0467" w:rsidRDefault="008F0467" w:rsidP="00132681">
      <w:pPr>
        <w:spacing w:before="240"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>Grafikon 6. Pregled ukupnog broja novih dobitnika i proizvoda/</w:t>
      </w:r>
      <w:r w:rsidR="00B146D5"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linija </w:t>
      </w:r>
      <w:r w:rsidR="00C3442B">
        <w:rPr>
          <w:rFonts w:ascii="Times New Roman" w:hAnsi="Times New Roman" w:cs="Times New Roman"/>
          <w:i/>
          <w:sz w:val="18"/>
          <w:szCs w:val="18"/>
        </w:rPr>
        <w:t>za koje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su stekli pravo označavanja oznakom 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 HOP </w:t>
      </w:r>
      <w:r w:rsidR="001075F0">
        <w:rPr>
          <w:rFonts w:ascii="Times New Roman" w:hAnsi="Times New Roman" w:cs="Times New Roman"/>
          <w:i/>
          <w:sz w:val="18"/>
          <w:szCs w:val="18"/>
        </w:rPr>
        <w:t>u razdoblju</w:t>
      </w:r>
      <w:r w:rsidRPr="00B73740">
        <w:rPr>
          <w:rFonts w:ascii="Times New Roman" w:hAnsi="Times New Roman" w:cs="Times New Roman"/>
          <w:i/>
          <w:sz w:val="18"/>
          <w:szCs w:val="18"/>
        </w:rPr>
        <w:t xml:space="preserve"> 2007.</w:t>
      </w:r>
      <w:r w:rsidR="00DA6C93">
        <w:rPr>
          <w:rFonts w:ascii="Times New Roman" w:hAnsi="Times New Roman" w:cs="Times New Roman"/>
          <w:i/>
          <w:sz w:val="18"/>
          <w:szCs w:val="18"/>
        </w:rPr>
        <w:t>-</w:t>
      </w:r>
      <w:r w:rsidRPr="00B73740">
        <w:rPr>
          <w:rFonts w:ascii="Times New Roman" w:hAnsi="Times New Roman" w:cs="Times New Roman"/>
          <w:i/>
          <w:sz w:val="18"/>
          <w:szCs w:val="18"/>
        </w:rPr>
        <w:t>2018. godine po otocima Šibensko</w:t>
      </w:r>
      <w:r w:rsidR="00690C3A">
        <w:rPr>
          <w:rFonts w:ascii="Times New Roman" w:hAnsi="Times New Roman" w:cs="Times New Roman"/>
          <w:i/>
          <w:sz w:val="18"/>
          <w:szCs w:val="18"/>
        </w:rPr>
        <w:t>-</w:t>
      </w:r>
      <w:r w:rsidRPr="00B73740">
        <w:rPr>
          <w:rFonts w:ascii="Times New Roman" w:hAnsi="Times New Roman" w:cs="Times New Roman"/>
          <w:i/>
          <w:sz w:val="18"/>
          <w:szCs w:val="18"/>
        </w:rPr>
        <w:t>kninske županije</w:t>
      </w:r>
    </w:p>
    <w:p w14:paraId="7531D5F5" w14:textId="77777777" w:rsidR="00B16519" w:rsidRDefault="00B16519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3EA18BC" w14:textId="77777777" w:rsidR="009E632A" w:rsidRPr="00B73740" w:rsidRDefault="00B94F69" w:rsidP="007A4E51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41EDF3B0" wp14:editId="60AA7071">
            <wp:extent cx="4230806" cy="2538484"/>
            <wp:effectExtent l="0" t="0" r="0" b="0"/>
            <wp:docPr id="14" name="Picture 14" descr="cid:image001.png@01D51235.0579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 descr="cid:image001.png@01D51235.05792610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413" cy="254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9A2C" w14:textId="77777777" w:rsidR="008F0467" w:rsidRPr="00B73740" w:rsidRDefault="008F0467" w:rsidP="009E632A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68FE5476" w14:textId="77777777" w:rsidR="007A5B4B" w:rsidRDefault="007A5B4B" w:rsidP="00940070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2FA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Zadarskoj županiji je, tijekom provedbe Projekta HOP, ukupno </w:t>
      </w:r>
      <w:r w:rsidR="009A6424">
        <w:rPr>
          <w:rFonts w:ascii="Times New Roman" w:hAnsi="Times New Roman" w:cs="Times New Roman"/>
          <w:sz w:val="24"/>
          <w:szCs w:val="24"/>
        </w:rPr>
        <w:t>65</w:t>
      </w:r>
      <w:r w:rsidRPr="00FF4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otočni</w:t>
      </w:r>
      <w:r w:rsidR="00722FA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42B">
        <w:rPr>
          <w:rFonts w:ascii="Times New Roman" w:hAnsi="Times New Roman" w:cs="Times New Roman"/>
          <w:sz w:val="24"/>
          <w:szCs w:val="24"/>
        </w:rPr>
        <w:t>subjekata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42FA">
        <w:rPr>
          <w:rFonts w:ascii="Times New Roman" w:hAnsi="Times New Roman" w:cs="Times New Roman"/>
          <w:sz w:val="24"/>
          <w:szCs w:val="24"/>
        </w:rPr>
        <w:t xml:space="preserve">za ukupno </w:t>
      </w:r>
      <w:r w:rsidR="009A6424">
        <w:rPr>
          <w:rFonts w:ascii="Times New Roman" w:hAnsi="Times New Roman" w:cs="Times New Roman"/>
          <w:sz w:val="24"/>
          <w:szCs w:val="24"/>
        </w:rPr>
        <w:t>167</w:t>
      </w:r>
      <w:r w:rsidRPr="00FF42FA">
        <w:rPr>
          <w:rFonts w:ascii="Times New Roman" w:hAnsi="Times New Roman" w:cs="Times New Roman"/>
          <w:sz w:val="24"/>
          <w:szCs w:val="24"/>
        </w:rPr>
        <w:t xml:space="preserve"> proizvoda/</w:t>
      </w:r>
      <w:r w:rsidR="003D38C9">
        <w:rPr>
          <w:rFonts w:ascii="Times New Roman" w:hAnsi="Times New Roman" w:cs="Times New Roman"/>
          <w:sz w:val="24"/>
          <w:szCs w:val="24"/>
        </w:rPr>
        <w:t xml:space="preserve">proizvodnih </w:t>
      </w:r>
      <w:r w:rsidRPr="00FF42FA">
        <w:rPr>
          <w:rFonts w:ascii="Times New Roman" w:hAnsi="Times New Roman" w:cs="Times New Roman"/>
          <w:sz w:val="24"/>
          <w:szCs w:val="24"/>
        </w:rPr>
        <w:t xml:space="preserve">linija </w:t>
      </w:r>
      <w:r>
        <w:rPr>
          <w:rFonts w:ascii="Times New Roman" w:hAnsi="Times New Roman" w:cs="Times New Roman"/>
          <w:sz w:val="24"/>
          <w:szCs w:val="24"/>
        </w:rPr>
        <w:t>stek</w:t>
      </w:r>
      <w:r w:rsidR="00722FA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pravo označavanja oznakom HOP</w:t>
      </w:r>
      <w:r w:rsidR="009A6424">
        <w:rPr>
          <w:rFonts w:ascii="Times New Roman" w:hAnsi="Times New Roman" w:cs="Times New Roman"/>
          <w:sz w:val="24"/>
          <w:szCs w:val="24"/>
        </w:rPr>
        <w:t xml:space="preserve"> dok je u Ličkoj-senjskoj županiji ukupno 5 otočnih </w:t>
      </w:r>
      <w:r w:rsidR="00C3442B">
        <w:rPr>
          <w:rFonts w:ascii="Times New Roman" w:hAnsi="Times New Roman" w:cs="Times New Roman"/>
          <w:sz w:val="24"/>
          <w:szCs w:val="24"/>
        </w:rPr>
        <w:t>subjekata</w:t>
      </w:r>
      <w:r w:rsidR="009A6424">
        <w:rPr>
          <w:rFonts w:ascii="Times New Roman" w:hAnsi="Times New Roman" w:cs="Times New Roman"/>
          <w:sz w:val="24"/>
          <w:szCs w:val="24"/>
        </w:rPr>
        <w:t xml:space="preserve">, </w:t>
      </w:r>
      <w:r w:rsidR="002634ED">
        <w:rPr>
          <w:rFonts w:ascii="Times New Roman" w:hAnsi="Times New Roman" w:cs="Times New Roman"/>
          <w:sz w:val="24"/>
          <w:szCs w:val="24"/>
        </w:rPr>
        <w:t>z</w:t>
      </w:r>
      <w:r w:rsidR="009A6424">
        <w:rPr>
          <w:rFonts w:ascii="Times New Roman" w:hAnsi="Times New Roman" w:cs="Times New Roman"/>
          <w:sz w:val="24"/>
          <w:szCs w:val="24"/>
        </w:rPr>
        <w:t xml:space="preserve">a ukupno 15 proizvoda/proizvodnih linija steklo pravo označavanja oznakom HOP.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A6424">
        <w:rPr>
          <w:rFonts w:ascii="Times New Roman" w:hAnsi="Times New Roman" w:cs="Times New Roman"/>
          <w:sz w:val="24"/>
          <w:szCs w:val="24"/>
        </w:rPr>
        <w:t>Zadarskoj</w:t>
      </w:r>
      <w:r>
        <w:rPr>
          <w:rFonts w:ascii="Times New Roman" w:hAnsi="Times New Roman" w:cs="Times New Roman"/>
          <w:sz w:val="24"/>
          <w:szCs w:val="24"/>
        </w:rPr>
        <w:t xml:space="preserve"> županiji evidentno prednjači </w:t>
      </w:r>
      <w:r w:rsidR="003D38C9">
        <w:rPr>
          <w:rFonts w:ascii="Times New Roman" w:hAnsi="Times New Roman" w:cs="Times New Roman"/>
          <w:sz w:val="24"/>
          <w:szCs w:val="24"/>
        </w:rPr>
        <w:t xml:space="preserve">otok </w:t>
      </w:r>
      <w:r>
        <w:rPr>
          <w:rFonts w:ascii="Times New Roman" w:hAnsi="Times New Roman" w:cs="Times New Roman"/>
          <w:sz w:val="24"/>
          <w:szCs w:val="24"/>
        </w:rPr>
        <w:t>Pašman i po broju novih dobitnika i broju proizvoda</w:t>
      </w:r>
      <w:r w:rsidR="003D38C9">
        <w:rPr>
          <w:rFonts w:ascii="Times New Roman" w:hAnsi="Times New Roman" w:cs="Times New Roman"/>
          <w:sz w:val="24"/>
          <w:szCs w:val="24"/>
        </w:rPr>
        <w:t xml:space="preserve">/proizvodnih </w:t>
      </w:r>
      <w:r>
        <w:rPr>
          <w:rFonts w:ascii="Times New Roman" w:hAnsi="Times New Roman" w:cs="Times New Roman"/>
          <w:sz w:val="24"/>
          <w:szCs w:val="24"/>
        </w:rPr>
        <w:t>/linija te oko 47% proizvoda/</w:t>
      </w:r>
      <w:r w:rsidR="003D38C9">
        <w:rPr>
          <w:rFonts w:ascii="Times New Roman" w:hAnsi="Times New Roman" w:cs="Times New Roman"/>
          <w:sz w:val="24"/>
          <w:szCs w:val="24"/>
        </w:rPr>
        <w:t xml:space="preserve">proizvodnih </w:t>
      </w:r>
      <w:r>
        <w:rPr>
          <w:rFonts w:ascii="Times New Roman" w:hAnsi="Times New Roman" w:cs="Times New Roman"/>
          <w:sz w:val="24"/>
          <w:szCs w:val="24"/>
        </w:rPr>
        <w:t>linija za koje su korisnici stekli pravo označavanja oznakom HOP je proizvedeno na tom otoku</w:t>
      </w:r>
      <w:r w:rsidR="009A6424">
        <w:rPr>
          <w:rFonts w:ascii="Times New Roman" w:hAnsi="Times New Roman" w:cs="Times New Roman"/>
          <w:sz w:val="24"/>
          <w:szCs w:val="24"/>
        </w:rPr>
        <w:t xml:space="preserve"> dok se podaci za Ličko-senjsku županiju odnose na Grad Novalju.</w:t>
      </w:r>
    </w:p>
    <w:p w14:paraId="7FFB21D5" w14:textId="77777777" w:rsidR="008F0467" w:rsidRPr="00B73740" w:rsidRDefault="008F0467" w:rsidP="00B16519">
      <w:pPr>
        <w:spacing w:before="240"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Grafikon 7.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>Pregled ukupnog broja novih dobitnika i proizvoda/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linija </w:t>
      </w:r>
      <w:r w:rsidR="00C3442B">
        <w:rPr>
          <w:rFonts w:ascii="Times New Roman" w:hAnsi="Times New Roman" w:cs="Times New Roman"/>
          <w:i/>
          <w:sz w:val="18"/>
          <w:szCs w:val="18"/>
        </w:rPr>
        <w:t>za koje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su stekli pravo označavanja oznakom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HOP </w:t>
      </w:r>
      <w:r w:rsidR="001075F0">
        <w:rPr>
          <w:rFonts w:ascii="Times New Roman" w:hAnsi="Times New Roman" w:cs="Times New Roman"/>
          <w:i/>
          <w:sz w:val="18"/>
          <w:szCs w:val="18"/>
        </w:rPr>
        <w:t>u razdoblju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2007.</w:t>
      </w:r>
      <w:r w:rsidR="001075F0">
        <w:rPr>
          <w:rFonts w:ascii="Times New Roman" w:hAnsi="Times New Roman" w:cs="Times New Roman"/>
          <w:i/>
          <w:sz w:val="18"/>
          <w:szCs w:val="18"/>
        </w:rPr>
        <w:t>-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>2018</w:t>
      </w:r>
      <w:r w:rsidRPr="00B73740">
        <w:rPr>
          <w:rFonts w:ascii="Times New Roman" w:hAnsi="Times New Roman" w:cs="Times New Roman"/>
          <w:i/>
          <w:sz w:val="18"/>
          <w:szCs w:val="18"/>
        </w:rPr>
        <w:t>. godine po otocima Zadarske županije</w:t>
      </w:r>
      <w:r w:rsidR="00547FD7">
        <w:rPr>
          <w:rFonts w:ascii="Times New Roman" w:hAnsi="Times New Roman" w:cs="Times New Roman"/>
          <w:i/>
          <w:sz w:val="18"/>
          <w:szCs w:val="18"/>
        </w:rPr>
        <w:t>/Ličko-senjske županije</w:t>
      </w:r>
    </w:p>
    <w:p w14:paraId="604DE8F4" w14:textId="77777777" w:rsidR="008F0467" w:rsidRDefault="009E632A" w:rsidP="008F04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5A88029" wp14:editId="2C4967F5">
            <wp:extent cx="4309331" cy="2075180"/>
            <wp:effectExtent l="0" t="0" r="0" b="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8DE925-1B65-4DBC-A5DE-E1965930E8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EECD28" w14:textId="77777777" w:rsidR="008F0467" w:rsidRPr="00B73740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0F413C52" w14:textId="77777777" w:rsidR="00B73740" w:rsidRPr="00CD3D2B" w:rsidRDefault="00B73740" w:rsidP="00940070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Primorsko</w:t>
      </w:r>
      <w:r w:rsidR="008560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goranskoj županij</w:t>
      </w:r>
      <w:r w:rsidR="00856051">
        <w:rPr>
          <w:rFonts w:ascii="Times New Roman" w:hAnsi="Times New Roman" w:cs="Times New Roman"/>
          <w:sz w:val="24"/>
          <w:szCs w:val="24"/>
        </w:rPr>
        <w:t>i je</w:t>
      </w:r>
      <w:r>
        <w:rPr>
          <w:rFonts w:ascii="Times New Roman" w:hAnsi="Times New Roman" w:cs="Times New Roman"/>
          <w:sz w:val="24"/>
          <w:szCs w:val="24"/>
        </w:rPr>
        <w:t xml:space="preserve"> 56 novih dobitnika </w:t>
      </w:r>
      <w:r w:rsidR="00856051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174 proizvoda/</w:t>
      </w:r>
      <w:r w:rsidR="003D38C9">
        <w:rPr>
          <w:rFonts w:ascii="Times New Roman" w:hAnsi="Times New Roman" w:cs="Times New Roman"/>
          <w:sz w:val="24"/>
          <w:szCs w:val="24"/>
        </w:rPr>
        <w:t xml:space="preserve">proizvodne </w:t>
      </w:r>
      <w:r>
        <w:rPr>
          <w:rFonts w:ascii="Times New Roman" w:hAnsi="Times New Roman" w:cs="Times New Roman"/>
          <w:sz w:val="24"/>
          <w:szCs w:val="24"/>
        </w:rPr>
        <w:t xml:space="preserve">linije. </w:t>
      </w:r>
      <w:r w:rsidR="008560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ajveći broj proizvoda/</w:t>
      </w:r>
      <w:r w:rsidR="003D38C9">
        <w:rPr>
          <w:rFonts w:ascii="Times New Roman" w:hAnsi="Times New Roman" w:cs="Times New Roman"/>
          <w:sz w:val="24"/>
          <w:szCs w:val="24"/>
        </w:rPr>
        <w:t xml:space="preserve">proizvodnih </w:t>
      </w:r>
      <w:r>
        <w:rPr>
          <w:rFonts w:ascii="Times New Roman" w:hAnsi="Times New Roman" w:cs="Times New Roman"/>
          <w:sz w:val="24"/>
          <w:szCs w:val="24"/>
        </w:rPr>
        <w:t>linija evidentiran</w:t>
      </w:r>
      <w:r w:rsidR="003D38C9">
        <w:rPr>
          <w:rFonts w:ascii="Times New Roman" w:hAnsi="Times New Roman" w:cs="Times New Roman"/>
          <w:sz w:val="24"/>
          <w:szCs w:val="24"/>
        </w:rPr>
        <w:t>o je</w:t>
      </w:r>
      <w:r>
        <w:rPr>
          <w:rFonts w:ascii="Times New Roman" w:hAnsi="Times New Roman" w:cs="Times New Roman"/>
          <w:sz w:val="24"/>
          <w:szCs w:val="24"/>
        </w:rPr>
        <w:t xml:space="preserve"> na otoku Rabu</w:t>
      </w:r>
      <w:r w:rsidR="008560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86</w:t>
      </w:r>
      <w:r w:rsidR="00856051">
        <w:rPr>
          <w:rFonts w:ascii="Times New Roman" w:hAnsi="Times New Roman" w:cs="Times New Roman"/>
          <w:sz w:val="24"/>
          <w:szCs w:val="24"/>
        </w:rPr>
        <w:t>), koji bilježi i najveći broj novih dobitnika.</w:t>
      </w:r>
    </w:p>
    <w:p w14:paraId="54B3BF86" w14:textId="77777777" w:rsidR="008F0467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75831" w14:textId="77777777" w:rsidR="008F0467" w:rsidRPr="00B73740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Grafikon 8.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>Pregled ukupnog broja novih dobitnika i proizvoda/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linija </w:t>
      </w:r>
      <w:r w:rsidR="00C3442B">
        <w:rPr>
          <w:rFonts w:ascii="Times New Roman" w:hAnsi="Times New Roman" w:cs="Times New Roman"/>
          <w:i/>
          <w:sz w:val="18"/>
          <w:szCs w:val="18"/>
        </w:rPr>
        <w:t>za koje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075F0">
        <w:rPr>
          <w:rFonts w:ascii="Times New Roman" w:hAnsi="Times New Roman" w:cs="Times New Roman"/>
          <w:i/>
          <w:sz w:val="18"/>
          <w:szCs w:val="18"/>
        </w:rPr>
        <w:t xml:space="preserve">su stekli pravo označavanja oznakom 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HOP </w:t>
      </w:r>
      <w:r w:rsidR="001075F0">
        <w:rPr>
          <w:rFonts w:ascii="Times New Roman" w:hAnsi="Times New Roman" w:cs="Times New Roman"/>
          <w:i/>
          <w:sz w:val="18"/>
          <w:szCs w:val="18"/>
        </w:rPr>
        <w:t>u razdoblju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 xml:space="preserve"> 2007.</w:t>
      </w:r>
      <w:r w:rsidR="001075F0">
        <w:rPr>
          <w:rFonts w:ascii="Times New Roman" w:hAnsi="Times New Roman" w:cs="Times New Roman"/>
          <w:i/>
          <w:sz w:val="18"/>
          <w:szCs w:val="18"/>
        </w:rPr>
        <w:t>-</w:t>
      </w:r>
      <w:r w:rsidR="001075F0" w:rsidRPr="00B73740">
        <w:rPr>
          <w:rFonts w:ascii="Times New Roman" w:hAnsi="Times New Roman" w:cs="Times New Roman"/>
          <w:i/>
          <w:sz w:val="18"/>
          <w:szCs w:val="18"/>
        </w:rPr>
        <w:t>2018</w:t>
      </w:r>
      <w:r w:rsidRPr="00B73740">
        <w:rPr>
          <w:rFonts w:ascii="Times New Roman" w:hAnsi="Times New Roman" w:cs="Times New Roman"/>
          <w:i/>
          <w:sz w:val="18"/>
          <w:szCs w:val="18"/>
        </w:rPr>
        <w:t>. godine po otocima Primorsko</w:t>
      </w:r>
      <w:r w:rsidR="00690C3A">
        <w:rPr>
          <w:rFonts w:ascii="Times New Roman" w:hAnsi="Times New Roman" w:cs="Times New Roman"/>
          <w:i/>
          <w:sz w:val="18"/>
          <w:szCs w:val="18"/>
        </w:rPr>
        <w:t>-</w:t>
      </w:r>
      <w:r w:rsidRPr="00B73740">
        <w:rPr>
          <w:rFonts w:ascii="Times New Roman" w:hAnsi="Times New Roman" w:cs="Times New Roman"/>
          <w:i/>
          <w:sz w:val="18"/>
          <w:szCs w:val="18"/>
        </w:rPr>
        <w:t>goranske županije</w:t>
      </w:r>
    </w:p>
    <w:p w14:paraId="108F017B" w14:textId="77777777" w:rsidR="008F0467" w:rsidRPr="00051F39" w:rsidRDefault="00E167F2" w:rsidP="008F04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1725EB49" wp14:editId="24C01BB9">
            <wp:extent cx="4301103" cy="2345055"/>
            <wp:effectExtent l="0" t="0" r="0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6A5C06A-C066-4FE7-A6CE-2EFEF9FD48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9388F91" w14:textId="77777777" w:rsidR="008F0467" w:rsidRPr="00B73740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7374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69E89D3E" w14:textId="77777777" w:rsidR="00B16519" w:rsidRDefault="00F51232" w:rsidP="00940070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Promatrajući presjek po županijama, </w:t>
      </w:r>
      <w:r w:rsidR="00B16519">
        <w:rPr>
          <w:rFonts w:ascii="Times New Roman" w:hAnsi="Times New Roman" w:cs="Times New Roman"/>
          <w:sz w:val="24"/>
          <w:szCs w:val="24"/>
        </w:rPr>
        <w:t>evidentne su oscilacije u kretanju broja novih dobitnika</w:t>
      </w:r>
      <w:r w:rsidR="007C0F1D">
        <w:rPr>
          <w:rFonts w:ascii="Times New Roman" w:hAnsi="Times New Roman" w:cs="Times New Roman"/>
          <w:sz w:val="24"/>
          <w:szCs w:val="24"/>
        </w:rPr>
        <w:t xml:space="preserve"> po županijam</w:t>
      </w:r>
      <w:r w:rsidR="00325E45">
        <w:rPr>
          <w:rFonts w:ascii="Times New Roman" w:hAnsi="Times New Roman" w:cs="Times New Roman"/>
          <w:sz w:val="24"/>
          <w:szCs w:val="24"/>
        </w:rPr>
        <w:t>a</w:t>
      </w:r>
      <w:r w:rsidR="007C0F1D">
        <w:rPr>
          <w:rFonts w:ascii="Times New Roman" w:hAnsi="Times New Roman" w:cs="Times New Roman"/>
          <w:sz w:val="24"/>
          <w:szCs w:val="24"/>
        </w:rPr>
        <w:t>/godinama</w:t>
      </w:r>
      <w:r w:rsidR="004A0B55">
        <w:rPr>
          <w:rFonts w:ascii="Times New Roman" w:hAnsi="Times New Roman" w:cs="Times New Roman"/>
          <w:sz w:val="24"/>
          <w:szCs w:val="24"/>
        </w:rPr>
        <w:t xml:space="preserve">, odnosno </w:t>
      </w:r>
      <w:r w:rsidR="00B16519">
        <w:rPr>
          <w:rFonts w:ascii="Times New Roman" w:hAnsi="Times New Roman" w:cs="Times New Roman"/>
          <w:sz w:val="24"/>
          <w:szCs w:val="24"/>
        </w:rPr>
        <w:t>ni u jednoj županiji nije zabilježeno pravocrtno kretanje istih</w:t>
      </w:r>
      <w:r w:rsidR="00A050E3">
        <w:rPr>
          <w:rFonts w:ascii="Times New Roman" w:hAnsi="Times New Roman" w:cs="Times New Roman"/>
          <w:sz w:val="24"/>
          <w:szCs w:val="24"/>
        </w:rPr>
        <w:t xml:space="preserve"> (</w:t>
      </w:r>
      <w:r w:rsidR="00A050E3" w:rsidRPr="00940070">
        <w:rPr>
          <w:rFonts w:ascii="Times New Roman" w:hAnsi="Times New Roman" w:cs="Times New Roman"/>
          <w:sz w:val="24"/>
          <w:szCs w:val="24"/>
        </w:rPr>
        <w:t>grafikon 9</w:t>
      </w:r>
      <w:r w:rsidR="00A050E3">
        <w:rPr>
          <w:rFonts w:ascii="Times New Roman" w:hAnsi="Times New Roman" w:cs="Times New Roman"/>
          <w:sz w:val="24"/>
          <w:szCs w:val="24"/>
        </w:rPr>
        <w:t xml:space="preserve">.) Ukoliko promatramo prosjek po godinama/županija u </w:t>
      </w:r>
      <w:r w:rsidR="00B16519">
        <w:rPr>
          <w:rFonts w:ascii="Times New Roman" w:hAnsi="Times New Roman" w:cs="Times New Roman"/>
          <w:sz w:val="24"/>
          <w:szCs w:val="24"/>
        </w:rPr>
        <w:t>Splitsko</w:t>
      </w:r>
      <w:r w:rsidR="007C0F1D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dalmatinskoj županiji je tijekom analiziranog razdoblja prosječno</w:t>
      </w:r>
      <w:r w:rsidR="006D0B27">
        <w:rPr>
          <w:rFonts w:ascii="Times New Roman" w:hAnsi="Times New Roman" w:cs="Times New Roman"/>
          <w:sz w:val="24"/>
          <w:szCs w:val="24"/>
        </w:rPr>
        <w:t xml:space="preserve"> </w:t>
      </w:r>
      <w:r w:rsidR="00B16519">
        <w:rPr>
          <w:rFonts w:ascii="Times New Roman" w:hAnsi="Times New Roman" w:cs="Times New Roman"/>
          <w:sz w:val="24"/>
          <w:szCs w:val="24"/>
        </w:rPr>
        <w:t xml:space="preserve">zabilježeno </w:t>
      </w:r>
      <w:r w:rsidR="00A050E3">
        <w:rPr>
          <w:rFonts w:ascii="Times New Roman" w:hAnsi="Times New Roman" w:cs="Times New Roman"/>
          <w:sz w:val="24"/>
          <w:szCs w:val="24"/>
        </w:rPr>
        <w:t>7</w:t>
      </w:r>
      <w:r w:rsidR="00B16519">
        <w:rPr>
          <w:rFonts w:ascii="Times New Roman" w:hAnsi="Times New Roman" w:cs="Times New Roman"/>
          <w:sz w:val="24"/>
          <w:szCs w:val="24"/>
        </w:rPr>
        <w:t xml:space="preserve"> novih dobitnika</w:t>
      </w:r>
      <w:r w:rsidR="006D0B27">
        <w:rPr>
          <w:rFonts w:ascii="Times New Roman" w:hAnsi="Times New Roman" w:cs="Times New Roman"/>
          <w:sz w:val="24"/>
          <w:szCs w:val="24"/>
        </w:rPr>
        <w:t xml:space="preserve"> godišnje</w:t>
      </w:r>
      <w:r w:rsidR="00B16519">
        <w:rPr>
          <w:rFonts w:ascii="Times New Roman" w:hAnsi="Times New Roman" w:cs="Times New Roman"/>
          <w:sz w:val="24"/>
          <w:szCs w:val="24"/>
        </w:rPr>
        <w:t>, u Zadarskoj županiji 6, u Dubrovačko</w:t>
      </w:r>
      <w:r w:rsidR="006D0B27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neretvanskoj i Primorsko</w:t>
      </w:r>
      <w:r w:rsidR="006D0B27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 xml:space="preserve"> goranskoj</w:t>
      </w:r>
      <w:r w:rsidR="006D0B27">
        <w:rPr>
          <w:rFonts w:ascii="Times New Roman" w:hAnsi="Times New Roman" w:cs="Times New Roman"/>
          <w:sz w:val="24"/>
          <w:szCs w:val="24"/>
        </w:rPr>
        <w:t xml:space="preserve"> županiji</w:t>
      </w:r>
      <w:r w:rsidR="00B16519">
        <w:rPr>
          <w:rFonts w:ascii="Times New Roman" w:hAnsi="Times New Roman" w:cs="Times New Roman"/>
          <w:sz w:val="24"/>
          <w:szCs w:val="24"/>
        </w:rPr>
        <w:t xml:space="preserve"> po 5 i u Šibensko</w:t>
      </w:r>
      <w:r w:rsidR="006D0B27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kninskoj 1 novi dobitnik</w:t>
      </w:r>
      <w:r w:rsidR="00042B3E">
        <w:rPr>
          <w:rFonts w:ascii="Times New Roman" w:hAnsi="Times New Roman" w:cs="Times New Roman"/>
          <w:sz w:val="24"/>
          <w:szCs w:val="24"/>
        </w:rPr>
        <w:t>, što je i očekivano s obzirom na broj otoka, naselja i stanovnika u tim županijama.</w:t>
      </w:r>
    </w:p>
    <w:p w14:paraId="1BE53F1F" w14:textId="77777777" w:rsidR="002F7608" w:rsidRPr="002F7608" w:rsidRDefault="002F7608" w:rsidP="00042B3E">
      <w:pPr>
        <w:spacing w:before="240"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F7608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>
        <w:rPr>
          <w:rFonts w:ascii="Times New Roman" w:hAnsi="Times New Roman" w:cs="Times New Roman"/>
          <w:i/>
          <w:sz w:val="18"/>
          <w:szCs w:val="18"/>
        </w:rPr>
        <w:t>9</w:t>
      </w:r>
      <w:r w:rsidRPr="002F7608">
        <w:rPr>
          <w:rFonts w:ascii="Times New Roman" w:hAnsi="Times New Roman" w:cs="Times New Roman"/>
          <w:i/>
          <w:sz w:val="18"/>
          <w:szCs w:val="18"/>
        </w:rPr>
        <w:t>. Godišnji pregled kretanja ukupnog broja novih dobitnika oznake HOP po županijama u razdoblju od 2007.</w:t>
      </w:r>
      <w:r w:rsidR="00042B3E">
        <w:rPr>
          <w:rFonts w:ascii="Times New Roman" w:hAnsi="Times New Roman" w:cs="Times New Roman"/>
          <w:i/>
          <w:sz w:val="18"/>
          <w:szCs w:val="18"/>
        </w:rPr>
        <w:t>-</w:t>
      </w:r>
      <w:r w:rsidRPr="002F7608">
        <w:rPr>
          <w:rFonts w:ascii="Times New Roman" w:hAnsi="Times New Roman" w:cs="Times New Roman"/>
          <w:i/>
          <w:sz w:val="18"/>
          <w:szCs w:val="18"/>
        </w:rPr>
        <w:t>2018. godine</w:t>
      </w:r>
    </w:p>
    <w:p w14:paraId="44B35BCF" w14:textId="77777777" w:rsidR="000B1D93" w:rsidRDefault="0013605E" w:rsidP="0013605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8F457A1" wp14:editId="50D2AA02">
            <wp:extent cx="4491533" cy="2787092"/>
            <wp:effectExtent l="0" t="0" r="4445" b="13335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4EF674-8F19-465C-A0D2-234BA85C2F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FD5DBFB" w14:textId="77777777" w:rsidR="002F7608" w:rsidRDefault="00B16519" w:rsidP="002F7608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B16519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3A650679" w14:textId="77777777" w:rsidR="00B16519" w:rsidRDefault="002F7608" w:rsidP="00940070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16519">
        <w:rPr>
          <w:rFonts w:ascii="Times New Roman" w:hAnsi="Times New Roman" w:cs="Times New Roman"/>
          <w:sz w:val="24"/>
          <w:szCs w:val="24"/>
        </w:rPr>
        <w:t>rikaz</w:t>
      </w:r>
      <w:r>
        <w:rPr>
          <w:rFonts w:ascii="Times New Roman" w:hAnsi="Times New Roman" w:cs="Times New Roman"/>
          <w:sz w:val="24"/>
          <w:szCs w:val="24"/>
        </w:rPr>
        <w:t>om</w:t>
      </w:r>
      <w:r w:rsidR="00B16519">
        <w:rPr>
          <w:rFonts w:ascii="Times New Roman" w:hAnsi="Times New Roman" w:cs="Times New Roman"/>
          <w:sz w:val="24"/>
          <w:szCs w:val="24"/>
        </w:rPr>
        <w:t xml:space="preserve"> kretanja ukupnog broja proizvoda</w:t>
      </w:r>
      <w:r w:rsidR="005E5809">
        <w:rPr>
          <w:rFonts w:ascii="Times New Roman" w:hAnsi="Times New Roman" w:cs="Times New Roman"/>
          <w:sz w:val="24"/>
          <w:szCs w:val="24"/>
        </w:rPr>
        <w:t xml:space="preserve">/proizvodnih </w:t>
      </w:r>
      <w:r w:rsidR="00B16519">
        <w:rPr>
          <w:rFonts w:ascii="Times New Roman" w:hAnsi="Times New Roman" w:cs="Times New Roman"/>
          <w:sz w:val="24"/>
          <w:szCs w:val="24"/>
        </w:rPr>
        <w:t xml:space="preserve">linija </w:t>
      </w:r>
      <w:r w:rsidR="00613199">
        <w:rPr>
          <w:rFonts w:ascii="Times New Roman" w:hAnsi="Times New Roman" w:cs="Times New Roman"/>
          <w:sz w:val="24"/>
          <w:szCs w:val="24"/>
        </w:rPr>
        <w:t xml:space="preserve">za </w:t>
      </w:r>
      <w:r w:rsidR="00B16519">
        <w:rPr>
          <w:rFonts w:ascii="Times New Roman" w:hAnsi="Times New Roman" w:cs="Times New Roman"/>
          <w:sz w:val="24"/>
          <w:szCs w:val="24"/>
        </w:rPr>
        <w:t xml:space="preserve">koje su </w:t>
      </w:r>
      <w:r w:rsidR="00613199">
        <w:rPr>
          <w:rFonts w:ascii="Times New Roman" w:hAnsi="Times New Roman" w:cs="Times New Roman"/>
          <w:sz w:val="24"/>
          <w:szCs w:val="24"/>
        </w:rPr>
        <w:t xml:space="preserve">otočni </w:t>
      </w:r>
      <w:r w:rsidR="009E54AF">
        <w:rPr>
          <w:rFonts w:ascii="Times New Roman" w:hAnsi="Times New Roman" w:cs="Times New Roman"/>
          <w:sz w:val="24"/>
          <w:szCs w:val="24"/>
        </w:rPr>
        <w:t>subjekti</w:t>
      </w:r>
      <w:r w:rsidR="00613199">
        <w:rPr>
          <w:rFonts w:ascii="Times New Roman" w:hAnsi="Times New Roman" w:cs="Times New Roman"/>
          <w:sz w:val="24"/>
          <w:szCs w:val="24"/>
        </w:rPr>
        <w:t xml:space="preserve"> stekli pravo označavanja oznakom HOP</w:t>
      </w:r>
      <w:r w:rsidR="00B16519">
        <w:rPr>
          <w:rFonts w:ascii="Times New Roman" w:hAnsi="Times New Roman" w:cs="Times New Roman"/>
          <w:sz w:val="24"/>
          <w:szCs w:val="24"/>
        </w:rPr>
        <w:t xml:space="preserve"> razdoblju 2007. do 2018. godine </w:t>
      </w:r>
      <w:r w:rsidR="00613199">
        <w:rPr>
          <w:rFonts w:ascii="Times New Roman" w:hAnsi="Times New Roman" w:cs="Times New Roman"/>
          <w:sz w:val="24"/>
          <w:szCs w:val="24"/>
        </w:rPr>
        <w:t>također su</w:t>
      </w:r>
      <w:r w:rsidR="00B16519">
        <w:rPr>
          <w:rFonts w:ascii="Times New Roman" w:hAnsi="Times New Roman" w:cs="Times New Roman"/>
          <w:sz w:val="24"/>
          <w:szCs w:val="24"/>
        </w:rPr>
        <w:t xml:space="preserve"> vidljive oscilacije u samom kretanju</w:t>
      </w:r>
      <w:r w:rsidR="00613199">
        <w:rPr>
          <w:rFonts w:ascii="Times New Roman" w:hAnsi="Times New Roman" w:cs="Times New Roman"/>
          <w:sz w:val="24"/>
          <w:szCs w:val="24"/>
        </w:rPr>
        <w:t xml:space="preserve">, kao i kod ukupnog broja novih dobitnika po županijama. </w:t>
      </w:r>
      <w:r w:rsidR="00613199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16519">
        <w:rPr>
          <w:rFonts w:ascii="Times New Roman" w:hAnsi="Times New Roman" w:cs="Times New Roman"/>
          <w:sz w:val="24"/>
          <w:szCs w:val="24"/>
        </w:rPr>
        <w:t xml:space="preserve">rosječno </w:t>
      </w:r>
      <w:r w:rsidR="00613199">
        <w:rPr>
          <w:rFonts w:ascii="Times New Roman" w:hAnsi="Times New Roman" w:cs="Times New Roman"/>
          <w:sz w:val="24"/>
          <w:szCs w:val="24"/>
        </w:rPr>
        <w:t xml:space="preserve">je na godišnjoj razini </w:t>
      </w:r>
      <w:r w:rsidR="00B16519">
        <w:rPr>
          <w:rFonts w:ascii="Times New Roman" w:hAnsi="Times New Roman" w:cs="Times New Roman"/>
          <w:sz w:val="24"/>
          <w:szCs w:val="24"/>
        </w:rPr>
        <w:t>u Splitsko</w:t>
      </w:r>
      <w:r w:rsidR="00613199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dalmatinskoj županiji 31 proizvod/</w:t>
      </w:r>
      <w:r w:rsidR="00F007B5">
        <w:rPr>
          <w:rFonts w:ascii="Times New Roman" w:hAnsi="Times New Roman" w:cs="Times New Roman"/>
          <w:sz w:val="24"/>
          <w:szCs w:val="24"/>
        </w:rPr>
        <w:t xml:space="preserve">proizvodna </w:t>
      </w:r>
      <w:r w:rsidR="00B16519">
        <w:rPr>
          <w:rFonts w:ascii="Times New Roman" w:hAnsi="Times New Roman" w:cs="Times New Roman"/>
          <w:sz w:val="24"/>
          <w:szCs w:val="24"/>
        </w:rPr>
        <w:t xml:space="preserve">linija </w:t>
      </w:r>
      <w:r w:rsidR="00613199">
        <w:rPr>
          <w:rFonts w:ascii="Times New Roman" w:hAnsi="Times New Roman" w:cs="Times New Roman"/>
          <w:sz w:val="24"/>
          <w:szCs w:val="24"/>
        </w:rPr>
        <w:t xml:space="preserve">označeno </w:t>
      </w:r>
      <w:r w:rsidR="00B16519">
        <w:rPr>
          <w:rFonts w:ascii="Times New Roman" w:hAnsi="Times New Roman" w:cs="Times New Roman"/>
          <w:sz w:val="24"/>
          <w:szCs w:val="24"/>
        </w:rPr>
        <w:t>oznak</w:t>
      </w:r>
      <w:r w:rsidR="00613199">
        <w:rPr>
          <w:rFonts w:ascii="Times New Roman" w:hAnsi="Times New Roman" w:cs="Times New Roman"/>
          <w:sz w:val="24"/>
          <w:szCs w:val="24"/>
        </w:rPr>
        <w:t>om</w:t>
      </w:r>
      <w:r w:rsidR="00B16519">
        <w:rPr>
          <w:rFonts w:ascii="Times New Roman" w:hAnsi="Times New Roman" w:cs="Times New Roman"/>
          <w:sz w:val="24"/>
          <w:szCs w:val="24"/>
        </w:rPr>
        <w:t xml:space="preserve"> HOP, slijede ju Dubrovačko</w:t>
      </w:r>
      <w:r w:rsidR="00613199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neretvanska i Zadarska županija sa po 15 proizvoda/</w:t>
      </w:r>
      <w:r w:rsidR="00F007B5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B16519">
        <w:rPr>
          <w:rFonts w:ascii="Times New Roman" w:hAnsi="Times New Roman" w:cs="Times New Roman"/>
          <w:sz w:val="24"/>
          <w:szCs w:val="24"/>
        </w:rPr>
        <w:t>linija</w:t>
      </w:r>
      <w:r w:rsidR="00613199">
        <w:rPr>
          <w:rFonts w:ascii="Times New Roman" w:hAnsi="Times New Roman" w:cs="Times New Roman"/>
          <w:sz w:val="24"/>
          <w:szCs w:val="24"/>
        </w:rPr>
        <w:t xml:space="preserve"> te </w:t>
      </w:r>
      <w:r w:rsidR="00B16519">
        <w:rPr>
          <w:rFonts w:ascii="Times New Roman" w:hAnsi="Times New Roman" w:cs="Times New Roman"/>
          <w:sz w:val="24"/>
          <w:szCs w:val="24"/>
        </w:rPr>
        <w:t>Primorsko</w:t>
      </w:r>
      <w:r w:rsidR="00613199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goranska županija sa 14 i Šibensko</w:t>
      </w:r>
      <w:r w:rsidR="00613199">
        <w:rPr>
          <w:rFonts w:ascii="Times New Roman" w:hAnsi="Times New Roman" w:cs="Times New Roman"/>
          <w:sz w:val="24"/>
          <w:szCs w:val="24"/>
        </w:rPr>
        <w:t>-</w:t>
      </w:r>
      <w:r w:rsidR="00B16519">
        <w:rPr>
          <w:rFonts w:ascii="Times New Roman" w:hAnsi="Times New Roman" w:cs="Times New Roman"/>
          <w:sz w:val="24"/>
          <w:szCs w:val="24"/>
        </w:rPr>
        <w:t>kninska županija sa 5 proizvoda/</w:t>
      </w:r>
      <w:r w:rsidR="00F007B5">
        <w:rPr>
          <w:rFonts w:ascii="Times New Roman" w:hAnsi="Times New Roman" w:cs="Times New Roman"/>
          <w:sz w:val="24"/>
          <w:szCs w:val="24"/>
        </w:rPr>
        <w:t xml:space="preserve">proizvodnih </w:t>
      </w:r>
      <w:r w:rsidR="00B16519">
        <w:rPr>
          <w:rFonts w:ascii="Times New Roman" w:hAnsi="Times New Roman" w:cs="Times New Roman"/>
          <w:sz w:val="24"/>
          <w:szCs w:val="24"/>
        </w:rPr>
        <w:t>linija .</w:t>
      </w:r>
    </w:p>
    <w:p w14:paraId="50B62513" w14:textId="77777777" w:rsidR="002F7608" w:rsidRDefault="002F7608" w:rsidP="00450A84">
      <w:pPr>
        <w:spacing w:before="24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F7608">
        <w:rPr>
          <w:rFonts w:ascii="Times New Roman" w:hAnsi="Times New Roman" w:cs="Times New Roman"/>
          <w:i/>
          <w:sz w:val="18"/>
          <w:szCs w:val="18"/>
        </w:rPr>
        <w:t>Grafikon 10. Godišnji pregled kretanja ukupnog broja proizvoda/</w:t>
      </w:r>
      <w:r w:rsidR="00F007B5">
        <w:rPr>
          <w:rFonts w:ascii="Times New Roman" w:hAnsi="Times New Roman" w:cs="Times New Roman"/>
          <w:i/>
          <w:sz w:val="18"/>
          <w:szCs w:val="18"/>
        </w:rPr>
        <w:t xml:space="preserve">proizvodnih </w:t>
      </w:r>
      <w:r w:rsidRPr="002F7608">
        <w:rPr>
          <w:rFonts w:ascii="Times New Roman" w:hAnsi="Times New Roman" w:cs="Times New Roman"/>
          <w:i/>
          <w:sz w:val="18"/>
          <w:szCs w:val="18"/>
        </w:rPr>
        <w:t>linija</w:t>
      </w:r>
      <w:r w:rsidR="00F007B5">
        <w:rPr>
          <w:rFonts w:ascii="Times New Roman" w:hAnsi="Times New Roman" w:cs="Times New Roman"/>
          <w:i/>
          <w:sz w:val="18"/>
          <w:szCs w:val="18"/>
        </w:rPr>
        <w:t xml:space="preserve"> za</w:t>
      </w:r>
      <w:r w:rsidRPr="002F76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3199">
        <w:rPr>
          <w:rFonts w:ascii="Times New Roman" w:hAnsi="Times New Roman" w:cs="Times New Roman"/>
          <w:i/>
          <w:sz w:val="18"/>
          <w:szCs w:val="18"/>
        </w:rPr>
        <w:t xml:space="preserve">koje su korisnici – otočni </w:t>
      </w:r>
      <w:r w:rsidR="007E066B">
        <w:rPr>
          <w:rFonts w:ascii="Times New Roman" w:hAnsi="Times New Roman" w:cs="Times New Roman"/>
          <w:i/>
          <w:sz w:val="18"/>
          <w:szCs w:val="18"/>
        </w:rPr>
        <w:t>subjekti</w:t>
      </w:r>
      <w:r w:rsidR="00613199">
        <w:rPr>
          <w:rFonts w:ascii="Times New Roman" w:hAnsi="Times New Roman" w:cs="Times New Roman"/>
          <w:i/>
          <w:sz w:val="18"/>
          <w:szCs w:val="18"/>
        </w:rPr>
        <w:t xml:space="preserve"> stekli pravo označavanja</w:t>
      </w:r>
      <w:r w:rsidR="00613199" w:rsidRPr="00A62BAE">
        <w:rPr>
          <w:rFonts w:ascii="Times New Roman" w:hAnsi="Times New Roman" w:cs="Times New Roman"/>
          <w:i/>
          <w:sz w:val="18"/>
          <w:szCs w:val="18"/>
        </w:rPr>
        <w:t xml:space="preserve"> oznak</w:t>
      </w:r>
      <w:r w:rsidR="00613199">
        <w:rPr>
          <w:rFonts w:ascii="Times New Roman" w:hAnsi="Times New Roman" w:cs="Times New Roman"/>
          <w:i/>
          <w:sz w:val="18"/>
          <w:szCs w:val="18"/>
        </w:rPr>
        <w:t>om</w:t>
      </w:r>
      <w:r w:rsidR="00613199" w:rsidRPr="00A62BAE">
        <w:rPr>
          <w:rFonts w:ascii="Times New Roman" w:hAnsi="Times New Roman" w:cs="Times New Roman"/>
          <w:i/>
          <w:sz w:val="18"/>
          <w:szCs w:val="18"/>
        </w:rPr>
        <w:t xml:space="preserve"> HOP u razdoblju</w:t>
      </w:r>
      <w:r w:rsidR="00F007B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3199" w:rsidRPr="00A62BAE">
        <w:rPr>
          <w:rFonts w:ascii="Times New Roman" w:hAnsi="Times New Roman" w:cs="Times New Roman"/>
          <w:i/>
          <w:sz w:val="18"/>
          <w:szCs w:val="18"/>
        </w:rPr>
        <w:t>2007.</w:t>
      </w:r>
      <w:r w:rsidR="00613199">
        <w:rPr>
          <w:rFonts w:ascii="Times New Roman" w:hAnsi="Times New Roman" w:cs="Times New Roman"/>
          <w:i/>
          <w:sz w:val="18"/>
          <w:szCs w:val="18"/>
        </w:rPr>
        <w:t xml:space="preserve">-2018. </w:t>
      </w:r>
      <w:r w:rsidR="00613199" w:rsidRPr="00A62BAE">
        <w:rPr>
          <w:rFonts w:ascii="Times New Roman" w:hAnsi="Times New Roman" w:cs="Times New Roman"/>
          <w:i/>
          <w:sz w:val="18"/>
          <w:szCs w:val="18"/>
        </w:rPr>
        <w:t>godine</w:t>
      </w:r>
    </w:p>
    <w:p w14:paraId="76B930ED" w14:textId="77777777" w:rsidR="0013605E" w:rsidRPr="002F7608" w:rsidRDefault="0013605E" w:rsidP="0013605E">
      <w:pPr>
        <w:spacing w:before="24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3CD0E592" wp14:editId="3503D986">
            <wp:extent cx="4440326" cy="2589581"/>
            <wp:effectExtent l="0" t="0" r="17780" b="127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8D3FB3-2737-4D54-BA86-C4C5DCB639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996EAEF" w14:textId="77777777" w:rsidR="000357A6" w:rsidRPr="00B16519" w:rsidRDefault="000357A6" w:rsidP="000357A6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16519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6DBFAFF5" w14:textId="77777777" w:rsidR="000B1D93" w:rsidRPr="008647E4" w:rsidRDefault="000B1D93" w:rsidP="008647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E41BD" w14:textId="77777777" w:rsidR="00023C2C" w:rsidRPr="00023C2C" w:rsidRDefault="00FE342F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 w:rsidRPr="00023C2C">
        <w:rPr>
          <w:rFonts w:ascii="Times New Roman" w:hAnsi="Times New Roman" w:cs="Times New Roman"/>
          <w:sz w:val="24"/>
          <w:szCs w:val="24"/>
        </w:rPr>
        <w:t xml:space="preserve">Prema pravnoj osobnosti </w:t>
      </w:r>
      <w:r w:rsidR="00023C2C" w:rsidRPr="00023C2C">
        <w:rPr>
          <w:rFonts w:ascii="Times New Roman" w:hAnsi="Times New Roman" w:cs="Times New Roman"/>
          <w:sz w:val="24"/>
          <w:szCs w:val="24"/>
        </w:rPr>
        <w:t xml:space="preserve">otočnih </w:t>
      </w:r>
      <w:r w:rsidR="007E066B">
        <w:rPr>
          <w:rFonts w:ascii="Times New Roman" w:hAnsi="Times New Roman" w:cs="Times New Roman"/>
          <w:sz w:val="24"/>
          <w:szCs w:val="24"/>
        </w:rPr>
        <w:t>subjekata</w:t>
      </w:r>
      <w:r w:rsidR="00023C2C" w:rsidRPr="00023C2C">
        <w:rPr>
          <w:rFonts w:ascii="Times New Roman" w:hAnsi="Times New Roman" w:cs="Times New Roman"/>
          <w:sz w:val="24"/>
          <w:szCs w:val="24"/>
        </w:rPr>
        <w:t>-</w:t>
      </w:r>
      <w:r w:rsidRPr="00023C2C">
        <w:rPr>
          <w:rFonts w:ascii="Times New Roman" w:hAnsi="Times New Roman" w:cs="Times New Roman"/>
          <w:sz w:val="24"/>
          <w:szCs w:val="24"/>
        </w:rPr>
        <w:t>korisnika prava označavanja oznakom HOP</w:t>
      </w:r>
      <w:r w:rsidR="00F6594A">
        <w:rPr>
          <w:rFonts w:ascii="Times New Roman" w:hAnsi="Times New Roman" w:cs="Times New Roman"/>
          <w:sz w:val="24"/>
          <w:szCs w:val="24"/>
        </w:rPr>
        <w:t>, evidentna je raznolikost sudionika Projekta HOP, što dokazuje kako su ciljevi Projekta HOP interesantni širem krugu otočnih dionika. N</w:t>
      </w:r>
      <w:r w:rsidR="00C73036">
        <w:rPr>
          <w:rFonts w:ascii="Times New Roman" w:hAnsi="Times New Roman" w:cs="Times New Roman"/>
          <w:sz w:val="24"/>
          <w:szCs w:val="24"/>
        </w:rPr>
        <w:t xml:space="preserve">ajzastupljeniji oblik registracije otočnih </w:t>
      </w:r>
      <w:r w:rsidR="007E066B">
        <w:rPr>
          <w:rFonts w:ascii="Times New Roman" w:hAnsi="Times New Roman" w:cs="Times New Roman"/>
          <w:sz w:val="24"/>
          <w:szCs w:val="24"/>
        </w:rPr>
        <w:t>subjekata</w:t>
      </w:r>
      <w:r w:rsidR="00C73036">
        <w:rPr>
          <w:rFonts w:ascii="Times New Roman" w:hAnsi="Times New Roman" w:cs="Times New Roman"/>
          <w:sz w:val="24"/>
          <w:szCs w:val="24"/>
        </w:rPr>
        <w:t>-korisnika prava označavanja oznakom HOP je obiteljsko poljoprivredno gospodarstvo</w:t>
      </w:r>
      <w:r w:rsidR="00F6594A">
        <w:rPr>
          <w:rFonts w:ascii="Times New Roman" w:hAnsi="Times New Roman" w:cs="Times New Roman"/>
          <w:sz w:val="24"/>
          <w:szCs w:val="24"/>
        </w:rPr>
        <w:t xml:space="preserve">, što je očekivani podatak, obzirom na postavljene ciljeve projekta HOP. </w:t>
      </w:r>
    </w:p>
    <w:p w14:paraId="1CBCD3B1" w14:textId="77777777" w:rsidR="008F0467" w:rsidRDefault="008F0467" w:rsidP="00450A84">
      <w:pP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B16519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 w:rsidR="00BF5132">
        <w:rPr>
          <w:rFonts w:ascii="Times New Roman" w:hAnsi="Times New Roman" w:cs="Times New Roman"/>
          <w:i/>
          <w:sz w:val="18"/>
          <w:szCs w:val="18"/>
        </w:rPr>
        <w:t>11</w:t>
      </w:r>
      <w:r w:rsidRPr="00B16519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F6594A">
        <w:rPr>
          <w:rFonts w:ascii="Times New Roman" w:hAnsi="Times New Roman" w:cs="Times New Roman"/>
          <w:i/>
          <w:sz w:val="18"/>
          <w:szCs w:val="18"/>
        </w:rPr>
        <w:t>Prikaz</w:t>
      </w:r>
      <w:r w:rsidRPr="00B16519">
        <w:rPr>
          <w:rFonts w:ascii="Times New Roman" w:hAnsi="Times New Roman" w:cs="Times New Roman"/>
          <w:i/>
          <w:sz w:val="18"/>
          <w:szCs w:val="18"/>
        </w:rPr>
        <w:t xml:space="preserve"> novih dobitnika oznake HOP prema pravnoj osobnosti u razdoblju od 2007.</w:t>
      </w:r>
      <w:r w:rsidR="00F6594A">
        <w:rPr>
          <w:rFonts w:ascii="Times New Roman" w:hAnsi="Times New Roman" w:cs="Times New Roman"/>
          <w:i/>
          <w:sz w:val="18"/>
          <w:szCs w:val="18"/>
        </w:rPr>
        <w:t>-</w:t>
      </w:r>
      <w:r w:rsidRPr="00B16519">
        <w:rPr>
          <w:rFonts w:ascii="Times New Roman" w:hAnsi="Times New Roman" w:cs="Times New Roman"/>
          <w:i/>
          <w:sz w:val="18"/>
          <w:szCs w:val="18"/>
        </w:rPr>
        <w:t>2018. godine</w:t>
      </w:r>
    </w:p>
    <w:p w14:paraId="1311F3A9" w14:textId="77777777" w:rsidR="008F0467" w:rsidRDefault="001A0305" w:rsidP="008F046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6FBCA818" wp14:editId="33898653">
            <wp:extent cx="4235501" cy="2136038"/>
            <wp:effectExtent l="0" t="0" r="12700" b="1714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B09A50-C801-4B13-B58F-395FC67F68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2BD6360" w14:textId="77777777" w:rsidR="008F0467" w:rsidRPr="00B16519" w:rsidRDefault="008F0467" w:rsidP="008F0467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16519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bookmarkEnd w:id="5"/>
    <w:p w14:paraId="269A3092" w14:textId="77777777" w:rsidR="00EB3F03" w:rsidRDefault="00EB3F03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Analiza ukupnog broja novih dobitnika, prema pravnoj osobnosti, pokazuje kako omjer zastupljenosti između fizičkih i pravnih osoba ide u prilog fizičkim osobama (OPG, obrt, domaća radinost,), na koje se odnosi 70% otočnih proizvođača . Zaključno, kvantitativni podaci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 provedbi Projekta HOP su zadovoljavajući te je </w:t>
      </w:r>
      <w:r w:rsidR="00A11488">
        <w:rPr>
          <w:rFonts w:ascii="Times New Roman" w:hAnsi="Times New Roman" w:cs="Times New Roman"/>
          <w:sz w:val="24"/>
          <w:szCs w:val="24"/>
        </w:rPr>
        <w:t>razvidan</w:t>
      </w:r>
      <w:r>
        <w:rPr>
          <w:rFonts w:ascii="Times New Roman" w:hAnsi="Times New Roman" w:cs="Times New Roman"/>
          <w:sz w:val="24"/>
          <w:szCs w:val="24"/>
        </w:rPr>
        <w:t xml:space="preserve"> interes otočnih </w:t>
      </w:r>
      <w:r w:rsidR="00E14BBB">
        <w:rPr>
          <w:rFonts w:ascii="Times New Roman" w:hAnsi="Times New Roman" w:cs="Times New Roman"/>
          <w:sz w:val="24"/>
          <w:szCs w:val="24"/>
        </w:rPr>
        <w:t>subjekata</w:t>
      </w:r>
      <w:r>
        <w:rPr>
          <w:rFonts w:ascii="Times New Roman" w:hAnsi="Times New Roman" w:cs="Times New Roman"/>
          <w:sz w:val="24"/>
          <w:szCs w:val="24"/>
        </w:rPr>
        <w:t xml:space="preserve"> za aktivnost vizualnog označavanja proizvoda oznakom HOP.</w:t>
      </w:r>
    </w:p>
    <w:p w14:paraId="04460A97" w14:textId="77777777" w:rsidR="00F65FC9" w:rsidRPr="000F0AEE" w:rsidRDefault="00F65FC9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 w:rsidRPr="00392364">
        <w:rPr>
          <w:rFonts w:ascii="Times New Roman" w:hAnsi="Times New Roman" w:cs="Times New Roman"/>
          <w:sz w:val="24"/>
          <w:szCs w:val="24"/>
        </w:rPr>
        <w:t>Projekt HOP je</w:t>
      </w:r>
      <w:r>
        <w:rPr>
          <w:rFonts w:ascii="Times New Roman" w:hAnsi="Times New Roman" w:cs="Times New Roman"/>
          <w:sz w:val="24"/>
          <w:szCs w:val="24"/>
        </w:rPr>
        <w:t>, s obzirom na svoj sadržaj, ciljeve i kvantitativne rezultate, potencijalno medijski zanimljiv i privlačan za širu publiku. Međutim, analiza medijskih objava</w:t>
      </w:r>
      <w:r w:rsidRPr="008647E4"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 ukazala je na zastupljenost informacija/objava o Projektu HOP u najvećem dijelu u slučaju izvještavanja povodom održavanja manifestacije/sajma HOP-a u Zagrebu pred Uskrs /Božić ili na drugoj lokaciji, a u manjoj mjeri su medijski zastupljeni direktno sami korisnici prava označavanja-otočni </w:t>
      </w:r>
      <w:r w:rsidR="00E14BBB">
        <w:rPr>
          <w:rFonts w:ascii="Times New Roman" w:hAnsi="Times New Roman" w:cs="Times New Roman"/>
          <w:sz w:val="24"/>
          <w:szCs w:val="24"/>
        </w:rPr>
        <w:t>subjekti</w:t>
      </w:r>
      <w:r>
        <w:rPr>
          <w:rFonts w:ascii="Times New Roman" w:hAnsi="Times New Roman" w:cs="Times New Roman"/>
          <w:sz w:val="24"/>
          <w:szCs w:val="24"/>
        </w:rPr>
        <w:t xml:space="preserve">, otočni proizvodi ili druge informacije o Projektu HOP (svečanost dodjele oznake, popratni događaji uz svečanost dodjele, opće informacije o Projektu HOP). S jedne strane, razvidno je kako su manifestacije/sajmovi medijski zanimljivi i poželjno je nastaviti s podupiranjem organizacije takvih događanja, ali je potrebno više iskoristiti medijski potencijal te povećati vidljivost i prepoznatljivost oznake HOP otočnih </w:t>
      </w:r>
      <w:r w:rsidR="00C839A5">
        <w:rPr>
          <w:rFonts w:ascii="Times New Roman" w:hAnsi="Times New Roman" w:cs="Times New Roman"/>
          <w:sz w:val="24"/>
          <w:szCs w:val="24"/>
        </w:rPr>
        <w:t xml:space="preserve">subjekata </w:t>
      </w:r>
      <w:r>
        <w:rPr>
          <w:rFonts w:ascii="Times New Roman" w:hAnsi="Times New Roman" w:cs="Times New Roman"/>
          <w:sz w:val="24"/>
          <w:szCs w:val="24"/>
        </w:rPr>
        <w:t xml:space="preserve">i njihovih proizvoda/proizvodnih linija. </w:t>
      </w:r>
    </w:p>
    <w:p w14:paraId="0E10E327" w14:textId="77777777" w:rsidR="009868CE" w:rsidRDefault="009868CE" w:rsidP="00D2138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E70DA9" w14:textId="77777777" w:rsidR="00895B08" w:rsidRPr="00141AB5" w:rsidRDefault="00895B08" w:rsidP="003C616C">
      <w:pPr>
        <w:pStyle w:val="Heading2"/>
      </w:pPr>
      <w:r w:rsidRPr="00141AB5">
        <w:t xml:space="preserve">Pregled uloženih sredstava Ministarstva </w:t>
      </w:r>
    </w:p>
    <w:p w14:paraId="1303D29B" w14:textId="77777777" w:rsidR="00114008" w:rsidRPr="00141AB5" w:rsidRDefault="0048249F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E24B1" w:rsidRPr="00141AB5">
        <w:rPr>
          <w:rFonts w:ascii="Times New Roman" w:hAnsi="Times New Roman" w:cs="Times New Roman"/>
          <w:sz w:val="24"/>
          <w:szCs w:val="24"/>
        </w:rPr>
        <w:t xml:space="preserve"> početk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AE24B1" w:rsidRPr="00141AB5">
        <w:rPr>
          <w:rFonts w:ascii="Times New Roman" w:hAnsi="Times New Roman" w:cs="Times New Roman"/>
          <w:sz w:val="24"/>
          <w:szCs w:val="24"/>
        </w:rPr>
        <w:t xml:space="preserve"> provedbe Projekta HOP, Ministarstvo je započelo i s osiguravanjem sredstava za </w:t>
      </w:r>
      <w:r w:rsidR="005C3045">
        <w:rPr>
          <w:rFonts w:ascii="Times New Roman" w:hAnsi="Times New Roman" w:cs="Times New Roman"/>
          <w:sz w:val="24"/>
          <w:szCs w:val="24"/>
        </w:rPr>
        <w:t xml:space="preserve">njegovu </w:t>
      </w:r>
      <w:r w:rsidR="008242E4">
        <w:rPr>
          <w:rFonts w:ascii="Times New Roman" w:hAnsi="Times New Roman" w:cs="Times New Roman"/>
          <w:sz w:val="24"/>
          <w:szCs w:val="24"/>
        </w:rPr>
        <w:t>provedbu te je od 2008. do 2018.</w:t>
      </w:r>
      <w:r w:rsidR="00E03D2A">
        <w:rPr>
          <w:rFonts w:ascii="Times New Roman" w:hAnsi="Times New Roman" w:cs="Times New Roman"/>
          <w:sz w:val="24"/>
          <w:szCs w:val="24"/>
        </w:rPr>
        <w:t xml:space="preserve"> godine ukupno uloženo 2.891.039</w:t>
      </w:r>
      <w:r w:rsidR="008242E4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14B33F5B" w14:textId="77777777" w:rsidR="00114008" w:rsidRPr="00141AB5" w:rsidRDefault="00114008" w:rsidP="00450A84">
      <w:pPr>
        <w:spacing w:before="2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41AB5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 w:rsidR="00141AB5">
        <w:rPr>
          <w:rFonts w:ascii="Times New Roman" w:hAnsi="Times New Roman" w:cs="Times New Roman"/>
          <w:i/>
          <w:sz w:val="18"/>
          <w:szCs w:val="18"/>
        </w:rPr>
        <w:t>12.</w:t>
      </w:r>
      <w:r w:rsidRPr="00141AB5">
        <w:rPr>
          <w:rFonts w:ascii="Times New Roman" w:hAnsi="Times New Roman" w:cs="Times New Roman"/>
          <w:i/>
          <w:sz w:val="18"/>
          <w:szCs w:val="18"/>
        </w:rPr>
        <w:t xml:space="preserve"> Pregled realiziranih sredstava Ministarstva za provedbu Projekta HOP</w:t>
      </w:r>
      <w:r w:rsidR="00482CFE">
        <w:rPr>
          <w:rFonts w:ascii="Times New Roman" w:hAnsi="Times New Roman" w:cs="Times New Roman"/>
          <w:i/>
          <w:sz w:val="18"/>
          <w:szCs w:val="18"/>
        </w:rPr>
        <w:t xml:space="preserve"> u razdoblju</w:t>
      </w:r>
      <w:r w:rsidRPr="00141AB5">
        <w:rPr>
          <w:rFonts w:ascii="Times New Roman" w:hAnsi="Times New Roman" w:cs="Times New Roman"/>
          <w:i/>
          <w:sz w:val="18"/>
          <w:szCs w:val="18"/>
        </w:rPr>
        <w:t xml:space="preserve"> 200</w:t>
      </w:r>
      <w:r w:rsidR="00AB0481">
        <w:rPr>
          <w:rFonts w:ascii="Times New Roman" w:hAnsi="Times New Roman" w:cs="Times New Roman"/>
          <w:i/>
          <w:sz w:val="18"/>
          <w:szCs w:val="18"/>
        </w:rPr>
        <w:t>8</w:t>
      </w:r>
      <w:r w:rsidRPr="00141AB5">
        <w:rPr>
          <w:rFonts w:ascii="Times New Roman" w:hAnsi="Times New Roman" w:cs="Times New Roman"/>
          <w:i/>
          <w:sz w:val="18"/>
          <w:szCs w:val="18"/>
        </w:rPr>
        <w:t>.</w:t>
      </w:r>
      <w:r w:rsidR="00482CFE">
        <w:rPr>
          <w:rFonts w:ascii="Times New Roman" w:hAnsi="Times New Roman" w:cs="Times New Roman"/>
          <w:i/>
          <w:sz w:val="18"/>
          <w:szCs w:val="18"/>
        </w:rPr>
        <w:t>-</w:t>
      </w:r>
      <w:r w:rsidRPr="00141AB5">
        <w:rPr>
          <w:rFonts w:ascii="Times New Roman" w:hAnsi="Times New Roman" w:cs="Times New Roman"/>
          <w:i/>
          <w:sz w:val="18"/>
          <w:szCs w:val="18"/>
        </w:rPr>
        <w:t>2018.</w:t>
      </w:r>
    </w:p>
    <w:p w14:paraId="3B923EA1" w14:textId="77777777" w:rsidR="009C33E2" w:rsidRDefault="00E63F49" w:rsidP="008B2B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DF2DD51" wp14:editId="29214AFD">
            <wp:extent cx="4173703" cy="2103681"/>
            <wp:effectExtent l="0" t="0" r="0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A7CDC1-D8E2-4571-B8E9-177407CA8B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47985A5" w14:textId="77777777" w:rsidR="00921690" w:rsidRPr="00B16519" w:rsidRDefault="00921690" w:rsidP="0092169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16519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7508FF01" w14:textId="77777777" w:rsidR="00484C24" w:rsidRDefault="00921690" w:rsidP="008647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84C24">
        <w:rPr>
          <w:rFonts w:ascii="Times New Roman" w:hAnsi="Times New Roman" w:cs="Times New Roman"/>
          <w:sz w:val="24"/>
          <w:szCs w:val="24"/>
        </w:rPr>
        <w:t xml:space="preserve"> </w:t>
      </w:r>
      <w:r w:rsidR="00484C24" w:rsidRPr="003B4719">
        <w:rPr>
          <w:rFonts w:ascii="Times New Roman" w:hAnsi="Times New Roman" w:cs="Times New Roman"/>
          <w:sz w:val="24"/>
          <w:szCs w:val="24"/>
        </w:rPr>
        <w:t>svrhu promocije otočnih proizvoda i njihov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boljeg plasmana na tržištu, </w:t>
      </w:r>
      <w:r w:rsidR="00484C24">
        <w:rPr>
          <w:rFonts w:ascii="Times New Roman" w:hAnsi="Times New Roman" w:cs="Times New Roman"/>
          <w:sz w:val="24"/>
          <w:szCs w:val="24"/>
        </w:rPr>
        <w:t>M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inistarstvo </w:t>
      </w:r>
      <w:r w:rsidR="00484C24">
        <w:rPr>
          <w:rFonts w:ascii="Times New Roman" w:hAnsi="Times New Roman" w:cs="Times New Roman"/>
          <w:sz w:val="24"/>
          <w:szCs w:val="24"/>
        </w:rPr>
        <w:t>od 2013. godine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objavljuje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Javni poziv za kandidiranje manifestacija koje u sklopu svog programa prezentiraju proizvode </w:t>
      </w:r>
      <w:r w:rsidR="00484C24">
        <w:rPr>
          <w:rFonts w:ascii="Times New Roman" w:hAnsi="Times New Roman" w:cs="Times New Roman"/>
          <w:sz w:val="24"/>
          <w:szCs w:val="24"/>
        </w:rPr>
        <w:t xml:space="preserve">za koje je </w:t>
      </w:r>
      <w:r w:rsidR="00484C24" w:rsidRPr="003B4719">
        <w:rPr>
          <w:rFonts w:ascii="Times New Roman" w:hAnsi="Times New Roman" w:cs="Times New Roman"/>
          <w:sz w:val="24"/>
          <w:szCs w:val="24"/>
        </w:rPr>
        <w:t>dodijeljen</w:t>
      </w:r>
      <w:r w:rsidR="00484C24">
        <w:rPr>
          <w:rFonts w:ascii="Times New Roman" w:hAnsi="Times New Roman" w:cs="Times New Roman"/>
          <w:sz w:val="24"/>
          <w:szCs w:val="24"/>
        </w:rPr>
        <w:t>o pravo označavanja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oznak</w:t>
      </w:r>
      <w:r w:rsidR="00484C24">
        <w:rPr>
          <w:rFonts w:ascii="Times New Roman" w:hAnsi="Times New Roman" w:cs="Times New Roman"/>
          <w:sz w:val="24"/>
          <w:szCs w:val="24"/>
        </w:rPr>
        <w:t>om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</w:t>
      </w:r>
      <w:r w:rsidR="00484C24">
        <w:rPr>
          <w:rFonts w:ascii="Times New Roman" w:hAnsi="Times New Roman" w:cs="Times New Roman"/>
          <w:sz w:val="24"/>
          <w:szCs w:val="24"/>
        </w:rPr>
        <w:t xml:space="preserve">HOP. 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Za korištenje bespovratnih novčanih sredstava </w:t>
      </w:r>
      <w:r w:rsidR="00484C24">
        <w:rPr>
          <w:rFonts w:ascii="Times New Roman" w:hAnsi="Times New Roman" w:cs="Times New Roman"/>
          <w:sz w:val="24"/>
          <w:szCs w:val="24"/>
        </w:rPr>
        <w:t xml:space="preserve">dana je mogućnost </w:t>
      </w:r>
      <w:r w:rsidR="00597F7D">
        <w:rPr>
          <w:rFonts w:ascii="Times New Roman" w:hAnsi="Times New Roman" w:cs="Times New Roman"/>
          <w:sz w:val="24"/>
          <w:szCs w:val="24"/>
        </w:rPr>
        <w:t>prijave putem javnog poziva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fizičk</w:t>
      </w:r>
      <w:r w:rsidR="00484C24">
        <w:rPr>
          <w:rFonts w:ascii="Times New Roman" w:hAnsi="Times New Roman" w:cs="Times New Roman"/>
          <w:sz w:val="24"/>
          <w:szCs w:val="24"/>
        </w:rPr>
        <w:t>im osobama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(obrt, obiteljsko poljoprivredno gospodarstvo) ili pravn</w:t>
      </w:r>
      <w:r w:rsidR="00484C24">
        <w:rPr>
          <w:rFonts w:ascii="Times New Roman" w:hAnsi="Times New Roman" w:cs="Times New Roman"/>
          <w:sz w:val="24"/>
          <w:szCs w:val="24"/>
        </w:rPr>
        <w:t xml:space="preserve">im </w:t>
      </w:r>
      <w:r w:rsidR="00484C24" w:rsidRPr="003B4719">
        <w:rPr>
          <w:rFonts w:ascii="Times New Roman" w:hAnsi="Times New Roman" w:cs="Times New Roman"/>
          <w:sz w:val="24"/>
          <w:szCs w:val="24"/>
        </w:rPr>
        <w:t>osoba</w:t>
      </w:r>
      <w:r w:rsidR="00484C24">
        <w:rPr>
          <w:rFonts w:ascii="Times New Roman" w:hAnsi="Times New Roman" w:cs="Times New Roman"/>
          <w:sz w:val="24"/>
          <w:szCs w:val="24"/>
        </w:rPr>
        <w:t>ma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(trgovačko društvo, zadruga, udruga, ustanova, jedinica lokalne i područne (regionalne) samouprave i dr.) koj</w:t>
      </w:r>
      <w:r w:rsidR="00484C24">
        <w:rPr>
          <w:rFonts w:ascii="Times New Roman" w:hAnsi="Times New Roman" w:cs="Times New Roman"/>
          <w:sz w:val="24"/>
          <w:szCs w:val="24"/>
        </w:rPr>
        <w:t>e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</w:t>
      </w:r>
      <w:r w:rsidR="00484C24">
        <w:rPr>
          <w:rFonts w:ascii="Times New Roman" w:hAnsi="Times New Roman" w:cs="Times New Roman"/>
          <w:sz w:val="24"/>
          <w:szCs w:val="24"/>
        </w:rPr>
        <w:t xml:space="preserve">su </w:t>
      </w:r>
      <w:r w:rsidR="00484C24" w:rsidRPr="003B4719">
        <w:rPr>
          <w:rFonts w:ascii="Times New Roman" w:hAnsi="Times New Roman" w:cs="Times New Roman"/>
          <w:sz w:val="24"/>
          <w:szCs w:val="24"/>
        </w:rPr>
        <w:t>organizator</w:t>
      </w:r>
      <w:r w:rsidR="00484C24">
        <w:rPr>
          <w:rFonts w:ascii="Times New Roman" w:hAnsi="Times New Roman" w:cs="Times New Roman"/>
          <w:sz w:val="24"/>
          <w:szCs w:val="24"/>
        </w:rPr>
        <w:t>i takvih</w:t>
      </w:r>
      <w:r w:rsidR="00484C24" w:rsidRPr="003B4719">
        <w:rPr>
          <w:rFonts w:ascii="Times New Roman" w:hAnsi="Times New Roman" w:cs="Times New Roman"/>
          <w:sz w:val="24"/>
          <w:szCs w:val="24"/>
        </w:rPr>
        <w:t xml:space="preserve"> manifestacij</w:t>
      </w:r>
      <w:r w:rsidR="00484C24">
        <w:rPr>
          <w:rFonts w:ascii="Times New Roman" w:hAnsi="Times New Roman" w:cs="Times New Roman"/>
          <w:sz w:val="24"/>
          <w:szCs w:val="24"/>
        </w:rPr>
        <w:t>a.</w:t>
      </w:r>
    </w:p>
    <w:p w14:paraId="752BB123" w14:textId="77777777" w:rsidR="00484C24" w:rsidRDefault="00484C24" w:rsidP="005C3045">
      <w:pP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AE24B1">
        <w:rPr>
          <w:rFonts w:ascii="Times New Roman" w:hAnsi="Times New Roman" w:cs="Times New Roman"/>
          <w:i/>
          <w:sz w:val="18"/>
          <w:szCs w:val="18"/>
        </w:rPr>
        <w:t>Grafikon 1</w:t>
      </w:r>
      <w:r w:rsidR="00921690">
        <w:rPr>
          <w:rFonts w:ascii="Times New Roman" w:hAnsi="Times New Roman" w:cs="Times New Roman"/>
          <w:i/>
          <w:sz w:val="18"/>
          <w:szCs w:val="18"/>
        </w:rPr>
        <w:t>3</w:t>
      </w:r>
      <w:r w:rsidRPr="00AE24B1">
        <w:rPr>
          <w:rFonts w:ascii="Times New Roman" w:hAnsi="Times New Roman" w:cs="Times New Roman"/>
          <w:i/>
          <w:sz w:val="18"/>
          <w:szCs w:val="18"/>
        </w:rPr>
        <w:t xml:space="preserve">. </w:t>
      </w:r>
      <w:r>
        <w:rPr>
          <w:rFonts w:ascii="Times New Roman" w:hAnsi="Times New Roman" w:cs="Times New Roman"/>
          <w:i/>
          <w:sz w:val="18"/>
          <w:szCs w:val="18"/>
        </w:rPr>
        <w:t>B</w:t>
      </w:r>
      <w:r w:rsidRPr="00AE24B1">
        <w:rPr>
          <w:rFonts w:ascii="Times New Roman" w:hAnsi="Times New Roman" w:cs="Times New Roman"/>
          <w:i/>
          <w:sz w:val="18"/>
          <w:szCs w:val="18"/>
        </w:rPr>
        <w:t xml:space="preserve">roj </w:t>
      </w:r>
      <w:r>
        <w:rPr>
          <w:rFonts w:ascii="Times New Roman" w:hAnsi="Times New Roman" w:cs="Times New Roman"/>
          <w:i/>
          <w:sz w:val="18"/>
          <w:szCs w:val="18"/>
        </w:rPr>
        <w:t>sufinanciranih</w:t>
      </w:r>
      <w:r w:rsidRPr="00AE24B1">
        <w:rPr>
          <w:rFonts w:ascii="Times New Roman" w:hAnsi="Times New Roman" w:cs="Times New Roman"/>
          <w:i/>
          <w:sz w:val="18"/>
          <w:szCs w:val="18"/>
        </w:rPr>
        <w:t xml:space="preserve"> manifestacija putem javnog poziva u razdoblju 2013.</w:t>
      </w:r>
      <w:r w:rsidR="00921690">
        <w:rPr>
          <w:rFonts w:ascii="Times New Roman" w:hAnsi="Times New Roman" w:cs="Times New Roman"/>
          <w:i/>
          <w:sz w:val="18"/>
          <w:szCs w:val="18"/>
        </w:rPr>
        <w:t>-</w:t>
      </w:r>
      <w:r w:rsidRPr="00AE24B1">
        <w:rPr>
          <w:rFonts w:ascii="Times New Roman" w:hAnsi="Times New Roman" w:cs="Times New Roman"/>
          <w:i/>
          <w:sz w:val="18"/>
          <w:szCs w:val="18"/>
        </w:rPr>
        <w:t>2018. godine</w:t>
      </w:r>
    </w:p>
    <w:p w14:paraId="28377B96" w14:textId="77777777" w:rsidR="00484C24" w:rsidRDefault="00484C24" w:rsidP="00484C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7D468839" wp14:editId="15E4FB61">
            <wp:extent cx="3613709" cy="1660550"/>
            <wp:effectExtent l="0" t="0" r="6350" b="1587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E46690-163D-4054-967D-67B82B32F3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38CE44F" w14:textId="77777777" w:rsidR="00484C24" w:rsidRPr="00C110C0" w:rsidRDefault="00484C24" w:rsidP="00484C2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110C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7F1F9B17" w14:textId="77777777" w:rsidR="00484C24" w:rsidRDefault="00CF1F97" w:rsidP="00482CFE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navedenom razdoblju sufinancirano je ukupno 58 manifestacija, a najveći broj je održan na području Splitsko-dalmatinske županije (18) te Zadarske županije (16) i Grada Zagreba (16)</w:t>
      </w:r>
      <w:r w:rsidR="00484C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DACE0" w14:textId="77777777" w:rsidR="00484C24" w:rsidRPr="00C110C0" w:rsidRDefault="00484C24" w:rsidP="00CF1F97">
      <w:pPr>
        <w:spacing w:before="240"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E24B1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 w:rsidR="00CF1F97">
        <w:rPr>
          <w:rFonts w:ascii="Times New Roman" w:hAnsi="Times New Roman" w:cs="Times New Roman"/>
          <w:i/>
          <w:sz w:val="18"/>
          <w:szCs w:val="18"/>
        </w:rPr>
        <w:t>1</w:t>
      </w:r>
      <w:r w:rsidR="003B1F1D">
        <w:rPr>
          <w:rFonts w:ascii="Times New Roman" w:hAnsi="Times New Roman" w:cs="Times New Roman"/>
          <w:i/>
          <w:sz w:val="18"/>
          <w:szCs w:val="18"/>
        </w:rPr>
        <w:t>4</w:t>
      </w:r>
      <w:r w:rsidRPr="00AE24B1">
        <w:rPr>
          <w:rFonts w:ascii="Times New Roman" w:hAnsi="Times New Roman" w:cs="Times New Roman"/>
          <w:i/>
          <w:sz w:val="18"/>
          <w:szCs w:val="18"/>
        </w:rPr>
        <w:t xml:space="preserve">. Broj manifestacija </w:t>
      </w:r>
      <w:r>
        <w:rPr>
          <w:rFonts w:ascii="Times New Roman" w:hAnsi="Times New Roman" w:cs="Times New Roman"/>
          <w:i/>
          <w:sz w:val="18"/>
          <w:szCs w:val="18"/>
        </w:rPr>
        <w:t xml:space="preserve">sufinanciranih putem </w:t>
      </w:r>
      <w:r w:rsidRPr="00AE24B1">
        <w:rPr>
          <w:rFonts w:ascii="Times New Roman" w:hAnsi="Times New Roman" w:cs="Times New Roman"/>
          <w:i/>
          <w:sz w:val="18"/>
          <w:szCs w:val="18"/>
        </w:rPr>
        <w:t>javnog poziva po lokacijama održavanja u razdoblju</w:t>
      </w:r>
      <w:r w:rsidR="00482C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24B1">
        <w:rPr>
          <w:rFonts w:ascii="Times New Roman" w:hAnsi="Times New Roman" w:cs="Times New Roman"/>
          <w:i/>
          <w:sz w:val="18"/>
          <w:szCs w:val="18"/>
        </w:rPr>
        <w:t>2013.</w:t>
      </w:r>
      <w:r w:rsidR="00482CFE">
        <w:rPr>
          <w:rFonts w:ascii="Times New Roman" w:hAnsi="Times New Roman" w:cs="Times New Roman"/>
          <w:i/>
          <w:sz w:val="18"/>
          <w:szCs w:val="18"/>
        </w:rPr>
        <w:t>-</w:t>
      </w:r>
      <w:r w:rsidRPr="00AE24B1">
        <w:rPr>
          <w:rFonts w:ascii="Times New Roman" w:hAnsi="Times New Roman" w:cs="Times New Roman"/>
          <w:i/>
          <w:sz w:val="18"/>
          <w:szCs w:val="18"/>
        </w:rPr>
        <w:t>2018. godine</w:t>
      </w:r>
    </w:p>
    <w:p w14:paraId="282E0064" w14:textId="77777777" w:rsidR="00484C24" w:rsidRDefault="00484C24" w:rsidP="00484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C8C77B5" wp14:editId="03D90877">
            <wp:extent cx="3774643" cy="1733702"/>
            <wp:effectExtent l="0" t="0" r="1651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8A7A32-E99E-421B-B501-D91D204D5E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7D1CF47" w14:textId="77777777" w:rsidR="00484C24" w:rsidRPr="00C110C0" w:rsidRDefault="00484C24" w:rsidP="00484C24">
      <w:pPr>
        <w:rPr>
          <w:rFonts w:ascii="Times New Roman" w:hAnsi="Times New Roman" w:cs="Times New Roman"/>
          <w:i/>
          <w:sz w:val="18"/>
          <w:szCs w:val="18"/>
        </w:rPr>
      </w:pPr>
      <w:r w:rsidRPr="00C110C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17098D32" w14:textId="77777777" w:rsidR="003E6BC7" w:rsidRPr="00D2370B" w:rsidRDefault="003E6BC7" w:rsidP="003E6B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Prikaz godišnjeg kretanja sredstava dodijeljenih za sufinanciranje manifestacija korelira s godišnjim kretanjem ukupno izdvojenih sredstava za Projekt HOP, odnosno od 2016. godine evidentno se osigurava i realizira više sredstava. Za ukupno 58 održanih manifestacija u razdoblju 2013.-2018. godine dodijeljeno je ukupno 595.747 kuna. </w:t>
      </w:r>
    </w:p>
    <w:p w14:paraId="647A65B1" w14:textId="77777777" w:rsidR="00484C24" w:rsidRPr="00C110C0" w:rsidRDefault="00484C24" w:rsidP="003E6BC7">
      <w:pPr>
        <w:spacing w:before="240"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110C0">
        <w:rPr>
          <w:rFonts w:ascii="Times New Roman" w:hAnsi="Times New Roman" w:cs="Times New Roman"/>
          <w:i/>
          <w:sz w:val="18"/>
          <w:szCs w:val="18"/>
        </w:rPr>
        <w:t xml:space="preserve">Grafikon </w:t>
      </w:r>
      <w:r w:rsidR="003B1F1D">
        <w:rPr>
          <w:rFonts w:ascii="Times New Roman" w:hAnsi="Times New Roman" w:cs="Times New Roman"/>
          <w:i/>
          <w:sz w:val="18"/>
          <w:szCs w:val="18"/>
        </w:rPr>
        <w:t>1</w:t>
      </w:r>
      <w:r w:rsidR="00276A40">
        <w:rPr>
          <w:rFonts w:ascii="Times New Roman" w:hAnsi="Times New Roman" w:cs="Times New Roman"/>
          <w:i/>
          <w:sz w:val="18"/>
          <w:szCs w:val="18"/>
        </w:rPr>
        <w:t>5</w:t>
      </w:r>
      <w:r w:rsidRPr="00C110C0">
        <w:rPr>
          <w:rFonts w:ascii="Times New Roman" w:hAnsi="Times New Roman" w:cs="Times New Roman"/>
          <w:i/>
          <w:sz w:val="18"/>
          <w:szCs w:val="18"/>
        </w:rPr>
        <w:t xml:space="preserve">. Godišnje kretanje sredstava dodijeljenih za potrebe </w:t>
      </w:r>
      <w:r>
        <w:rPr>
          <w:rFonts w:ascii="Times New Roman" w:hAnsi="Times New Roman" w:cs="Times New Roman"/>
          <w:i/>
          <w:sz w:val="18"/>
          <w:szCs w:val="18"/>
        </w:rPr>
        <w:t>provedbe javnih poziva za manifestacije</w:t>
      </w:r>
    </w:p>
    <w:p w14:paraId="469C2FC9" w14:textId="77777777" w:rsidR="00484C24" w:rsidRDefault="00484C24" w:rsidP="00484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8266910" wp14:editId="34996E9E">
            <wp:extent cx="3774643" cy="1931212"/>
            <wp:effectExtent l="0" t="0" r="16510" b="12065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FB55B8-A81F-4B63-B774-2DFDFA9CB0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0E20EDA" w14:textId="77777777" w:rsidR="00484C24" w:rsidRPr="00C110C0" w:rsidRDefault="00484C24" w:rsidP="00484C2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110C0">
        <w:rPr>
          <w:rFonts w:ascii="Times New Roman" w:hAnsi="Times New Roman" w:cs="Times New Roman"/>
          <w:i/>
          <w:sz w:val="18"/>
          <w:szCs w:val="18"/>
        </w:rPr>
        <w:t xml:space="preserve">Izvor: </w:t>
      </w:r>
      <w:r w:rsidR="00944CF0">
        <w:rPr>
          <w:rFonts w:ascii="Times New Roman" w:hAnsi="Times New Roman" w:cs="Times New Roman"/>
          <w:i/>
          <w:sz w:val="18"/>
          <w:szCs w:val="18"/>
        </w:rPr>
        <w:t>Ministarstvo regionalnoga razvoja i fondova Europske unije, 2018.</w:t>
      </w:r>
    </w:p>
    <w:p w14:paraId="2B60C36C" w14:textId="77777777" w:rsidR="00561480" w:rsidRPr="003C616C" w:rsidRDefault="000B7B64" w:rsidP="003C616C">
      <w:pPr>
        <w:pStyle w:val="Heading3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</w:rPr>
        <w:lastRenderedPageBreak/>
        <w:t xml:space="preserve">Primjena Pravilnika </w:t>
      </w:r>
      <w:r w:rsidRPr="003C616C">
        <w:rPr>
          <w:rFonts w:ascii="Times New Roman" w:hAnsi="Times New Roman" w:cs="Times New Roman"/>
          <w:shd w:val="clear" w:color="auto" w:fill="FFFFFF"/>
        </w:rPr>
        <w:t>o uvjetima, kriterijima i načinu označavanja proizvoda oznakom „Hrvatski otočni proizvod“</w:t>
      </w:r>
    </w:p>
    <w:p w14:paraId="3A35D463" w14:textId="77777777" w:rsidR="008F2004" w:rsidRDefault="00B77C6F" w:rsidP="008538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Analizom </w:t>
      </w:r>
      <w:r w:rsidR="00BE06C9">
        <w:rPr>
          <w:rFonts w:ascii="Times New Roman" w:hAnsi="Times New Roman" w:cs="Times New Roman"/>
          <w:sz w:val="24"/>
          <w:szCs w:val="24"/>
        </w:rPr>
        <w:t xml:space="preserve">dugogodišnje primjene i provedbe Pravilnika </w:t>
      </w:r>
      <w:r w:rsidR="00BE06C9" w:rsidRPr="00B2709A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o uvjetima, kriterijima i načinu označavanja proizvoda oznakom „Hrvatski otočni proizvod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“ te uzimajući u obzir </w:t>
      </w:r>
      <w:r w:rsidR="00FA75E5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značajno </w:t>
      </w:r>
      <w:r w:rsidR="00BE06C9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povećanje broja </w:t>
      </w:r>
      <w:r w:rsidR="00F27D25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korisnika prava označavanja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</w:t>
      </w:r>
      <w:r w:rsidR="0085387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te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raznovrsnost </w:t>
      </w:r>
      <w:r w:rsidR="0085387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i broj 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otočnih proizvoda</w:t>
      </w:r>
      <w:r w:rsidR="00D15D3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,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</w:t>
      </w:r>
      <w:r w:rsidR="00BE06C9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uoč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ene</w:t>
      </w:r>
      <w:r w:rsidR="00BE06C9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su određene manj</w:t>
      </w:r>
      <w:r w:rsidR="009C33E2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kavosti u provedbi </w:t>
      </w:r>
      <w:r w:rsidR="00BE06C9">
        <w:rPr>
          <w:rFonts w:ascii="Times New Roman" w:hAnsi="Times New Roman" w:cs="Times New Roman"/>
          <w:sz w:val="24"/>
          <w:szCs w:val="24"/>
        </w:rPr>
        <w:t xml:space="preserve">administrativnog dijela </w:t>
      </w:r>
      <w:r w:rsidR="009C33E2">
        <w:rPr>
          <w:rFonts w:ascii="Times New Roman" w:hAnsi="Times New Roman" w:cs="Times New Roman"/>
          <w:sz w:val="24"/>
          <w:szCs w:val="24"/>
        </w:rPr>
        <w:t>propisane procedure</w:t>
      </w:r>
      <w:r w:rsidR="00CC0BFE">
        <w:rPr>
          <w:rFonts w:ascii="Times New Roman" w:hAnsi="Times New Roman" w:cs="Times New Roman"/>
          <w:sz w:val="24"/>
          <w:szCs w:val="24"/>
        </w:rPr>
        <w:t xml:space="preserve"> vizualnog označavanja</w:t>
      </w:r>
      <w:r w:rsidR="009C33E2">
        <w:rPr>
          <w:rFonts w:ascii="Times New Roman" w:hAnsi="Times New Roman" w:cs="Times New Roman"/>
          <w:sz w:val="24"/>
          <w:szCs w:val="24"/>
        </w:rPr>
        <w:t xml:space="preserve">, prije svega u smislu pravodobnog i potpunog dostavljanja tražene dokumentacije </w:t>
      </w:r>
      <w:r w:rsidR="00CC0BFE">
        <w:rPr>
          <w:rFonts w:ascii="Times New Roman" w:hAnsi="Times New Roman" w:cs="Times New Roman"/>
          <w:sz w:val="24"/>
          <w:szCs w:val="24"/>
        </w:rPr>
        <w:t xml:space="preserve">od strane </w:t>
      </w:r>
      <w:r w:rsidR="00501F13">
        <w:rPr>
          <w:rFonts w:ascii="Times New Roman" w:hAnsi="Times New Roman" w:cs="Times New Roman"/>
          <w:sz w:val="24"/>
          <w:szCs w:val="24"/>
        </w:rPr>
        <w:t xml:space="preserve">prijavitelja na javne pozive </w:t>
      </w:r>
      <w:r w:rsidR="00853874">
        <w:rPr>
          <w:rFonts w:ascii="Times New Roman" w:hAnsi="Times New Roman" w:cs="Times New Roman"/>
          <w:sz w:val="24"/>
          <w:szCs w:val="24"/>
        </w:rPr>
        <w:t>te</w:t>
      </w:r>
      <w:r w:rsidR="00501F13">
        <w:rPr>
          <w:rFonts w:ascii="Times New Roman" w:hAnsi="Times New Roman" w:cs="Times New Roman"/>
          <w:sz w:val="24"/>
          <w:szCs w:val="24"/>
        </w:rPr>
        <w:t xml:space="preserve"> posljedično otežani rad tehničkih komisija za pojedine grupe proizvoda</w:t>
      </w:r>
      <w:r w:rsidR="00853874">
        <w:rPr>
          <w:rFonts w:ascii="Times New Roman" w:hAnsi="Times New Roman" w:cs="Times New Roman"/>
          <w:sz w:val="24"/>
          <w:szCs w:val="24"/>
        </w:rPr>
        <w:t xml:space="preserve">. Ujedno, nije propisana mogućnost i način obnove ugovora o pravu korištenja oznake HOP te se u praksi događalo da se oznaka HOP koristi za označavanje proizvoda i nakon isteka propisanog i ugovorenog roka od </w:t>
      </w:r>
      <w:r w:rsidR="00EC65BE">
        <w:rPr>
          <w:rFonts w:ascii="Times New Roman" w:hAnsi="Times New Roman" w:cs="Times New Roman"/>
          <w:sz w:val="24"/>
          <w:szCs w:val="24"/>
        </w:rPr>
        <w:t>tri</w:t>
      </w:r>
      <w:r w:rsidR="00853874">
        <w:rPr>
          <w:rFonts w:ascii="Times New Roman" w:hAnsi="Times New Roman" w:cs="Times New Roman"/>
          <w:sz w:val="24"/>
          <w:szCs w:val="24"/>
        </w:rPr>
        <w:t xml:space="preserve"> godine, a navedeno je posljedica i nedovoljno razrađene procedure oduzimanja prava uporabe oznake te nedefiniranog načina nadzora poštivanja odredbi ugovora o korištenju prava označavanja i samog Pravilnika </w:t>
      </w:r>
      <w:r w:rsidR="00853874" w:rsidRPr="00B2709A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o uvjetima, kriterijima i načinu označavanja proizvoda oznakom „Hrvatski otočni proizvod</w:t>
      </w:r>
      <w:r w:rsidR="00853874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“. </w:t>
      </w:r>
      <w:r w:rsidR="00C403BD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Zaključno, pozitivni kvantitativni </w:t>
      </w:r>
      <w:r w:rsidR="004805E1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i financijski </w:t>
      </w:r>
      <w:r w:rsidR="00C403BD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podaci i disperzija Projekta HOP iziskuj</w:t>
      </w:r>
      <w:r w:rsidR="004805E1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>u</w:t>
      </w:r>
      <w:r w:rsidR="00C403BD">
        <w:rPr>
          <w:rFonts w:ascii="Times New Roman" w:hAnsi="Times New Roman" w:cs="Times New Roman"/>
          <w:color w:val="021526"/>
          <w:sz w:val="24"/>
          <w:szCs w:val="24"/>
          <w:shd w:val="clear" w:color="auto" w:fill="FFFFFF"/>
        </w:rPr>
        <w:t xml:space="preserve"> </w:t>
      </w:r>
      <w:r w:rsidR="009C33E2">
        <w:rPr>
          <w:rFonts w:ascii="Times New Roman" w:hAnsi="Times New Roman" w:cs="Times New Roman"/>
          <w:sz w:val="24"/>
          <w:szCs w:val="24"/>
        </w:rPr>
        <w:t>prilagodb</w:t>
      </w:r>
      <w:r w:rsidR="004805E1">
        <w:rPr>
          <w:rFonts w:ascii="Times New Roman" w:hAnsi="Times New Roman" w:cs="Times New Roman"/>
          <w:sz w:val="24"/>
          <w:szCs w:val="24"/>
        </w:rPr>
        <w:t>u</w:t>
      </w:r>
      <w:r w:rsidR="009C33E2">
        <w:rPr>
          <w:rFonts w:ascii="Times New Roman" w:hAnsi="Times New Roman" w:cs="Times New Roman"/>
          <w:sz w:val="24"/>
          <w:szCs w:val="24"/>
        </w:rPr>
        <w:t xml:space="preserve"> </w:t>
      </w:r>
      <w:r w:rsidR="00CC0BFE">
        <w:rPr>
          <w:rFonts w:ascii="Times New Roman" w:hAnsi="Times New Roman" w:cs="Times New Roman"/>
          <w:sz w:val="24"/>
          <w:szCs w:val="24"/>
        </w:rPr>
        <w:t>budućeg</w:t>
      </w:r>
      <w:r w:rsidR="009C33E2">
        <w:rPr>
          <w:rFonts w:ascii="Times New Roman" w:hAnsi="Times New Roman" w:cs="Times New Roman"/>
          <w:sz w:val="24"/>
          <w:szCs w:val="24"/>
        </w:rPr>
        <w:t xml:space="preserve"> podzakonskog akta rezultatima </w:t>
      </w:r>
      <w:r w:rsidR="00CC0BFE">
        <w:rPr>
          <w:rFonts w:ascii="Times New Roman" w:hAnsi="Times New Roman" w:cs="Times New Roman"/>
          <w:sz w:val="24"/>
          <w:szCs w:val="24"/>
        </w:rPr>
        <w:t xml:space="preserve">i analizi </w:t>
      </w:r>
      <w:r w:rsidR="009C33E2">
        <w:rPr>
          <w:rFonts w:ascii="Times New Roman" w:hAnsi="Times New Roman" w:cs="Times New Roman"/>
          <w:sz w:val="24"/>
          <w:szCs w:val="24"/>
        </w:rPr>
        <w:t xml:space="preserve">dosadašnje provedbe </w:t>
      </w:r>
      <w:r w:rsidR="00CC0BFE">
        <w:rPr>
          <w:rFonts w:ascii="Times New Roman" w:hAnsi="Times New Roman" w:cs="Times New Roman"/>
          <w:sz w:val="24"/>
          <w:szCs w:val="24"/>
        </w:rPr>
        <w:t>Projekta</w:t>
      </w:r>
      <w:r w:rsidR="009C33E2">
        <w:rPr>
          <w:rFonts w:ascii="Times New Roman" w:hAnsi="Times New Roman" w:cs="Times New Roman"/>
          <w:sz w:val="24"/>
          <w:szCs w:val="24"/>
        </w:rPr>
        <w:t xml:space="preserve"> HOP</w:t>
      </w:r>
      <w:r w:rsidR="004805E1">
        <w:rPr>
          <w:rFonts w:ascii="Times New Roman" w:hAnsi="Times New Roman" w:cs="Times New Roman"/>
          <w:sz w:val="24"/>
          <w:szCs w:val="24"/>
        </w:rPr>
        <w:t xml:space="preserve">. Potrebno je </w:t>
      </w:r>
      <w:r w:rsidR="00CC0BFE">
        <w:rPr>
          <w:rFonts w:ascii="Times New Roman" w:hAnsi="Times New Roman" w:cs="Times New Roman"/>
          <w:sz w:val="24"/>
          <w:szCs w:val="24"/>
        </w:rPr>
        <w:t>detaljnije</w:t>
      </w:r>
      <w:r w:rsidR="009C33E2">
        <w:rPr>
          <w:rFonts w:ascii="Times New Roman" w:hAnsi="Times New Roman" w:cs="Times New Roman"/>
          <w:sz w:val="24"/>
          <w:szCs w:val="24"/>
        </w:rPr>
        <w:t xml:space="preserve"> defini</w:t>
      </w:r>
      <w:r w:rsidR="00A34E4F">
        <w:rPr>
          <w:rFonts w:ascii="Times New Roman" w:hAnsi="Times New Roman" w:cs="Times New Roman"/>
          <w:sz w:val="24"/>
          <w:szCs w:val="24"/>
        </w:rPr>
        <w:t>rati pojam</w:t>
      </w:r>
      <w:r w:rsidR="009C33E2">
        <w:rPr>
          <w:rFonts w:ascii="Times New Roman" w:hAnsi="Times New Roman" w:cs="Times New Roman"/>
          <w:sz w:val="24"/>
          <w:szCs w:val="24"/>
        </w:rPr>
        <w:t xml:space="preserve"> otočnog proizvoda,</w:t>
      </w:r>
      <w:r w:rsidR="00A946A2">
        <w:rPr>
          <w:rFonts w:ascii="Times New Roman" w:hAnsi="Times New Roman" w:cs="Times New Roman"/>
          <w:sz w:val="24"/>
          <w:szCs w:val="24"/>
        </w:rPr>
        <w:t xml:space="preserve"> otočnog subjekta,</w:t>
      </w:r>
      <w:r w:rsidR="009C33E2">
        <w:rPr>
          <w:rFonts w:ascii="Times New Roman" w:hAnsi="Times New Roman" w:cs="Times New Roman"/>
          <w:sz w:val="24"/>
          <w:szCs w:val="24"/>
        </w:rPr>
        <w:t xml:space="preserve"> razr</w:t>
      </w:r>
      <w:r w:rsidR="00CC0BFE">
        <w:rPr>
          <w:rFonts w:ascii="Times New Roman" w:hAnsi="Times New Roman" w:cs="Times New Roman"/>
          <w:sz w:val="24"/>
          <w:szCs w:val="24"/>
        </w:rPr>
        <w:t>ad</w:t>
      </w:r>
      <w:r w:rsidR="00A34E4F">
        <w:rPr>
          <w:rFonts w:ascii="Times New Roman" w:hAnsi="Times New Roman" w:cs="Times New Roman"/>
          <w:sz w:val="24"/>
          <w:szCs w:val="24"/>
        </w:rPr>
        <w:t>iti</w:t>
      </w:r>
      <w:r w:rsidR="00E92BFB">
        <w:rPr>
          <w:rFonts w:ascii="Times New Roman" w:hAnsi="Times New Roman" w:cs="Times New Roman"/>
          <w:sz w:val="24"/>
          <w:szCs w:val="24"/>
        </w:rPr>
        <w:t xml:space="preserve"> </w:t>
      </w:r>
      <w:r w:rsidR="00CC0BFE">
        <w:rPr>
          <w:rFonts w:ascii="Times New Roman" w:hAnsi="Times New Roman" w:cs="Times New Roman"/>
          <w:sz w:val="24"/>
          <w:szCs w:val="24"/>
        </w:rPr>
        <w:t xml:space="preserve">i </w:t>
      </w:r>
      <w:r w:rsidR="00E92BFB">
        <w:rPr>
          <w:rFonts w:ascii="Times New Roman" w:hAnsi="Times New Roman" w:cs="Times New Roman"/>
          <w:sz w:val="24"/>
          <w:szCs w:val="24"/>
        </w:rPr>
        <w:t>izrad</w:t>
      </w:r>
      <w:r w:rsidR="00A34E4F">
        <w:rPr>
          <w:rFonts w:ascii="Times New Roman" w:hAnsi="Times New Roman" w:cs="Times New Roman"/>
          <w:sz w:val="24"/>
          <w:szCs w:val="24"/>
        </w:rPr>
        <w:t>iti</w:t>
      </w:r>
      <w:r w:rsidR="00E92BFB">
        <w:rPr>
          <w:rFonts w:ascii="Times New Roman" w:hAnsi="Times New Roman" w:cs="Times New Roman"/>
          <w:sz w:val="24"/>
          <w:szCs w:val="24"/>
        </w:rPr>
        <w:t xml:space="preserve"> jasn</w:t>
      </w:r>
      <w:r w:rsidR="00A34E4F">
        <w:rPr>
          <w:rFonts w:ascii="Times New Roman" w:hAnsi="Times New Roman" w:cs="Times New Roman"/>
          <w:sz w:val="24"/>
          <w:szCs w:val="24"/>
        </w:rPr>
        <w:t>e</w:t>
      </w:r>
      <w:r w:rsidR="00E92BFB">
        <w:rPr>
          <w:rFonts w:ascii="Times New Roman" w:hAnsi="Times New Roman" w:cs="Times New Roman"/>
          <w:sz w:val="24"/>
          <w:szCs w:val="24"/>
        </w:rPr>
        <w:t xml:space="preserve"> uput</w:t>
      </w:r>
      <w:r w:rsidR="00833E98">
        <w:rPr>
          <w:rFonts w:ascii="Times New Roman" w:hAnsi="Times New Roman" w:cs="Times New Roman"/>
          <w:sz w:val="24"/>
          <w:szCs w:val="24"/>
        </w:rPr>
        <w:t>e</w:t>
      </w:r>
      <w:r w:rsidR="00E92BFB">
        <w:rPr>
          <w:rFonts w:ascii="Times New Roman" w:hAnsi="Times New Roman" w:cs="Times New Roman"/>
          <w:sz w:val="24"/>
          <w:szCs w:val="24"/>
        </w:rPr>
        <w:t xml:space="preserve"> za prijavitelje </w:t>
      </w:r>
      <w:r w:rsidR="001D04DD">
        <w:rPr>
          <w:rFonts w:ascii="Times New Roman" w:hAnsi="Times New Roman" w:cs="Times New Roman"/>
          <w:sz w:val="24"/>
          <w:szCs w:val="24"/>
        </w:rPr>
        <w:t xml:space="preserve">u pripremi javnog poziva za dodjelu prava označavanja proizvoda oznakom HOP </w:t>
      </w:r>
      <w:r w:rsidR="00544487">
        <w:rPr>
          <w:rFonts w:ascii="Times New Roman" w:hAnsi="Times New Roman" w:cs="Times New Roman"/>
          <w:sz w:val="24"/>
          <w:szCs w:val="24"/>
        </w:rPr>
        <w:t xml:space="preserve">po </w:t>
      </w:r>
      <w:r w:rsidR="00CC0BFE">
        <w:rPr>
          <w:rFonts w:ascii="Times New Roman" w:hAnsi="Times New Roman" w:cs="Times New Roman"/>
          <w:sz w:val="24"/>
          <w:szCs w:val="24"/>
        </w:rPr>
        <w:t>grupama</w:t>
      </w:r>
      <w:r w:rsidR="00544487">
        <w:rPr>
          <w:rFonts w:ascii="Times New Roman" w:hAnsi="Times New Roman" w:cs="Times New Roman"/>
          <w:sz w:val="24"/>
          <w:szCs w:val="24"/>
        </w:rPr>
        <w:t xml:space="preserve"> proizvoda</w:t>
      </w:r>
      <w:r w:rsidR="00925B19">
        <w:rPr>
          <w:rFonts w:ascii="Times New Roman" w:hAnsi="Times New Roman" w:cs="Times New Roman"/>
          <w:sz w:val="24"/>
          <w:szCs w:val="24"/>
        </w:rPr>
        <w:t xml:space="preserve"> </w:t>
      </w:r>
      <w:r w:rsidR="00DD7736">
        <w:rPr>
          <w:rFonts w:ascii="Times New Roman" w:hAnsi="Times New Roman" w:cs="Times New Roman"/>
          <w:sz w:val="24"/>
          <w:szCs w:val="24"/>
        </w:rPr>
        <w:t xml:space="preserve">te </w:t>
      </w:r>
      <w:r w:rsidR="00A34E4F">
        <w:rPr>
          <w:rFonts w:ascii="Times New Roman" w:hAnsi="Times New Roman" w:cs="Times New Roman"/>
          <w:sz w:val="24"/>
          <w:szCs w:val="24"/>
        </w:rPr>
        <w:t xml:space="preserve">je </w:t>
      </w:r>
      <w:r w:rsidR="00CC0BFE">
        <w:rPr>
          <w:rFonts w:ascii="Times New Roman" w:hAnsi="Times New Roman" w:cs="Times New Roman"/>
          <w:sz w:val="24"/>
          <w:szCs w:val="24"/>
        </w:rPr>
        <w:t>nužn</w:t>
      </w:r>
      <w:r w:rsidR="00A34E4F">
        <w:rPr>
          <w:rFonts w:ascii="Times New Roman" w:hAnsi="Times New Roman" w:cs="Times New Roman"/>
          <w:sz w:val="24"/>
          <w:szCs w:val="24"/>
        </w:rPr>
        <w:t>o</w:t>
      </w:r>
      <w:r w:rsidR="00CC0BFE">
        <w:rPr>
          <w:rFonts w:ascii="Times New Roman" w:hAnsi="Times New Roman" w:cs="Times New Roman"/>
          <w:sz w:val="24"/>
          <w:szCs w:val="24"/>
        </w:rPr>
        <w:t xml:space="preserve"> </w:t>
      </w:r>
      <w:r w:rsidR="00925B19">
        <w:rPr>
          <w:rFonts w:ascii="Times New Roman" w:hAnsi="Times New Roman" w:cs="Times New Roman"/>
          <w:sz w:val="24"/>
          <w:szCs w:val="24"/>
        </w:rPr>
        <w:t>uključi</w:t>
      </w:r>
      <w:r w:rsidR="00A34E4F">
        <w:rPr>
          <w:rFonts w:ascii="Times New Roman" w:hAnsi="Times New Roman" w:cs="Times New Roman"/>
          <w:sz w:val="24"/>
          <w:szCs w:val="24"/>
        </w:rPr>
        <w:t>ti članove</w:t>
      </w:r>
      <w:r w:rsidR="00925B19">
        <w:rPr>
          <w:rFonts w:ascii="Times New Roman" w:hAnsi="Times New Roman" w:cs="Times New Roman"/>
          <w:sz w:val="24"/>
          <w:szCs w:val="24"/>
        </w:rPr>
        <w:t xml:space="preserve"> </w:t>
      </w:r>
      <w:r w:rsidR="004805E1">
        <w:rPr>
          <w:rFonts w:ascii="Times New Roman" w:hAnsi="Times New Roman" w:cs="Times New Roman"/>
          <w:sz w:val="24"/>
          <w:szCs w:val="24"/>
        </w:rPr>
        <w:t xml:space="preserve">dosadašnjih </w:t>
      </w:r>
      <w:r w:rsidR="00925B19">
        <w:rPr>
          <w:rFonts w:ascii="Times New Roman" w:hAnsi="Times New Roman" w:cs="Times New Roman"/>
          <w:sz w:val="24"/>
          <w:szCs w:val="24"/>
        </w:rPr>
        <w:t xml:space="preserve">tehničkih </w:t>
      </w:r>
      <w:r w:rsidR="00925B19" w:rsidRPr="004805E1">
        <w:rPr>
          <w:rFonts w:ascii="Times New Roman" w:hAnsi="Times New Roman" w:cs="Times New Roman"/>
          <w:sz w:val="24"/>
          <w:szCs w:val="24"/>
        </w:rPr>
        <w:t>komisij</w:t>
      </w:r>
      <w:r w:rsidR="00A63B55">
        <w:rPr>
          <w:rFonts w:ascii="Times New Roman" w:hAnsi="Times New Roman" w:cs="Times New Roman"/>
          <w:sz w:val="24"/>
          <w:szCs w:val="24"/>
        </w:rPr>
        <w:t>a</w:t>
      </w:r>
      <w:r w:rsidR="00833E98">
        <w:rPr>
          <w:rFonts w:ascii="Times New Roman" w:hAnsi="Times New Roman" w:cs="Times New Roman"/>
          <w:sz w:val="24"/>
          <w:szCs w:val="24"/>
        </w:rPr>
        <w:t>,</w:t>
      </w:r>
      <w:r w:rsidR="00A63B55">
        <w:rPr>
          <w:rFonts w:ascii="Times New Roman" w:hAnsi="Times New Roman" w:cs="Times New Roman"/>
          <w:sz w:val="24"/>
          <w:szCs w:val="24"/>
        </w:rPr>
        <w:t xml:space="preserve"> kao predstavnika stručnjaka za pojedina područja</w:t>
      </w:r>
      <w:r w:rsidR="004805E1">
        <w:rPr>
          <w:rFonts w:ascii="Times New Roman" w:hAnsi="Times New Roman" w:cs="Times New Roman"/>
          <w:sz w:val="24"/>
          <w:szCs w:val="24"/>
        </w:rPr>
        <w:t xml:space="preserve"> </w:t>
      </w:r>
      <w:r w:rsidR="00925B19">
        <w:rPr>
          <w:rFonts w:ascii="Times New Roman" w:hAnsi="Times New Roman" w:cs="Times New Roman"/>
          <w:sz w:val="24"/>
          <w:szCs w:val="24"/>
        </w:rPr>
        <w:t xml:space="preserve">u </w:t>
      </w:r>
      <w:r w:rsidR="00DD7736">
        <w:rPr>
          <w:rFonts w:ascii="Times New Roman" w:hAnsi="Times New Roman" w:cs="Times New Roman"/>
          <w:sz w:val="24"/>
          <w:szCs w:val="24"/>
        </w:rPr>
        <w:t>izradu uputa</w:t>
      </w:r>
      <w:r w:rsidR="00544487">
        <w:rPr>
          <w:rFonts w:ascii="Times New Roman" w:hAnsi="Times New Roman" w:cs="Times New Roman"/>
          <w:sz w:val="24"/>
          <w:szCs w:val="24"/>
        </w:rPr>
        <w:t xml:space="preserve">, </w:t>
      </w:r>
      <w:r w:rsidR="00A34E4F">
        <w:rPr>
          <w:rFonts w:ascii="Times New Roman" w:hAnsi="Times New Roman" w:cs="Times New Roman"/>
          <w:sz w:val="24"/>
          <w:szCs w:val="24"/>
        </w:rPr>
        <w:t>o</w:t>
      </w:r>
      <w:r w:rsidR="00544487">
        <w:rPr>
          <w:rFonts w:ascii="Times New Roman" w:hAnsi="Times New Roman" w:cs="Times New Roman"/>
          <w:sz w:val="24"/>
          <w:szCs w:val="24"/>
        </w:rPr>
        <w:t>jača</w:t>
      </w:r>
      <w:r w:rsidR="00A34E4F">
        <w:rPr>
          <w:rFonts w:ascii="Times New Roman" w:hAnsi="Times New Roman" w:cs="Times New Roman"/>
          <w:sz w:val="24"/>
          <w:szCs w:val="24"/>
        </w:rPr>
        <w:t>ti</w:t>
      </w:r>
      <w:r w:rsidR="00544487">
        <w:rPr>
          <w:rFonts w:ascii="Times New Roman" w:hAnsi="Times New Roman" w:cs="Times New Roman"/>
          <w:sz w:val="24"/>
          <w:szCs w:val="24"/>
        </w:rPr>
        <w:t xml:space="preserve"> administrativn</w:t>
      </w:r>
      <w:r w:rsidR="00A34E4F">
        <w:rPr>
          <w:rFonts w:ascii="Times New Roman" w:hAnsi="Times New Roman" w:cs="Times New Roman"/>
          <w:sz w:val="24"/>
          <w:szCs w:val="24"/>
        </w:rPr>
        <w:t>u</w:t>
      </w:r>
      <w:r w:rsidR="00544487">
        <w:rPr>
          <w:rFonts w:ascii="Times New Roman" w:hAnsi="Times New Roman" w:cs="Times New Roman"/>
          <w:sz w:val="24"/>
          <w:szCs w:val="24"/>
        </w:rPr>
        <w:t xml:space="preserve"> kontrol</w:t>
      </w:r>
      <w:r w:rsidR="00A34E4F">
        <w:rPr>
          <w:rFonts w:ascii="Times New Roman" w:hAnsi="Times New Roman" w:cs="Times New Roman"/>
          <w:sz w:val="24"/>
          <w:szCs w:val="24"/>
        </w:rPr>
        <w:t>u</w:t>
      </w:r>
      <w:r w:rsidR="00544487">
        <w:rPr>
          <w:rFonts w:ascii="Times New Roman" w:hAnsi="Times New Roman" w:cs="Times New Roman"/>
          <w:sz w:val="24"/>
          <w:szCs w:val="24"/>
        </w:rPr>
        <w:t xml:space="preserve"> </w:t>
      </w:r>
      <w:r w:rsidR="00ED3FE0">
        <w:rPr>
          <w:rFonts w:ascii="Times New Roman" w:hAnsi="Times New Roman" w:cs="Times New Roman"/>
          <w:sz w:val="24"/>
          <w:szCs w:val="24"/>
        </w:rPr>
        <w:t>pristigle dokumentacije po isteku roka za prijavu na javni poziv</w:t>
      </w:r>
      <w:r w:rsidR="00A34E4F">
        <w:rPr>
          <w:rFonts w:ascii="Times New Roman" w:hAnsi="Times New Roman" w:cs="Times New Roman"/>
          <w:sz w:val="24"/>
          <w:szCs w:val="24"/>
        </w:rPr>
        <w:t>, definirati način nadzora poštivanja odredbi ugovora o korištenju prava označavanja</w:t>
      </w:r>
      <w:r w:rsidR="004A2D04">
        <w:rPr>
          <w:rFonts w:ascii="Times New Roman" w:hAnsi="Times New Roman" w:cs="Times New Roman"/>
          <w:sz w:val="24"/>
          <w:szCs w:val="24"/>
        </w:rPr>
        <w:t xml:space="preserve"> i uspostav</w:t>
      </w:r>
      <w:r w:rsidR="00A34E4F">
        <w:rPr>
          <w:rFonts w:ascii="Times New Roman" w:hAnsi="Times New Roman" w:cs="Times New Roman"/>
          <w:sz w:val="24"/>
          <w:szCs w:val="24"/>
        </w:rPr>
        <w:t>iti</w:t>
      </w:r>
      <w:r w:rsidR="00561480">
        <w:rPr>
          <w:rFonts w:ascii="Times New Roman" w:hAnsi="Times New Roman" w:cs="Times New Roman"/>
          <w:sz w:val="24"/>
          <w:szCs w:val="24"/>
        </w:rPr>
        <w:t xml:space="preserve"> ciljan</w:t>
      </w:r>
      <w:r w:rsidR="00A34E4F">
        <w:rPr>
          <w:rFonts w:ascii="Times New Roman" w:hAnsi="Times New Roman" w:cs="Times New Roman"/>
          <w:sz w:val="24"/>
          <w:szCs w:val="24"/>
        </w:rPr>
        <w:t xml:space="preserve">e </w:t>
      </w:r>
      <w:r w:rsidR="00561480">
        <w:rPr>
          <w:rFonts w:ascii="Times New Roman" w:hAnsi="Times New Roman" w:cs="Times New Roman"/>
          <w:sz w:val="24"/>
          <w:szCs w:val="24"/>
        </w:rPr>
        <w:t xml:space="preserve">komunikacijske aktivnosti prema potencijalnim </w:t>
      </w:r>
      <w:r w:rsidR="00561480" w:rsidRPr="008870AF">
        <w:rPr>
          <w:rFonts w:ascii="Times New Roman" w:hAnsi="Times New Roman" w:cs="Times New Roman"/>
          <w:sz w:val="24"/>
          <w:szCs w:val="24"/>
        </w:rPr>
        <w:t>korisnicima prava označavanja oznakom HOP</w:t>
      </w:r>
      <w:r w:rsidR="00262553">
        <w:rPr>
          <w:rFonts w:ascii="Times New Roman" w:hAnsi="Times New Roman" w:cs="Times New Roman"/>
          <w:sz w:val="24"/>
          <w:szCs w:val="24"/>
        </w:rPr>
        <w:t xml:space="preserve"> u cilju jačanja kapaciteta prijavitelja</w:t>
      </w:r>
      <w:r w:rsidR="004A2D04">
        <w:rPr>
          <w:rFonts w:ascii="Times New Roman" w:hAnsi="Times New Roman" w:cs="Times New Roman"/>
          <w:sz w:val="24"/>
          <w:szCs w:val="24"/>
        </w:rPr>
        <w:t>, kako bi pr</w:t>
      </w:r>
      <w:r w:rsidR="00710B83">
        <w:rPr>
          <w:rFonts w:ascii="Times New Roman" w:hAnsi="Times New Roman" w:cs="Times New Roman"/>
          <w:sz w:val="24"/>
          <w:szCs w:val="24"/>
        </w:rPr>
        <w:t>ijave bile potpune i pravodobne, a cijela procedura učinkovita</w:t>
      </w:r>
      <w:r w:rsidR="001542EF">
        <w:rPr>
          <w:rFonts w:ascii="Times New Roman" w:hAnsi="Times New Roman" w:cs="Times New Roman"/>
          <w:sz w:val="24"/>
          <w:szCs w:val="24"/>
        </w:rPr>
        <w:t>.</w:t>
      </w:r>
      <w:r w:rsidR="00BE0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19EC0" w14:textId="77777777" w:rsidR="008743FB" w:rsidRDefault="008743FB" w:rsidP="00D213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D3FBDA" w14:textId="77777777" w:rsidR="00077797" w:rsidRPr="003C616C" w:rsidRDefault="00E26D59" w:rsidP="003C616C">
      <w:pPr>
        <w:pStyle w:val="Heading3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</w:rPr>
        <w:t>Sudjelovanje drugih dionika u provedbi Projekta HOP</w:t>
      </w:r>
    </w:p>
    <w:p w14:paraId="21719458" w14:textId="77777777" w:rsidR="00F3096F" w:rsidRDefault="008743FB" w:rsidP="00B77C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</w:t>
      </w:r>
      <w:r w:rsidR="0006564B">
        <w:rPr>
          <w:rFonts w:ascii="Times New Roman" w:hAnsi="Times New Roman" w:cs="Times New Roman"/>
          <w:sz w:val="24"/>
          <w:szCs w:val="24"/>
        </w:rPr>
        <w:t>arstvo turizma od 2016. godine putem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63E">
        <w:rPr>
          <w:rFonts w:ascii="Times New Roman" w:hAnsi="Times New Roman" w:cs="Times New Roman"/>
          <w:i/>
          <w:sz w:val="24"/>
          <w:szCs w:val="24"/>
        </w:rPr>
        <w:t>Konkurentnost turističkog gospodarstva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6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mjera D</w:t>
      </w:r>
      <w:r w:rsidR="00DB4624">
        <w:rPr>
          <w:rFonts w:ascii="Times New Roman" w:hAnsi="Times New Roman" w:cs="Times New Roman"/>
          <w:sz w:val="24"/>
          <w:szCs w:val="24"/>
        </w:rPr>
        <w:t xml:space="preserve"> – prepoznatljivost)</w:t>
      </w:r>
      <w:r>
        <w:rPr>
          <w:rFonts w:ascii="Times New Roman" w:hAnsi="Times New Roman" w:cs="Times New Roman"/>
          <w:sz w:val="24"/>
          <w:szCs w:val="24"/>
        </w:rPr>
        <w:t xml:space="preserve"> osigurava sredstva </w:t>
      </w:r>
      <w:r w:rsidR="00DB4624">
        <w:rPr>
          <w:rFonts w:ascii="Times New Roman" w:hAnsi="Times New Roman" w:cs="Times New Roman"/>
          <w:sz w:val="24"/>
          <w:szCs w:val="24"/>
        </w:rPr>
        <w:t>za sufinanciranje aktivnosti vezanih za HOP</w:t>
      </w:r>
      <w:r w:rsidR="00894D09">
        <w:rPr>
          <w:rFonts w:ascii="Times New Roman" w:hAnsi="Times New Roman" w:cs="Times New Roman"/>
          <w:sz w:val="24"/>
          <w:szCs w:val="24"/>
        </w:rPr>
        <w:t>, s minimalnim iznosom potpore od 20.000</w:t>
      </w:r>
      <w:r w:rsidR="00D80BE6">
        <w:rPr>
          <w:rFonts w:ascii="Times New Roman" w:hAnsi="Times New Roman" w:cs="Times New Roman"/>
          <w:sz w:val="24"/>
          <w:szCs w:val="24"/>
        </w:rPr>
        <w:t xml:space="preserve"> </w:t>
      </w:r>
      <w:r w:rsidR="00894D09">
        <w:rPr>
          <w:rFonts w:ascii="Times New Roman" w:hAnsi="Times New Roman" w:cs="Times New Roman"/>
          <w:sz w:val="24"/>
          <w:szCs w:val="24"/>
        </w:rPr>
        <w:t>k</w:t>
      </w:r>
      <w:r w:rsidR="00D80BE6">
        <w:rPr>
          <w:rFonts w:ascii="Times New Roman" w:hAnsi="Times New Roman" w:cs="Times New Roman"/>
          <w:sz w:val="24"/>
          <w:szCs w:val="24"/>
        </w:rPr>
        <w:t>u</w:t>
      </w:r>
      <w:r w:rsidR="00894D09">
        <w:rPr>
          <w:rFonts w:ascii="Times New Roman" w:hAnsi="Times New Roman" w:cs="Times New Roman"/>
          <w:sz w:val="24"/>
          <w:szCs w:val="24"/>
        </w:rPr>
        <w:t>n</w:t>
      </w:r>
      <w:r w:rsidR="00D80BE6">
        <w:rPr>
          <w:rFonts w:ascii="Times New Roman" w:hAnsi="Times New Roman" w:cs="Times New Roman"/>
          <w:sz w:val="24"/>
          <w:szCs w:val="24"/>
        </w:rPr>
        <w:t>a</w:t>
      </w:r>
      <w:r w:rsidR="00894D09">
        <w:rPr>
          <w:rFonts w:ascii="Times New Roman" w:hAnsi="Times New Roman" w:cs="Times New Roman"/>
          <w:sz w:val="24"/>
          <w:szCs w:val="24"/>
        </w:rPr>
        <w:t xml:space="preserve"> do maksimalnih 100.000</w:t>
      </w:r>
      <w:r w:rsidR="00D80BE6">
        <w:rPr>
          <w:rFonts w:ascii="Times New Roman" w:hAnsi="Times New Roman" w:cs="Times New Roman"/>
          <w:sz w:val="24"/>
          <w:szCs w:val="24"/>
        </w:rPr>
        <w:t xml:space="preserve"> </w:t>
      </w:r>
      <w:r w:rsidR="00894D09">
        <w:rPr>
          <w:rFonts w:ascii="Times New Roman" w:hAnsi="Times New Roman" w:cs="Times New Roman"/>
          <w:sz w:val="24"/>
          <w:szCs w:val="24"/>
        </w:rPr>
        <w:t>k</w:t>
      </w:r>
      <w:r w:rsidR="00D80BE6">
        <w:rPr>
          <w:rFonts w:ascii="Times New Roman" w:hAnsi="Times New Roman" w:cs="Times New Roman"/>
          <w:sz w:val="24"/>
          <w:szCs w:val="24"/>
        </w:rPr>
        <w:t>una</w:t>
      </w:r>
      <w:r w:rsidR="00894D09">
        <w:rPr>
          <w:rFonts w:ascii="Times New Roman" w:hAnsi="Times New Roman" w:cs="Times New Roman"/>
          <w:sz w:val="24"/>
          <w:szCs w:val="24"/>
        </w:rPr>
        <w:t xml:space="preserve"> te intenzitetom </w:t>
      </w:r>
      <w:r w:rsidR="0006564B">
        <w:rPr>
          <w:rFonts w:ascii="Times New Roman" w:hAnsi="Times New Roman" w:cs="Times New Roman"/>
          <w:sz w:val="24"/>
          <w:szCs w:val="24"/>
        </w:rPr>
        <w:t xml:space="preserve">potpore </w:t>
      </w:r>
      <w:r w:rsidR="00894D09">
        <w:rPr>
          <w:rFonts w:ascii="Times New Roman" w:hAnsi="Times New Roman" w:cs="Times New Roman"/>
          <w:sz w:val="24"/>
          <w:szCs w:val="24"/>
        </w:rPr>
        <w:t>do 60% ukupno opravdanih/prihv</w:t>
      </w:r>
      <w:r w:rsidR="00D80BE6">
        <w:rPr>
          <w:rFonts w:ascii="Times New Roman" w:hAnsi="Times New Roman" w:cs="Times New Roman"/>
          <w:sz w:val="24"/>
          <w:szCs w:val="24"/>
        </w:rPr>
        <w:t>a</w:t>
      </w:r>
      <w:r w:rsidR="00894D09">
        <w:rPr>
          <w:rFonts w:ascii="Times New Roman" w:hAnsi="Times New Roman" w:cs="Times New Roman"/>
          <w:sz w:val="24"/>
          <w:szCs w:val="24"/>
        </w:rPr>
        <w:t>tljivih troškova</w:t>
      </w:r>
      <w:r w:rsidR="00FB3A41">
        <w:rPr>
          <w:rFonts w:ascii="Times New Roman" w:hAnsi="Times New Roman" w:cs="Times New Roman"/>
          <w:sz w:val="24"/>
          <w:szCs w:val="24"/>
        </w:rPr>
        <w:t xml:space="preserve">. </w:t>
      </w:r>
      <w:r w:rsidR="00F3096F">
        <w:rPr>
          <w:rFonts w:ascii="Times New Roman" w:hAnsi="Times New Roman" w:cs="Times New Roman"/>
          <w:sz w:val="24"/>
          <w:szCs w:val="24"/>
        </w:rPr>
        <w:t>Prihvatljive aktivnosti za sufinanciranje su:</w:t>
      </w:r>
    </w:p>
    <w:p w14:paraId="1D54A5A6" w14:textId="77777777" w:rsidR="00993285" w:rsidRPr="00993285" w:rsidRDefault="00F3096F" w:rsidP="009932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285">
        <w:rPr>
          <w:rFonts w:ascii="Times New Roman" w:hAnsi="Times New Roman" w:cs="Times New Roman"/>
          <w:sz w:val="24"/>
          <w:szCs w:val="24"/>
        </w:rPr>
        <w:t xml:space="preserve">opremanje prodajno-izložbenih prostora u hotelima i kampovima na otocima i u marinama za proizvode s oznakom „Hrvatski otočni proizvod“, </w:t>
      </w:r>
    </w:p>
    <w:p w14:paraId="53639530" w14:textId="77777777" w:rsidR="00993285" w:rsidRPr="00993285" w:rsidRDefault="00F3096F" w:rsidP="009932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285">
        <w:rPr>
          <w:rFonts w:ascii="Times New Roman" w:hAnsi="Times New Roman" w:cs="Times New Roman"/>
          <w:sz w:val="24"/>
          <w:szCs w:val="24"/>
        </w:rPr>
        <w:t>ulaganje u uređenje izletišta, kušaonica, vinotočja za proizvode s oznakom „Hrvatski otočni proizvod“ od strane proizvođača predmetnih proizvoda na otocima</w:t>
      </w:r>
      <w:r w:rsidR="00F86837">
        <w:rPr>
          <w:rFonts w:ascii="Times New Roman" w:hAnsi="Times New Roman" w:cs="Times New Roman"/>
          <w:sz w:val="24"/>
          <w:szCs w:val="24"/>
        </w:rPr>
        <w:t>,</w:t>
      </w:r>
    </w:p>
    <w:p w14:paraId="2E5F4202" w14:textId="77777777" w:rsidR="00F3096F" w:rsidRPr="00993285" w:rsidRDefault="00F3096F" w:rsidP="0099328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285">
        <w:rPr>
          <w:rFonts w:ascii="Times New Roman" w:hAnsi="Times New Roman" w:cs="Times New Roman"/>
          <w:sz w:val="24"/>
          <w:szCs w:val="24"/>
        </w:rPr>
        <w:t>realizacija tematskih ruta, ili kreiranje i provedba paket aranžmana s temom „Hrvatski otočni proizvod“ na otoku ili nekoliko susjednih otoka.</w:t>
      </w:r>
    </w:p>
    <w:p w14:paraId="17740BF7" w14:textId="77777777" w:rsidR="00670520" w:rsidRDefault="00FB3A41" w:rsidP="003D182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Odaziv po ovom Programu nije u skladu s očekivanji</w:t>
      </w:r>
      <w:r w:rsidR="00CF309F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obzirom se, zaključno s 2018. godinom, na Javni poziv </w:t>
      </w:r>
      <w:r w:rsidR="00CF309F">
        <w:rPr>
          <w:rFonts w:ascii="Times New Roman" w:hAnsi="Times New Roman" w:cs="Times New Roman"/>
          <w:sz w:val="24"/>
          <w:szCs w:val="24"/>
        </w:rPr>
        <w:t xml:space="preserve">po Programu </w:t>
      </w:r>
      <w:r>
        <w:rPr>
          <w:rFonts w:ascii="Times New Roman" w:hAnsi="Times New Roman" w:cs="Times New Roman"/>
          <w:sz w:val="24"/>
          <w:szCs w:val="24"/>
        </w:rPr>
        <w:t>javilo ukupno 4 prijavitelja, od čega je dvoje ostvarilo pravo na potporu.</w:t>
      </w:r>
      <w:r w:rsidR="00494A10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CF309F">
        <w:rPr>
          <w:rFonts w:ascii="Times New Roman" w:hAnsi="Times New Roman" w:cs="Times New Roman"/>
          <w:sz w:val="24"/>
          <w:szCs w:val="24"/>
        </w:rPr>
        <w:t xml:space="preserve"> Ovi podaci ukazuju na potrebu</w:t>
      </w:r>
      <w:r w:rsidR="00397F66">
        <w:rPr>
          <w:rFonts w:ascii="Times New Roman" w:hAnsi="Times New Roman" w:cs="Times New Roman"/>
          <w:sz w:val="24"/>
          <w:szCs w:val="24"/>
        </w:rPr>
        <w:t xml:space="preserve"> </w:t>
      </w:r>
      <w:r w:rsidR="00D10F0B">
        <w:rPr>
          <w:rFonts w:ascii="Times New Roman" w:hAnsi="Times New Roman" w:cs="Times New Roman"/>
          <w:sz w:val="24"/>
          <w:szCs w:val="24"/>
        </w:rPr>
        <w:t>uspostavljanje</w:t>
      </w:r>
      <w:r w:rsidR="00397F66">
        <w:rPr>
          <w:rFonts w:ascii="Times New Roman" w:hAnsi="Times New Roman" w:cs="Times New Roman"/>
          <w:sz w:val="24"/>
          <w:szCs w:val="24"/>
        </w:rPr>
        <w:t xml:space="preserve"> </w:t>
      </w:r>
      <w:r w:rsidR="008F589B">
        <w:rPr>
          <w:rFonts w:ascii="Times New Roman" w:hAnsi="Times New Roman" w:cs="Times New Roman"/>
          <w:sz w:val="24"/>
          <w:szCs w:val="24"/>
        </w:rPr>
        <w:t xml:space="preserve">ciljane </w:t>
      </w:r>
      <w:r w:rsidR="00397F66">
        <w:rPr>
          <w:rFonts w:ascii="Times New Roman" w:hAnsi="Times New Roman" w:cs="Times New Roman"/>
          <w:sz w:val="24"/>
          <w:szCs w:val="24"/>
        </w:rPr>
        <w:t>komunikacijske aktivnosti</w:t>
      </w:r>
      <w:r w:rsidR="00765D67">
        <w:rPr>
          <w:rFonts w:ascii="Times New Roman" w:hAnsi="Times New Roman" w:cs="Times New Roman"/>
          <w:sz w:val="24"/>
          <w:szCs w:val="24"/>
        </w:rPr>
        <w:t xml:space="preserve"> </w:t>
      </w:r>
      <w:r w:rsidR="008870AF">
        <w:rPr>
          <w:rFonts w:ascii="Times New Roman" w:hAnsi="Times New Roman" w:cs="Times New Roman"/>
          <w:sz w:val="24"/>
          <w:szCs w:val="24"/>
        </w:rPr>
        <w:t xml:space="preserve">prema </w:t>
      </w:r>
      <w:r w:rsidR="00765D67" w:rsidRPr="008870AF">
        <w:rPr>
          <w:rFonts w:ascii="Times New Roman" w:hAnsi="Times New Roman" w:cs="Times New Roman"/>
          <w:sz w:val="24"/>
          <w:szCs w:val="24"/>
        </w:rPr>
        <w:t>korisnicima prava označavanja oznakom HOP</w:t>
      </w:r>
      <w:r w:rsidR="008870AF">
        <w:rPr>
          <w:rFonts w:ascii="Times New Roman" w:hAnsi="Times New Roman" w:cs="Times New Roman"/>
          <w:sz w:val="24"/>
          <w:szCs w:val="24"/>
        </w:rPr>
        <w:t xml:space="preserve">, </w:t>
      </w:r>
      <w:r w:rsidR="008870AF" w:rsidRPr="008870AF">
        <w:rPr>
          <w:rFonts w:ascii="Times New Roman" w:hAnsi="Times New Roman" w:cs="Times New Roman"/>
          <w:sz w:val="24"/>
          <w:szCs w:val="24"/>
        </w:rPr>
        <w:t>u ci</w:t>
      </w:r>
      <w:r w:rsidR="00397F66" w:rsidRPr="008870AF">
        <w:rPr>
          <w:rFonts w:ascii="Times New Roman" w:hAnsi="Times New Roman" w:cs="Times New Roman"/>
          <w:sz w:val="24"/>
          <w:szCs w:val="24"/>
        </w:rPr>
        <w:t xml:space="preserve">lju </w:t>
      </w:r>
      <w:r w:rsidR="008870AF" w:rsidRPr="008870AF">
        <w:rPr>
          <w:rFonts w:ascii="Times New Roman" w:hAnsi="Times New Roman" w:cs="Times New Roman"/>
          <w:sz w:val="24"/>
          <w:szCs w:val="24"/>
        </w:rPr>
        <w:t xml:space="preserve">jačanja </w:t>
      </w:r>
      <w:r w:rsidR="00670520" w:rsidRPr="008870AF">
        <w:rPr>
          <w:rFonts w:ascii="Times New Roman" w:hAnsi="Times New Roman" w:cs="Times New Roman"/>
          <w:sz w:val="24"/>
          <w:szCs w:val="24"/>
        </w:rPr>
        <w:t>poduzetničke aktivnosti korisnika</w:t>
      </w:r>
      <w:r w:rsidR="00E25FB8">
        <w:rPr>
          <w:rFonts w:ascii="Times New Roman" w:hAnsi="Times New Roman" w:cs="Times New Roman"/>
          <w:sz w:val="24"/>
          <w:szCs w:val="24"/>
        </w:rPr>
        <w:t xml:space="preserve"> i ostvarivanja ciljeva Programa</w:t>
      </w:r>
      <w:r w:rsidR="009D1517">
        <w:rPr>
          <w:rFonts w:ascii="Times New Roman" w:hAnsi="Times New Roman" w:cs="Times New Roman"/>
          <w:sz w:val="24"/>
          <w:szCs w:val="24"/>
        </w:rPr>
        <w:t xml:space="preserve"> HOP.</w:t>
      </w:r>
    </w:p>
    <w:p w14:paraId="59FBAFE9" w14:textId="77777777" w:rsidR="00FB3A41" w:rsidRDefault="00FB3A41" w:rsidP="003D18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Posljednjih godina primjetno je uključivanje obalno-otočnih županija i otočnih jedinica lokalne samouprave u poticanje aktivnosti korisnika prava označavanja oznakom HOP kroz razne oblike sufinanciranja za sudjelovanje na sajmovima/manifestacijama i/ili za troškove analiza nominiranih proizvoda za potrebe ishođenja prava označavanja putem ciljanih javnih poziva ili kroz programe poticanja poduzetništva i ruralnog razvoja </w:t>
      </w:r>
      <w:r w:rsidR="00051CDE">
        <w:rPr>
          <w:rFonts w:ascii="Times New Roman" w:hAnsi="Times New Roman" w:cs="Times New Roman"/>
          <w:sz w:val="24"/>
          <w:szCs w:val="24"/>
        </w:rPr>
        <w:t xml:space="preserve">na svom području </w:t>
      </w:r>
      <w:r>
        <w:rPr>
          <w:rFonts w:ascii="Times New Roman" w:hAnsi="Times New Roman" w:cs="Times New Roman"/>
          <w:sz w:val="24"/>
          <w:szCs w:val="24"/>
        </w:rPr>
        <w:t xml:space="preserve">te kroz direktne potpore </w:t>
      </w:r>
      <w:r w:rsidR="00F3096F">
        <w:rPr>
          <w:rFonts w:ascii="Times New Roman" w:hAnsi="Times New Roman" w:cs="Times New Roman"/>
          <w:sz w:val="24"/>
          <w:szCs w:val="24"/>
        </w:rPr>
        <w:t>(oslobađanje od naknade za korištenje javne površine za organizaciju sajmova/manifestacija na kojima sudjeluju korisnici prava označavanja oznakom HOP, nabava proizvoda označenih oznakom HOP za potrebe protokola i sl.)</w:t>
      </w:r>
      <w:r w:rsidR="00B725C6">
        <w:rPr>
          <w:rFonts w:ascii="Times New Roman" w:hAnsi="Times New Roman" w:cs="Times New Roman"/>
          <w:sz w:val="24"/>
          <w:szCs w:val="24"/>
        </w:rPr>
        <w:t xml:space="preserve">. </w:t>
      </w:r>
      <w:r w:rsidR="0088746C">
        <w:rPr>
          <w:rFonts w:ascii="Times New Roman" w:hAnsi="Times New Roman" w:cs="Times New Roman"/>
          <w:sz w:val="24"/>
          <w:szCs w:val="24"/>
        </w:rPr>
        <w:t xml:space="preserve">Za </w:t>
      </w:r>
      <w:r w:rsidR="001B0B6E">
        <w:rPr>
          <w:rFonts w:ascii="Times New Roman" w:hAnsi="Times New Roman" w:cs="Times New Roman"/>
          <w:sz w:val="24"/>
          <w:szCs w:val="24"/>
        </w:rPr>
        <w:t xml:space="preserve">potrebe </w:t>
      </w:r>
      <w:r w:rsidR="001B0B6E" w:rsidRPr="00B75A53">
        <w:rPr>
          <w:rFonts w:ascii="Times New Roman" w:hAnsi="Times New Roman" w:cs="Times New Roman"/>
          <w:sz w:val="24"/>
          <w:szCs w:val="24"/>
        </w:rPr>
        <w:t xml:space="preserve">osnaživanja Programa HOP i ostvarenja njegovih ciljeva </w:t>
      </w:r>
      <w:r w:rsidR="00655F53" w:rsidRPr="00B75A53">
        <w:rPr>
          <w:rFonts w:ascii="Times New Roman" w:hAnsi="Times New Roman" w:cs="Times New Roman"/>
          <w:sz w:val="24"/>
          <w:szCs w:val="24"/>
        </w:rPr>
        <w:t>potrebno je uspostaviti kontinuirane</w:t>
      </w:r>
      <w:r w:rsidR="00B725C6" w:rsidRPr="00B75A53">
        <w:rPr>
          <w:rFonts w:ascii="Times New Roman" w:hAnsi="Times New Roman" w:cs="Times New Roman"/>
          <w:sz w:val="24"/>
          <w:szCs w:val="24"/>
        </w:rPr>
        <w:t xml:space="preserve"> komunikacijske aktivnosti </w:t>
      </w:r>
      <w:r w:rsidR="00655F53" w:rsidRPr="00B75A53">
        <w:rPr>
          <w:rFonts w:ascii="Times New Roman" w:hAnsi="Times New Roman" w:cs="Times New Roman"/>
          <w:sz w:val="24"/>
          <w:szCs w:val="24"/>
        </w:rPr>
        <w:t>i suradnju s obalno-otočnim županijama, otočnim jedini</w:t>
      </w:r>
      <w:r w:rsidR="00B75A53" w:rsidRPr="00B75A53">
        <w:rPr>
          <w:rFonts w:ascii="Times New Roman" w:hAnsi="Times New Roman" w:cs="Times New Roman"/>
          <w:sz w:val="24"/>
          <w:szCs w:val="24"/>
        </w:rPr>
        <w:t>cama</w:t>
      </w:r>
      <w:r w:rsidR="00B75A53">
        <w:rPr>
          <w:rFonts w:ascii="Times New Roman" w:hAnsi="Times New Roman" w:cs="Times New Roman"/>
          <w:sz w:val="24"/>
          <w:szCs w:val="24"/>
        </w:rPr>
        <w:t xml:space="preserve"> lokalne samouprave i jedinicama lokalne samouprave na kopnu koje u svom administrativnom sastavu imaju otok/otoke</w:t>
      </w:r>
      <w:r w:rsidR="00315DD0">
        <w:rPr>
          <w:rFonts w:ascii="Times New Roman" w:hAnsi="Times New Roman" w:cs="Times New Roman"/>
          <w:sz w:val="24"/>
          <w:szCs w:val="24"/>
        </w:rPr>
        <w:t xml:space="preserve"> u svrhu predstavljanja ciljeva i mjera Programa HOP i poticanja </w:t>
      </w:r>
      <w:r w:rsidR="00315DD0" w:rsidRPr="003B4719">
        <w:rPr>
          <w:rFonts w:ascii="Times New Roman" w:hAnsi="Times New Roman" w:cs="Times New Roman"/>
          <w:sz w:val="24"/>
          <w:szCs w:val="24"/>
        </w:rPr>
        <w:t>jedinica lokalne i područne (regionalne) samouprave</w:t>
      </w:r>
      <w:r w:rsidR="002E0EA1">
        <w:rPr>
          <w:rFonts w:ascii="Times New Roman" w:hAnsi="Times New Roman" w:cs="Times New Roman"/>
          <w:sz w:val="24"/>
          <w:szCs w:val="24"/>
        </w:rPr>
        <w:t xml:space="preserve"> na </w:t>
      </w:r>
      <w:r w:rsidR="001F2FB1">
        <w:rPr>
          <w:rFonts w:ascii="Times New Roman" w:hAnsi="Times New Roman" w:cs="Times New Roman"/>
          <w:sz w:val="24"/>
          <w:szCs w:val="24"/>
        </w:rPr>
        <w:t>uvođenje i širenje mjera i aktivnosti za potrebe osnaživanja korisnika prava označavanja</w:t>
      </w:r>
      <w:r w:rsidR="0086723F">
        <w:rPr>
          <w:rFonts w:ascii="Times New Roman" w:hAnsi="Times New Roman" w:cs="Times New Roman"/>
          <w:sz w:val="24"/>
          <w:szCs w:val="24"/>
        </w:rPr>
        <w:t xml:space="preserve"> oznakom HOP i doprinos ostvarenju ciljeva Programa HOP.</w:t>
      </w:r>
    </w:p>
    <w:p w14:paraId="27986BCA" w14:textId="77777777" w:rsidR="00646CBC" w:rsidRPr="00646CBC" w:rsidRDefault="00DD2867" w:rsidP="003D18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je kroz 13</w:t>
      </w:r>
      <w:r w:rsidR="00A36B23">
        <w:rPr>
          <w:rFonts w:ascii="Times New Roman" w:hAnsi="Times New Roman" w:cs="Times New Roman"/>
          <w:sz w:val="24"/>
          <w:szCs w:val="24"/>
        </w:rPr>
        <w:t xml:space="preserve"> godina provedbe Projekta HOP značajno narastao broj </w:t>
      </w:r>
      <w:r w:rsidR="00E14BBB">
        <w:rPr>
          <w:rFonts w:ascii="Times New Roman" w:hAnsi="Times New Roman" w:cs="Times New Roman"/>
          <w:sz w:val="24"/>
          <w:szCs w:val="24"/>
        </w:rPr>
        <w:t>otočnih subjekata</w:t>
      </w:r>
      <w:r w:rsidR="00A36B23">
        <w:rPr>
          <w:rFonts w:ascii="Times New Roman" w:hAnsi="Times New Roman" w:cs="Times New Roman"/>
          <w:sz w:val="24"/>
          <w:szCs w:val="24"/>
        </w:rPr>
        <w:t xml:space="preserve"> koji su stekli pravo označavanja oznakom HOP za svoje proizvode ili proizvodne linije, </w:t>
      </w:r>
      <w:r w:rsidR="00494A10">
        <w:rPr>
          <w:rFonts w:ascii="Times New Roman" w:hAnsi="Times New Roman" w:cs="Times New Roman"/>
          <w:sz w:val="24"/>
          <w:szCs w:val="24"/>
        </w:rPr>
        <w:t xml:space="preserve">2014. godine </w:t>
      </w:r>
      <w:r w:rsidR="00AE3AF0">
        <w:rPr>
          <w:rFonts w:ascii="Times New Roman" w:hAnsi="Times New Roman" w:cs="Times New Roman"/>
          <w:sz w:val="24"/>
          <w:szCs w:val="24"/>
        </w:rPr>
        <w:t xml:space="preserve">je osnovana </w:t>
      </w:r>
      <w:r w:rsidR="00494A10">
        <w:rPr>
          <w:rFonts w:ascii="Times New Roman" w:hAnsi="Times New Roman" w:cs="Times New Roman"/>
          <w:sz w:val="24"/>
          <w:szCs w:val="24"/>
        </w:rPr>
        <w:t xml:space="preserve">Udruga poslovni klaster „Hrvatski otočni proizvod“ </w:t>
      </w:r>
      <w:r w:rsidR="00506069">
        <w:rPr>
          <w:rFonts w:ascii="Times New Roman" w:hAnsi="Times New Roman" w:cs="Times New Roman"/>
          <w:sz w:val="24"/>
          <w:szCs w:val="24"/>
        </w:rPr>
        <w:t xml:space="preserve">(u daljnjem tekstu: Udruga) </w:t>
      </w:r>
      <w:r w:rsidR="00494A10">
        <w:rPr>
          <w:rFonts w:ascii="Times New Roman" w:hAnsi="Times New Roman" w:cs="Times New Roman"/>
          <w:sz w:val="24"/>
          <w:szCs w:val="24"/>
        </w:rPr>
        <w:t xml:space="preserve">koja </w:t>
      </w:r>
      <w:r w:rsidR="00D86910">
        <w:rPr>
          <w:rFonts w:ascii="Times New Roman" w:hAnsi="Times New Roman" w:cs="Times New Roman"/>
          <w:sz w:val="24"/>
          <w:szCs w:val="24"/>
        </w:rPr>
        <w:t xml:space="preserve">trenutno </w:t>
      </w:r>
      <w:r w:rsidR="00494A10">
        <w:rPr>
          <w:rFonts w:ascii="Times New Roman" w:hAnsi="Times New Roman" w:cs="Times New Roman"/>
          <w:sz w:val="24"/>
          <w:szCs w:val="24"/>
        </w:rPr>
        <w:t>broji 74 člana – korisnika prava označavanja oznakom HOP, s 21 otoka.</w:t>
      </w:r>
      <w:r w:rsidR="00494A10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646CBC">
        <w:rPr>
          <w:rFonts w:ascii="Times New Roman" w:hAnsi="Times New Roman" w:cs="Times New Roman"/>
          <w:sz w:val="24"/>
          <w:szCs w:val="24"/>
        </w:rPr>
        <w:t xml:space="preserve"> </w:t>
      </w:r>
      <w:r w:rsidR="00646CBC" w:rsidRPr="00646CBC">
        <w:rPr>
          <w:rFonts w:ascii="Times New Roman" w:hAnsi="Times New Roman" w:cs="Times New Roman"/>
          <w:sz w:val="24"/>
          <w:szCs w:val="24"/>
        </w:rPr>
        <w:t>Područje djelovanja udruge</w:t>
      </w:r>
      <w:r w:rsidR="00C84D2D">
        <w:rPr>
          <w:rFonts w:ascii="Times New Roman" w:hAnsi="Times New Roman" w:cs="Times New Roman"/>
          <w:sz w:val="24"/>
          <w:szCs w:val="24"/>
        </w:rPr>
        <w:t>, prema Statutu</w:t>
      </w:r>
      <w:r w:rsidR="00C84D2D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C84D2D">
        <w:rPr>
          <w:rFonts w:ascii="Times New Roman" w:hAnsi="Times New Roman" w:cs="Times New Roman"/>
          <w:sz w:val="24"/>
          <w:szCs w:val="24"/>
        </w:rPr>
        <w:t xml:space="preserve">, </w:t>
      </w:r>
      <w:r w:rsidR="00646CBC" w:rsidRPr="00646CBC">
        <w:rPr>
          <w:rFonts w:ascii="Times New Roman" w:hAnsi="Times New Roman" w:cs="Times New Roman"/>
          <w:sz w:val="24"/>
          <w:szCs w:val="24"/>
        </w:rPr>
        <w:t>je gospodarstvo i razvoj projekta „Hrvatski otočni proizvod“</w:t>
      </w:r>
      <w:r w:rsidR="00D86910">
        <w:rPr>
          <w:rFonts w:ascii="Times New Roman" w:hAnsi="Times New Roman" w:cs="Times New Roman"/>
          <w:sz w:val="24"/>
          <w:szCs w:val="24"/>
        </w:rPr>
        <w:t xml:space="preserve"> </w:t>
      </w:r>
      <w:r w:rsidR="00C84D2D">
        <w:rPr>
          <w:rFonts w:ascii="Times New Roman" w:hAnsi="Times New Roman" w:cs="Times New Roman"/>
          <w:sz w:val="24"/>
          <w:szCs w:val="24"/>
        </w:rPr>
        <w:t xml:space="preserve">i njegova primjena te </w:t>
      </w:r>
      <w:r w:rsidR="00646CBC" w:rsidRPr="00646CBC">
        <w:rPr>
          <w:rFonts w:ascii="Times New Roman" w:hAnsi="Times New Roman" w:cs="Times New Roman"/>
          <w:sz w:val="24"/>
          <w:szCs w:val="24"/>
        </w:rPr>
        <w:t>Udruga ima svrhu jačan</w:t>
      </w:r>
      <w:r w:rsidR="00D86910">
        <w:rPr>
          <w:rFonts w:ascii="Times New Roman" w:hAnsi="Times New Roman" w:cs="Times New Roman"/>
          <w:sz w:val="24"/>
          <w:szCs w:val="24"/>
        </w:rPr>
        <w:t>ja konkurentnosti i izvrsnosti korisnika prava označavanja</w:t>
      </w:r>
      <w:r w:rsidR="00506069">
        <w:rPr>
          <w:rFonts w:ascii="Times New Roman" w:hAnsi="Times New Roman" w:cs="Times New Roman"/>
          <w:sz w:val="24"/>
          <w:szCs w:val="24"/>
        </w:rPr>
        <w:t xml:space="preserve"> oznakom</w:t>
      </w:r>
      <w:r w:rsidR="00646CBC" w:rsidRPr="00646CBC">
        <w:rPr>
          <w:rFonts w:ascii="Times New Roman" w:hAnsi="Times New Roman" w:cs="Times New Roman"/>
          <w:sz w:val="24"/>
          <w:szCs w:val="24"/>
        </w:rPr>
        <w:t xml:space="preserve"> </w:t>
      </w:r>
      <w:r w:rsidR="00506069">
        <w:rPr>
          <w:rFonts w:ascii="Times New Roman" w:hAnsi="Times New Roman" w:cs="Times New Roman"/>
          <w:sz w:val="24"/>
          <w:szCs w:val="24"/>
        </w:rPr>
        <w:t>HOP</w:t>
      </w:r>
      <w:r w:rsidR="00646CBC" w:rsidRPr="00646CBC">
        <w:rPr>
          <w:rFonts w:ascii="Times New Roman" w:hAnsi="Times New Roman" w:cs="Times New Roman"/>
          <w:sz w:val="24"/>
          <w:szCs w:val="24"/>
        </w:rPr>
        <w:t xml:space="preserve"> putem umrežavanja svih relevantnih čimbenika javnog,</w:t>
      </w:r>
      <w:r w:rsidR="00506069">
        <w:rPr>
          <w:rFonts w:ascii="Times New Roman" w:hAnsi="Times New Roman" w:cs="Times New Roman"/>
          <w:sz w:val="24"/>
          <w:szCs w:val="24"/>
        </w:rPr>
        <w:t xml:space="preserve"> </w:t>
      </w:r>
      <w:r w:rsidR="00646CBC" w:rsidRPr="00646CBC">
        <w:rPr>
          <w:rFonts w:ascii="Times New Roman" w:hAnsi="Times New Roman" w:cs="Times New Roman"/>
          <w:sz w:val="24"/>
          <w:szCs w:val="24"/>
        </w:rPr>
        <w:t>privatnog i zna</w:t>
      </w:r>
      <w:r w:rsidR="00506069">
        <w:rPr>
          <w:rFonts w:ascii="Times New Roman" w:hAnsi="Times New Roman" w:cs="Times New Roman"/>
          <w:sz w:val="24"/>
          <w:szCs w:val="24"/>
        </w:rPr>
        <w:t>n</w:t>
      </w:r>
      <w:r w:rsidR="00646CBC" w:rsidRPr="00646CBC">
        <w:rPr>
          <w:rFonts w:ascii="Times New Roman" w:hAnsi="Times New Roman" w:cs="Times New Roman"/>
          <w:sz w:val="24"/>
          <w:szCs w:val="24"/>
        </w:rPr>
        <w:t>stveno-istraživačkog sektora.</w:t>
      </w:r>
      <w:r w:rsidR="00646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BFEAD" w14:textId="77777777" w:rsidR="00F47318" w:rsidRPr="00646CBC" w:rsidRDefault="00F47318" w:rsidP="003D18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CBC">
        <w:rPr>
          <w:rFonts w:ascii="Times New Roman" w:hAnsi="Times New Roman" w:cs="Times New Roman"/>
          <w:sz w:val="24"/>
          <w:szCs w:val="24"/>
        </w:rPr>
        <w:br w:type="page"/>
      </w:r>
    </w:p>
    <w:p w14:paraId="5315E19A" w14:textId="7C50AF90" w:rsidR="00B94536" w:rsidRPr="000C4FA7" w:rsidRDefault="001D6336" w:rsidP="00A1446A">
      <w:pPr>
        <w:pStyle w:val="Heading1"/>
        <w:numPr>
          <w:ilvl w:val="0"/>
          <w:numId w:val="33"/>
        </w:numPr>
      </w:pPr>
      <w:bookmarkStart w:id="8" w:name="_Toc21599068"/>
      <w:r w:rsidRPr="000C4FA7">
        <w:lastRenderedPageBreak/>
        <w:t>PRAVN</w:t>
      </w:r>
      <w:r w:rsidR="009801D0" w:rsidRPr="000C4FA7">
        <w:t>I</w:t>
      </w:r>
      <w:r w:rsidR="009825A0" w:rsidRPr="000C4FA7">
        <w:t xml:space="preserve"> I </w:t>
      </w:r>
      <w:r w:rsidR="00FF20CB" w:rsidRPr="000C4FA7">
        <w:t>STRATEŠKI</w:t>
      </w:r>
      <w:r w:rsidR="009801D0" w:rsidRPr="000C4FA7">
        <w:t xml:space="preserve"> OKVIR</w:t>
      </w:r>
      <w:r w:rsidR="004402EF" w:rsidRPr="000C4FA7">
        <w:t xml:space="preserve"> PROGRAMA „HRVATSKI OTOČNI PROIZVOD“</w:t>
      </w:r>
      <w:r w:rsidR="00544A10" w:rsidRPr="000C4FA7">
        <w:t xml:space="preserve">, </w:t>
      </w:r>
      <w:r w:rsidR="00D071FB" w:rsidRPr="000C4FA7">
        <w:t>DIONICI</w:t>
      </w:r>
      <w:r w:rsidR="00392307" w:rsidRPr="000C4FA7">
        <w:t xml:space="preserve"> PROGRAMA </w:t>
      </w:r>
      <w:r w:rsidR="00544A10" w:rsidRPr="000C4FA7">
        <w:t>I</w:t>
      </w:r>
      <w:r w:rsidR="00392307" w:rsidRPr="000C4FA7">
        <w:t xml:space="preserve"> </w:t>
      </w:r>
      <w:r w:rsidR="00153EDC" w:rsidRPr="000C4FA7">
        <w:t>I</w:t>
      </w:r>
      <w:r w:rsidR="00544A10" w:rsidRPr="000C4FA7">
        <w:t>ZVOR FINANCIRANJA</w:t>
      </w:r>
      <w:bookmarkEnd w:id="8"/>
    </w:p>
    <w:p w14:paraId="097CB7FA" w14:textId="77777777" w:rsidR="001D6336" w:rsidRDefault="001D6336" w:rsidP="004402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AA9BEF" w14:textId="77777777" w:rsidR="0054347F" w:rsidRPr="00EA5671" w:rsidRDefault="00A4790E" w:rsidP="003C616C">
      <w:pPr>
        <w:pStyle w:val="Heading2"/>
        <w:rPr>
          <w:rStyle w:val="defaultparagraphfont-000091"/>
          <w:b w:val="0"/>
        </w:rPr>
      </w:pPr>
      <w:r w:rsidRPr="00EA5671">
        <w:rPr>
          <w:rStyle w:val="defaultparagraphfont-000091"/>
        </w:rPr>
        <w:t>Pravni i strateški okvir</w:t>
      </w:r>
    </w:p>
    <w:p w14:paraId="7C2CD672" w14:textId="77777777" w:rsidR="00FB0A7B" w:rsidRPr="00555468" w:rsidRDefault="0054347F" w:rsidP="00B77C6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9" w:name="_Hlk20736610"/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Zakon o otocima stupio je na snagu 29. prosinca 2018. godine </w:t>
      </w:r>
      <w:r w:rsidR="009679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(„Narodne novine“, broj 116/18) 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ostvarenje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novi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smjernic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regionalne i otočne politike definiranih Programom Vlade 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epublike 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rvatske 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mandat 2016. - 2020.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(prije svega poglavlje 8. </w:t>
      </w:r>
      <w:r w:rsidRPr="0055546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Ravnomjeran razvoj svih krajeva Hrvatske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  <w:r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5BB5"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Ministarstvo </w:t>
      </w:r>
      <w:r w:rsidR="000F5B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</w:t>
      </w:r>
      <w:r w:rsidR="000F5BB5" w:rsidRPr="00677A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izradilo novi Zakon o otocima s namjerom jačanja i uvođenja suvremenih mehanizama i novih rješenja za poticanje politike otočnog razvoja u skladu s općim ciljevima razvojne i gospodarske politike Republike Hrvatske i odgovarajućim politikama na razini Europske unije. </w:t>
      </w:r>
    </w:p>
    <w:p w14:paraId="5F2BBD36" w14:textId="77777777" w:rsidR="00E03C44" w:rsidRPr="00B2709A" w:rsidRDefault="009801D0" w:rsidP="00B77C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efaultparagraphfont-000091"/>
        </w:rPr>
        <w:t xml:space="preserve">Polazeći od održivog razvoja otoka kao </w:t>
      </w:r>
      <w:r w:rsidR="0054347F">
        <w:rPr>
          <w:rStyle w:val="defaultparagraphfont-000091"/>
        </w:rPr>
        <w:t xml:space="preserve">temeljne </w:t>
      </w:r>
      <w:r>
        <w:rPr>
          <w:rStyle w:val="defaultparagraphfont-000091"/>
        </w:rPr>
        <w:t>svrhe Zakona</w:t>
      </w:r>
      <w:r w:rsidR="000F5BB5">
        <w:rPr>
          <w:rStyle w:val="defaultparagraphfont-000091"/>
        </w:rPr>
        <w:t xml:space="preserve">, </w:t>
      </w:r>
      <w:r>
        <w:rPr>
          <w:rStyle w:val="defaultparagraphfont-000091"/>
        </w:rPr>
        <w:t xml:space="preserve">između ostalih općih ciljeva, </w:t>
      </w:r>
      <w:r w:rsidR="00FF20CB">
        <w:rPr>
          <w:rStyle w:val="defaultparagraphfont-000091"/>
        </w:rPr>
        <w:t>on pretpostavlja i</w:t>
      </w:r>
      <w:r>
        <w:rPr>
          <w:rStyle w:val="defaultparagraphfont-000091"/>
        </w:rPr>
        <w:t xml:space="preserve"> stabilan gospodarski razvoj otoka</w:t>
      </w:r>
      <w:r w:rsidR="00FF20CB">
        <w:rPr>
          <w:rStyle w:val="defaultparagraphfont-000091"/>
        </w:rPr>
        <w:t xml:space="preserve"> te je </w:t>
      </w:r>
      <w:r w:rsidR="000F5BB5">
        <w:rPr>
          <w:rStyle w:val="defaultparagraphfont-000091"/>
        </w:rPr>
        <w:t>određeno</w:t>
      </w:r>
      <w:r w:rsidR="00FF20CB">
        <w:rPr>
          <w:rStyle w:val="defaultparagraphfont-000091"/>
        </w:rPr>
        <w:t xml:space="preserve"> poticanje djelatnosti koje su od važnosti za gospodarski razvoj otoka, između kojih je i proizvodnja i prerada proizvoda s oznakom HOP.</w:t>
      </w:r>
      <w:r w:rsidR="00F15804">
        <w:rPr>
          <w:rStyle w:val="defaultparagraphfont-000091"/>
        </w:rPr>
        <w:t xml:space="preserve"> </w:t>
      </w:r>
      <w:r w:rsidR="00FF20CB">
        <w:rPr>
          <w:rStyle w:val="defaultparagraphfont-000091"/>
        </w:rPr>
        <w:t>U tom smislu, č</w:t>
      </w:r>
      <w:r w:rsidR="00277839" w:rsidRPr="00B2709A">
        <w:rPr>
          <w:rFonts w:ascii="Times New Roman" w:hAnsi="Times New Roman" w:cs="Times New Roman"/>
          <w:sz w:val="24"/>
          <w:szCs w:val="24"/>
        </w:rPr>
        <w:t>lankom 36. Zakona određeno j</w:t>
      </w:r>
      <w:r w:rsidR="002855F8">
        <w:rPr>
          <w:rFonts w:ascii="Times New Roman" w:hAnsi="Times New Roman" w:cs="Times New Roman"/>
          <w:sz w:val="24"/>
          <w:szCs w:val="24"/>
        </w:rPr>
        <w:t>e kako je Ministarstvo nositelj</w:t>
      </w:r>
      <w:r w:rsidR="00277839" w:rsidRPr="00B2709A">
        <w:rPr>
          <w:rFonts w:ascii="Times New Roman" w:hAnsi="Times New Roman" w:cs="Times New Roman"/>
          <w:sz w:val="24"/>
          <w:szCs w:val="24"/>
        </w:rPr>
        <w:t xml:space="preserve"> Programa „Hrvatski otočni proizvod“ </w:t>
      </w:r>
      <w:r w:rsidR="00277839">
        <w:rPr>
          <w:rFonts w:ascii="Times New Roman" w:hAnsi="Times New Roman" w:cs="Times New Roman"/>
          <w:sz w:val="24"/>
          <w:szCs w:val="24"/>
        </w:rPr>
        <w:t>(u daljnjem tekstu: Program</w:t>
      </w:r>
      <w:r w:rsidR="00ED13DC">
        <w:rPr>
          <w:rFonts w:ascii="Times New Roman" w:hAnsi="Times New Roman" w:cs="Times New Roman"/>
          <w:sz w:val="24"/>
          <w:szCs w:val="24"/>
        </w:rPr>
        <w:t xml:space="preserve"> HOP</w:t>
      </w:r>
      <w:r w:rsidR="00277839">
        <w:rPr>
          <w:rFonts w:ascii="Times New Roman" w:hAnsi="Times New Roman" w:cs="Times New Roman"/>
          <w:sz w:val="24"/>
          <w:szCs w:val="24"/>
        </w:rPr>
        <w:t xml:space="preserve">) </w:t>
      </w:r>
      <w:r w:rsidR="00277839" w:rsidRPr="00B2709A">
        <w:rPr>
          <w:rFonts w:ascii="Times New Roman" w:hAnsi="Times New Roman" w:cs="Times New Roman"/>
          <w:sz w:val="24"/>
          <w:szCs w:val="24"/>
        </w:rPr>
        <w:t>koji će sadržavati mjere i aktivnosti za njegovo provođenje</w:t>
      </w:r>
      <w:r w:rsidR="00970260">
        <w:rPr>
          <w:rFonts w:ascii="Times New Roman" w:hAnsi="Times New Roman" w:cs="Times New Roman"/>
          <w:sz w:val="24"/>
          <w:szCs w:val="24"/>
        </w:rPr>
        <w:t>.</w:t>
      </w:r>
      <w:r w:rsidR="00F15804">
        <w:rPr>
          <w:rFonts w:ascii="Times New Roman" w:hAnsi="Times New Roman" w:cs="Times New Roman"/>
          <w:sz w:val="24"/>
          <w:szCs w:val="24"/>
        </w:rPr>
        <w:t xml:space="preserve"> Ujedno, Program</w:t>
      </w:r>
      <w:r w:rsidR="00ED13DC">
        <w:rPr>
          <w:rFonts w:ascii="Times New Roman" w:hAnsi="Times New Roman" w:cs="Times New Roman"/>
          <w:sz w:val="24"/>
          <w:szCs w:val="24"/>
        </w:rPr>
        <w:t xml:space="preserve"> HOP</w:t>
      </w:r>
      <w:r w:rsidR="00F15804">
        <w:rPr>
          <w:rFonts w:ascii="Times New Roman" w:hAnsi="Times New Roman" w:cs="Times New Roman"/>
          <w:sz w:val="24"/>
          <w:szCs w:val="24"/>
        </w:rPr>
        <w:t xml:space="preserve"> se izrađuje i u skladu s odrednic</w:t>
      </w:r>
      <w:r w:rsidR="0081130F">
        <w:rPr>
          <w:rFonts w:ascii="Times New Roman" w:hAnsi="Times New Roman" w:cs="Times New Roman"/>
          <w:sz w:val="24"/>
          <w:szCs w:val="24"/>
        </w:rPr>
        <w:t>ama</w:t>
      </w:r>
      <w:r w:rsidR="00F15804">
        <w:rPr>
          <w:rFonts w:ascii="Times New Roman" w:hAnsi="Times New Roman" w:cs="Times New Roman"/>
          <w:sz w:val="24"/>
          <w:szCs w:val="24"/>
        </w:rPr>
        <w:t xml:space="preserve"> Deklaracije o pametnim otocima, koju je akceptirao i Zakon, koj</w:t>
      </w:r>
      <w:r w:rsidR="0081130F">
        <w:rPr>
          <w:rFonts w:ascii="Times New Roman" w:hAnsi="Times New Roman" w:cs="Times New Roman"/>
          <w:sz w:val="24"/>
          <w:szCs w:val="24"/>
        </w:rPr>
        <w:t>ima</w:t>
      </w:r>
      <w:r w:rsidR="00F15804">
        <w:rPr>
          <w:rFonts w:ascii="Times New Roman" w:hAnsi="Times New Roman" w:cs="Times New Roman"/>
          <w:sz w:val="24"/>
          <w:szCs w:val="24"/>
        </w:rPr>
        <w:t xml:space="preserve"> se potiču </w:t>
      </w:r>
      <w:r w:rsidR="0081130F">
        <w:rPr>
          <w:rFonts w:ascii="Times New Roman" w:hAnsi="Times New Roman" w:cs="Times New Roman"/>
          <w:sz w:val="24"/>
          <w:szCs w:val="24"/>
        </w:rPr>
        <w:t>aktivnosti</w:t>
      </w:r>
      <w:r w:rsidR="00F15804">
        <w:rPr>
          <w:rFonts w:ascii="Times New Roman" w:hAnsi="Times New Roman" w:cs="Times New Roman"/>
          <w:sz w:val="24"/>
          <w:szCs w:val="24"/>
        </w:rPr>
        <w:t xml:space="preserve"> u cilju </w:t>
      </w:r>
      <w:r w:rsidR="002C4828">
        <w:rPr>
          <w:rFonts w:ascii="Times New Roman" w:hAnsi="Times New Roman" w:cs="Times New Roman"/>
          <w:sz w:val="24"/>
          <w:szCs w:val="24"/>
        </w:rPr>
        <w:t>diversifikacije</w:t>
      </w:r>
      <w:r w:rsidR="00F15804">
        <w:rPr>
          <w:rFonts w:ascii="Times New Roman" w:hAnsi="Times New Roman" w:cs="Times New Roman"/>
          <w:sz w:val="24"/>
          <w:szCs w:val="24"/>
        </w:rPr>
        <w:t xml:space="preserve"> otočnog gospodarstva iskorištavanjem posebnosti otoka u stvaranju novih i inovativnih lokalnih djelatnosti</w:t>
      </w:r>
      <w:r w:rsidR="0081130F">
        <w:rPr>
          <w:rFonts w:ascii="Times New Roman" w:hAnsi="Times New Roman" w:cs="Times New Roman"/>
          <w:sz w:val="24"/>
          <w:szCs w:val="24"/>
        </w:rPr>
        <w:t xml:space="preserve"> te očuvanje karakteristične prirodne i kulturne baštine.</w:t>
      </w:r>
    </w:p>
    <w:p w14:paraId="2C06ACBE" w14:textId="77777777" w:rsidR="00133404" w:rsidRPr="00364203" w:rsidRDefault="00133404" w:rsidP="00B77C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430996"/>
      <w:r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Programom</w:t>
      </w:r>
      <w:r w:rsidR="00ED1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 se želi pozicionirati</w:t>
      </w:r>
      <w:r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oznak</w:t>
      </w:r>
      <w:r w:rsidR="00D717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 kao regionaln</w:t>
      </w:r>
      <w:r w:rsidR="00D717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oznaka </w:t>
      </w:r>
      <w:r w:rsidR="0038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cilju</w:t>
      </w:r>
      <w:r w:rsidR="004B2973"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jačanj</w:t>
      </w:r>
      <w:r w:rsidR="0038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4B2973"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otočnog identiteta i njegov</w:t>
      </w:r>
      <w:r w:rsidR="0038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4B2973"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promocij</w:t>
      </w:r>
      <w:r w:rsidR="0038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7033D7"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očuvanj</w:t>
      </w:r>
      <w:r w:rsidR="003C73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7033D7"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8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tradicije i </w:t>
      </w:r>
      <w:r w:rsidR="007033D7" w:rsidRPr="00364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baštine</w:t>
      </w:r>
      <w:r w:rsidR="00386C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 poticanja i promocije otočne proizvodnje. </w:t>
      </w:r>
      <w:r w:rsidR="00344A3B" w:rsidRPr="00364203">
        <w:rPr>
          <w:rFonts w:ascii="Times New Roman" w:hAnsi="Times New Roman" w:cs="Times New Roman"/>
          <w:sz w:val="24"/>
          <w:szCs w:val="24"/>
        </w:rPr>
        <w:t>Oznak</w:t>
      </w:r>
      <w:r w:rsidR="00386CF2">
        <w:rPr>
          <w:rFonts w:ascii="Times New Roman" w:hAnsi="Times New Roman" w:cs="Times New Roman"/>
          <w:sz w:val="24"/>
          <w:szCs w:val="24"/>
        </w:rPr>
        <w:t>a</w:t>
      </w:r>
      <w:r w:rsidR="00344A3B" w:rsidRPr="00364203">
        <w:rPr>
          <w:rFonts w:ascii="Times New Roman" w:hAnsi="Times New Roman" w:cs="Times New Roman"/>
          <w:sz w:val="24"/>
          <w:szCs w:val="24"/>
        </w:rPr>
        <w:t xml:space="preserve"> </w:t>
      </w:r>
      <w:r w:rsidR="00D717CD">
        <w:rPr>
          <w:rFonts w:ascii="Times New Roman" w:hAnsi="Times New Roman" w:cs="Times New Roman"/>
          <w:sz w:val="24"/>
          <w:szCs w:val="24"/>
        </w:rPr>
        <w:t>HOP</w:t>
      </w:r>
      <w:r w:rsidR="00344A3B" w:rsidRPr="00364203">
        <w:rPr>
          <w:rFonts w:ascii="Times New Roman" w:hAnsi="Times New Roman" w:cs="Times New Roman"/>
          <w:sz w:val="24"/>
          <w:szCs w:val="24"/>
        </w:rPr>
        <w:t xml:space="preserve"> je </w:t>
      </w:r>
      <w:r w:rsidR="00386CF2">
        <w:rPr>
          <w:rFonts w:ascii="Times New Roman" w:hAnsi="Times New Roman" w:cs="Times New Roman"/>
          <w:sz w:val="24"/>
          <w:szCs w:val="24"/>
        </w:rPr>
        <w:t>namijenjena</w:t>
      </w:r>
      <w:r w:rsidR="00344A3B" w:rsidRPr="00364203">
        <w:rPr>
          <w:rFonts w:ascii="Times New Roman" w:hAnsi="Times New Roman" w:cs="Times New Roman"/>
          <w:sz w:val="24"/>
          <w:szCs w:val="24"/>
        </w:rPr>
        <w:t xml:space="preserve"> otočni</w:t>
      </w:r>
      <w:r w:rsidR="00386CF2">
        <w:rPr>
          <w:rFonts w:ascii="Times New Roman" w:hAnsi="Times New Roman" w:cs="Times New Roman"/>
          <w:sz w:val="24"/>
          <w:szCs w:val="24"/>
        </w:rPr>
        <w:t>m</w:t>
      </w:r>
      <w:r w:rsidR="00344A3B" w:rsidRPr="00364203">
        <w:rPr>
          <w:rFonts w:ascii="Times New Roman" w:hAnsi="Times New Roman" w:cs="Times New Roman"/>
          <w:sz w:val="24"/>
          <w:szCs w:val="24"/>
        </w:rPr>
        <w:t xml:space="preserve"> </w:t>
      </w:r>
      <w:r w:rsidR="005D77EF">
        <w:rPr>
          <w:rFonts w:ascii="Times New Roman" w:hAnsi="Times New Roman" w:cs="Times New Roman"/>
          <w:sz w:val="24"/>
          <w:szCs w:val="24"/>
        </w:rPr>
        <w:t>subjektima</w:t>
      </w:r>
      <w:r w:rsidR="00344A3B" w:rsidRPr="00364203">
        <w:rPr>
          <w:rFonts w:ascii="Times New Roman" w:hAnsi="Times New Roman" w:cs="Times New Roman"/>
          <w:sz w:val="24"/>
          <w:szCs w:val="24"/>
        </w:rPr>
        <w:t>, odnosno pravn</w:t>
      </w:r>
      <w:r w:rsidR="00386CF2">
        <w:rPr>
          <w:rFonts w:ascii="Times New Roman" w:hAnsi="Times New Roman" w:cs="Times New Roman"/>
          <w:sz w:val="24"/>
          <w:szCs w:val="24"/>
        </w:rPr>
        <w:t>im</w:t>
      </w:r>
      <w:r w:rsidR="00344A3B" w:rsidRPr="00364203">
        <w:rPr>
          <w:rFonts w:ascii="Times New Roman" w:hAnsi="Times New Roman" w:cs="Times New Roman"/>
          <w:sz w:val="24"/>
          <w:szCs w:val="24"/>
        </w:rPr>
        <w:t xml:space="preserve"> i fizičk</w:t>
      </w:r>
      <w:r w:rsidR="00386CF2">
        <w:rPr>
          <w:rFonts w:ascii="Times New Roman" w:hAnsi="Times New Roman" w:cs="Times New Roman"/>
          <w:sz w:val="24"/>
          <w:szCs w:val="24"/>
        </w:rPr>
        <w:t>im</w:t>
      </w:r>
      <w:r w:rsidR="00344A3B" w:rsidRPr="00364203">
        <w:rPr>
          <w:rFonts w:ascii="Times New Roman" w:hAnsi="Times New Roman" w:cs="Times New Roman"/>
          <w:sz w:val="24"/>
          <w:szCs w:val="24"/>
        </w:rPr>
        <w:t xml:space="preserve"> osob</w:t>
      </w:r>
      <w:r w:rsidR="00F3792A">
        <w:rPr>
          <w:rFonts w:ascii="Times New Roman" w:hAnsi="Times New Roman" w:cs="Times New Roman"/>
          <w:sz w:val="24"/>
          <w:szCs w:val="24"/>
        </w:rPr>
        <w:t>ama</w:t>
      </w:r>
      <w:r w:rsidR="00D717CD">
        <w:rPr>
          <w:rFonts w:ascii="Times New Roman" w:hAnsi="Times New Roman" w:cs="Times New Roman"/>
          <w:sz w:val="24"/>
          <w:szCs w:val="24"/>
        </w:rPr>
        <w:t xml:space="preserve"> – obrtnicima, obiteljsko poljoprivrednim gospodarstvima, domaćoj radinosti, sporednim zanimanjima i dr.</w:t>
      </w:r>
      <w:r w:rsidR="00F3792A">
        <w:rPr>
          <w:rFonts w:ascii="Times New Roman" w:hAnsi="Times New Roman" w:cs="Times New Roman"/>
          <w:sz w:val="24"/>
          <w:szCs w:val="24"/>
        </w:rPr>
        <w:t xml:space="preserve"> koje </w:t>
      </w:r>
      <w:r w:rsidR="0090016F">
        <w:rPr>
          <w:rFonts w:ascii="Times New Roman" w:hAnsi="Times New Roman" w:cs="Times New Roman"/>
          <w:sz w:val="24"/>
          <w:szCs w:val="24"/>
        </w:rPr>
        <w:t xml:space="preserve">registriranu djelatnost obavljaju na otocima i koji </w:t>
      </w:r>
      <w:r w:rsidR="00051E4E">
        <w:rPr>
          <w:rFonts w:ascii="Times New Roman" w:hAnsi="Times New Roman" w:cs="Times New Roman"/>
          <w:sz w:val="24"/>
          <w:szCs w:val="24"/>
        </w:rPr>
        <w:t>imaju sjedište na otocima</w:t>
      </w:r>
      <w:r w:rsidR="005D77EF">
        <w:rPr>
          <w:rFonts w:ascii="Times New Roman" w:hAnsi="Times New Roman" w:cs="Times New Roman"/>
          <w:sz w:val="24"/>
          <w:szCs w:val="24"/>
        </w:rPr>
        <w:t xml:space="preserve"> te </w:t>
      </w:r>
      <w:r w:rsidR="00782A8C">
        <w:rPr>
          <w:rFonts w:ascii="Times New Roman" w:hAnsi="Times New Roman" w:cs="Times New Roman"/>
          <w:sz w:val="24"/>
          <w:szCs w:val="24"/>
        </w:rPr>
        <w:t xml:space="preserve">pravnim i </w:t>
      </w:r>
      <w:r w:rsidR="005D77EF">
        <w:rPr>
          <w:rFonts w:ascii="Times New Roman" w:hAnsi="Times New Roman" w:cs="Times New Roman"/>
          <w:sz w:val="24"/>
          <w:szCs w:val="24"/>
        </w:rPr>
        <w:t>fizičkim osobama koj</w:t>
      </w:r>
      <w:r w:rsidR="00D717CD">
        <w:rPr>
          <w:rFonts w:ascii="Times New Roman" w:hAnsi="Times New Roman" w:cs="Times New Roman"/>
          <w:sz w:val="24"/>
          <w:szCs w:val="24"/>
        </w:rPr>
        <w:t>e</w:t>
      </w:r>
      <w:r w:rsidR="005D77EF">
        <w:rPr>
          <w:rFonts w:ascii="Times New Roman" w:hAnsi="Times New Roman" w:cs="Times New Roman"/>
          <w:sz w:val="24"/>
          <w:szCs w:val="24"/>
        </w:rPr>
        <w:t xml:space="preserve"> su nositelji nematerijalnog kulturnog dobra sukladno posebnom propisu koji uređuje zaštitu kulturnih dobara.</w:t>
      </w:r>
    </w:p>
    <w:p w14:paraId="171DACA0" w14:textId="77777777" w:rsidR="0054347F" w:rsidRPr="00A26342" w:rsidRDefault="0054347F" w:rsidP="00B77C6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Programom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utvrđuju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ciljevi te 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mjere</w:t>
      </w:r>
      <w:r w:rsidR="000205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aktivnosti provedbe Programa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205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korisnici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izvori sredstava, te </w:t>
      </w:r>
      <w:r w:rsidR="000205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način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praćenja i vrednovanja provedbe pojedinih mjera. </w:t>
      </w:r>
      <w:r w:rsidRPr="00A26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Svrha izrade Programa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</w:t>
      </w:r>
      <w:r w:rsidRPr="00A263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je kreiranje višegodišnjeg programskog okvira za djelovanje Ministarstva u cilju doprinosa</w:t>
      </w:r>
      <w:r w:rsidR="000205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održivom razvoju otoka</w:t>
      </w:r>
      <w:r w:rsidR="00F379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7522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970260">
        <w:rPr>
          <w:rFonts w:ascii="Times New Roman" w:hAnsi="Times New Roman" w:cs="Times New Roman"/>
          <w:sz w:val="24"/>
          <w:szCs w:val="24"/>
        </w:rPr>
        <w:t xml:space="preserve">ačin provedbe </w:t>
      </w:r>
      <w:r w:rsidR="00F3792A">
        <w:rPr>
          <w:rFonts w:ascii="Times New Roman" w:hAnsi="Times New Roman" w:cs="Times New Roman"/>
          <w:sz w:val="24"/>
          <w:szCs w:val="24"/>
        </w:rPr>
        <w:t>Programa</w:t>
      </w:r>
      <w:r w:rsidR="00E2091D">
        <w:rPr>
          <w:rFonts w:ascii="Times New Roman" w:hAnsi="Times New Roman" w:cs="Times New Roman"/>
          <w:sz w:val="24"/>
          <w:szCs w:val="24"/>
        </w:rPr>
        <w:t xml:space="preserve"> HOP</w:t>
      </w:r>
      <w:r w:rsidR="00F3792A">
        <w:rPr>
          <w:rFonts w:ascii="Times New Roman" w:hAnsi="Times New Roman" w:cs="Times New Roman"/>
          <w:sz w:val="24"/>
          <w:szCs w:val="24"/>
        </w:rPr>
        <w:t xml:space="preserve"> </w:t>
      </w:r>
      <w:r w:rsidR="00970260">
        <w:rPr>
          <w:rFonts w:ascii="Times New Roman" w:hAnsi="Times New Roman" w:cs="Times New Roman"/>
          <w:sz w:val="24"/>
          <w:szCs w:val="24"/>
        </w:rPr>
        <w:t xml:space="preserve">propisati će se Pravilnikom o </w:t>
      </w:r>
      <w:r w:rsidR="00ED13DC">
        <w:rPr>
          <w:rFonts w:ascii="Times New Roman" w:hAnsi="Times New Roman" w:cs="Times New Roman"/>
          <w:sz w:val="24"/>
          <w:szCs w:val="24"/>
        </w:rPr>
        <w:t>načinu provođenja</w:t>
      </w:r>
      <w:r w:rsidR="00970260">
        <w:rPr>
          <w:rFonts w:ascii="Times New Roman" w:hAnsi="Times New Roman" w:cs="Times New Roman"/>
          <w:sz w:val="24"/>
          <w:szCs w:val="24"/>
        </w:rPr>
        <w:t xml:space="preserve"> mjera i aktivnosti Programa</w:t>
      </w:r>
      <w:r w:rsidR="00E2091D">
        <w:rPr>
          <w:rFonts w:ascii="Times New Roman" w:hAnsi="Times New Roman" w:cs="Times New Roman"/>
          <w:sz w:val="24"/>
          <w:szCs w:val="24"/>
        </w:rPr>
        <w:t xml:space="preserve"> HOP</w:t>
      </w:r>
      <w:r w:rsidR="0075226D">
        <w:rPr>
          <w:rFonts w:ascii="Times New Roman" w:hAnsi="Times New Roman" w:cs="Times New Roman"/>
          <w:sz w:val="24"/>
          <w:szCs w:val="24"/>
        </w:rPr>
        <w:t>, sukladno članku 36.</w:t>
      </w:r>
      <w:r w:rsidR="0085617A">
        <w:rPr>
          <w:rFonts w:ascii="Times New Roman" w:hAnsi="Times New Roman" w:cs="Times New Roman"/>
          <w:sz w:val="24"/>
          <w:szCs w:val="24"/>
        </w:rPr>
        <w:t xml:space="preserve"> stavak 4.</w:t>
      </w:r>
      <w:r w:rsidR="0075226D">
        <w:rPr>
          <w:rFonts w:ascii="Times New Roman" w:hAnsi="Times New Roman" w:cs="Times New Roman"/>
          <w:sz w:val="24"/>
          <w:szCs w:val="24"/>
        </w:rPr>
        <w:t xml:space="preserve"> Zakona.</w:t>
      </w:r>
    </w:p>
    <w:bookmarkEnd w:id="9"/>
    <w:p w14:paraId="6874210F" w14:textId="77777777" w:rsidR="00C84853" w:rsidRDefault="00C84853" w:rsidP="000205B1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25195C" w14:textId="77777777" w:rsidR="00A4790E" w:rsidRPr="003C616C" w:rsidRDefault="00B77C6F" w:rsidP="003C616C">
      <w:pPr>
        <w:pStyle w:val="Heading2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</w:rPr>
        <w:t>D</w:t>
      </w:r>
      <w:r w:rsidR="0054029E" w:rsidRPr="003C616C">
        <w:rPr>
          <w:rFonts w:ascii="Times New Roman" w:hAnsi="Times New Roman" w:cs="Times New Roman"/>
        </w:rPr>
        <w:t>ionici</w:t>
      </w:r>
      <w:r w:rsidR="00A4790E" w:rsidRPr="003C616C">
        <w:rPr>
          <w:rFonts w:ascii="Times New Roman" w:hAnsi="Times New Roman" w:cs="Times New Roman"/>
        </w:rPr>
        <w:t xml:space="preserve"> Programa HOP</w:t>
      </w:r>
    </w:p>
    <w:p w14:paraId="0C4AC141" w14:textId="77777777" w:rsidR="00171F1A" w:rsidRPr="007F749B" w:rsidRDefault="00D1391D" w:rsidP="00B77C6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Nositelj Programa HOP je Ministarstvo</w:t>
      </w:r>
      <w:r w:rsidR="00737D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 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temeljn</w:t>
      </w:r>
      <w:r w:rsidR="001A451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</w:t>
      </w:r>
      <w:r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zadać</w:t>
      </w:r>
      <w:r w:rsidR="001A451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ama</w:t>
      </w:r>
      <w:r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izrade 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Programa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Pravilnika o </w:t>
      </w:r>
      <w:r w:rsidR="00ED13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načinu provođenja 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mjera i aktivnosti Programa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osigurava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nja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financijsk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ih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sredst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ava</w:t>
      </w:r>
      <w:r w:rsidR="007E7AAF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njegovu provedbu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pokre</w:t>
      </w:r>
      <w:r w:rsidR="00901CD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tanj</w:t>
      </w:r>
      <w:r w:rsidR="001A451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organiz</w:t>
      </w:r>
      <w:r w:rsidR="00901CD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iranj</w:t>
      </w:r>
      <w:r w:rsidR="001A451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suradnj</w:t>
      </w:r>
      <w:r w:rsidR="00901CD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171F1A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 svim drugim dionicima u provedbi Programa HOP</w:t>
      </w:r>
      <w:r w:rsidR="00901CD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pružanj</w:t>
      </w:r>
      <w:r w:rsidR="001A451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901CD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podrške korisnicima</w:t>
      </w:r>
      <w:r w:rsidR="00362C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administrativne i terenske kontrole u provedbi mjera</w:t>
      </w:r>
      <w:r w:rsidR="00901CD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</w:t>
      </w:r>
      <w:r w:rsidR="001A4518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jačanja vidljivosti Programa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HOP</w:t>
      </w:r>
      <w:r w:rsidR="007F749B" w:rsidRPr="007F74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F273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potrebe </w:t>
      </w:r>
      <w:r w:rsidR="00BF6C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osiguravanja </w:t>
      </w:r>
      <w:r w:rsidR="009B58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stručnog </w:t>
      </w:r>
      <w:r w:rsidR="009B58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praćenja </w:t>
      </w:r>
      <w:r w:rsidR="00107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provedbe mjera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Programa HOP</w:t>
      </w:r>
      <w:r w:rsidR="00E668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dijelu dodjele prava korištenja oznake HOP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Ministarstvo će </w:t>
      </w:r>
      <w:r w:rsidR="00107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osnovati</w:t>
      </w:r>
      <w:r w:rsidR="00E209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D17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stručna</w:t>
      </w:r>
      <w:r w:rsidR="001077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povjerenstva</w:t>
      </w:r>
      <w:r w:rsidR="00BF6C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D17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pojedine grupe proizvoda</w:t>
      </w:r>
      <w:r w:rsidR="00270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E4A47F" w14:textId="77777777" w:rsidR="000D31BA" w:rsidRDefault="003B470A" w:rsidP="00C738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1BA">
        <w:rPr>
          <w:rFonts w:ascii="Times New Roman" w:hAnsi="Times New Roman" w:cs="Times New Roman"/>
          <w:sz w:val="24"/>
          <w:szCs w:val="24"/>
        </w:rPr>
        <w:t>Korisnici Programa</w:t>
      </w:r>
      <w:r w:rsidR="00E66870">
        <w:rPr>
          <w:rFonts w:ascii="Times New Roman" w:hAnsi="Times New Roman" w:cs="Times New Roman"/>
          <w:sz w:val="24"/>
          <w:szCs w:val="24"/>
        </w:rPr>
        <w:t xml:space="preserve"> HOP</w:t>
      </w:r>
      <w:r w:rsidRPr="000D31BA">
        <w:rPr>
          <w:rFonts w:ascii="Times New Roman" w:hAnsi="Times New Roman" w:cs="Times New Roman"/>
          <w:sz w:val="24"/>
          <w:szCs w:val="24"/>
        </w:rPr>
        <w:t xml:space="preserve"> su otočni </w:t>
      </w:r>
      <w:r w:rsidR="0085617A">
        <w:rPr>
          <w:rFonts w:ascii="Times New Roman" w:hAnsi="Times New Roman" w:cs="Times New Roman"/>
          <w:sz w:val="24"/>
          <w:szCs w:val="24"/>
        </w:rPr>
        <w:t>subjekti</w:t>
      </w:r>
      <w:r w:rsidRPr="000D31BA">
        <w:rPr>
          <w:rFonts w:ascii="Times New Roman" w:hAnsi="Times New Roman" w:cs="Times New Roman"/>
          <w:sz w:val="24"/>
          <w:szCs w:val="24"/>
        </w:rPr>
        <w:t xml:space="preserve"> </w:t>
      </w:r>
      <w:r w:rsidR="00647070" w:rsidRPr="000D31BA">
        <w:rPr>
          <w:rFonts w:ascii="Times New Roman" w:hAnsi="Times New Roman" w:cs="Times New Roman"/>
          <w:sz w:val="24"/>
          <w:szCs w:val="24"/>
        </w:rPr>
        <w:t>koji imaju promotivni karakter za Program HOP. U smislu Programa</w:t>
      </w:r>
      <w:r w:rsidR="00E66870">
        <w:rPr>
          <w:rFonts w:ascii="Times New Roman" w:hAnsi="Times New Roman" w:cs="Times New Roman"/>
          <w:sz w:val="24"/>
          <w:szCs w:val="24"/>
        </w:rPr>
        <w:t xml:space="preserve"> HOP</w:t>
      </w:r>
      <w:r w:rsidR="00647070" w:rsidRPr="000D31BA">
        <w:rPr>
          <w:rFonts w:ascii="Times New Roman" w:hAnsi="Times New Roman" w:cs="Times New Roman"/>
          <w:sz w:val="24"/>
          <w:szCs w:val="24"/>
        </w:rPr>
        <w:t xml:space="preserve"> otočni </w:t>
      </w:r>
      <w:r w:rsidR="0085617A">
        <w:rPr>
          <w:rFonts w:ascii="Times New Roman" w:hAnsi="Times New Roman" w:cs="Times New Roman"/>
          <w:sz w:val="24"/>
          <w:szCs w:val="24"/>
        </w:rPr>
        <w:t>subjekti</w:t>
      </w:r>
      <w:r w:rsidR="00AF6C95" w:rsidRPr="000D31BA">
        <w:rPr>
          <w:rFonts w:ascii="Times New Roman" w:hAnsi="Times New Roman" w:cs="Times New Roman"/>
          <w:sz w:val="24"/>
          <w:szCs w:val="24"/>
        </w:rPr>
        <w:t xml:space="preserve"> su pravne i fizičke osobe</w:t>
      </w:r>
      <w:r w:rsidR="00797EA4">
        <w:rPr>
          <w:rFonts w:ascii="Times New Roman" w:hAnsi="Times New Roman" w:cs="Times New Roman"/>
          <w:sz w:val="24"/>
          <w:szCs w:val="24"/>
        </w:rPr>
        <w:t xml:space="preserve"> </w:t>
      </w:r>
      <w:r w:rsidRPr="000D31BA">
        <w:rPr>
          <w:rFonts w:ascii="Times New Roman" w:hAnsi="Times New Roman" w:cs="Times New Roman"/>
          <w:sz w:val="24"/>
          <w:szCs w:val="24"/>
        </w:rPr>
        <w:t xml:space="preserve">registrirane za određenu djelatnost (obrt, </w:t>
      </w:r>
      <w:r w:rsidR="006D6CBD">
        <w:rPr>
          <w:rFonts w:ascii="Times New Roman" w:hAnsi="Times New Roman" w:cs="Times New Roman"/>
          <w:sz w:val="24"/>
          <w:szCs w:val="24"/>
        </w:rPr>
        <w:t xml:space="preserve">obiteljsko poljoprivredno </w:t>
      </w:r>
      <w:r w:rsidR="006D6CBD" w:rsidRPr="00E66870">
        <w:rPr>
          <w:rFonts w:ascii="Times New Roman" w:hAnsi="Times New Roman" w:cs="Times New Roman"/>
          <w:sz w:val="24"/>
          <w:szCs w:val="24"/>
        </w:rPr>
        <w:t>gospodarstvo</w:t>
      </w:r>
      <w:r w:rsidRPr="00E66870">
        <w:rPr>
          <w:rFonts w:ascii="Times New Roman" w:hAnsi="Times New Roman" w:cs="Times New Roman"/>
          <w:sz w:val="24"/>
          <w:szCs w:val="24"/>
        </w:rPr>
        <w:t>, domaća radinost, sporedno zanimanje</w:t>
      </w:r>
      <w:r w:rsidR="00C51BB6" w:rsidRPr="00E66870">
        <w:rPr>
          <w:rFonts w:ascii="Times New Roman" w:hAnsi="Times New Roman" w:cs="Times New Roman"/>
          <w:sz w:val="24"/>
          <w:szCs w:val="24"/>
        </w:rPr>
        <w:t>, zadruge, udruge, ustanove, trgovačka društva</w:t>
      </w:r>
      <w:r w:rsidRPr="00E66870">
        <w:rPr>
          <w:rFonts w:ascii="Times New Roman" w:hAnsi="Times New Roman" w:cs="Times New Roman"/>
          <w:sz w:val="24"/>
          <w:szCs w:val="24"/>
        </w:rPr>
        <w:t xml:space="preserve"> i </w:t>
      </w:r>
      <w:r w:rsidR="00C51BB6" w:rsidRPr="00E66870">
        <w:rPr>
          <w:rFonts w:ascii="Times New Roman" w:hAnsi="Times New Roman" w:cs="Times New Roman"/>
          <w:sz w:val="24"/>
          <w:szCs w:val="24"/>
        </w:rPr>
        <w:t>dr</w:t>
      </w:r>
      <w:r w:rsidRPr="00E66870">
        <w:rPr>
          <w:rFonts w:ascii="Times New Roman" w:hAnsi="Times New Roman" w:cs="Times New Roman"/>
          <w:sz w:val="24"/>
          <w:szCs w:val="24"/>
        </w:rPr>
        <w:t xml:space="preserve">.) koje imaju sjedište na otocima i koje svoju </w:t>
      </w:r>
      <w:r w:rsidR="00AF6C95" w:rsidRPr="00E66870">
        <w:rPr>
          <w:rFonts w:ascii="Times New Roman" w:hAnsi="Times New Roman" w:cs="Times New Roman"/>
          <w:sz w:val="24"/>
          <w:szCs w:val="24"/>
        </w:rPr>
        <w:t xml:space="preserve">djelatnost obavljaju na otocima te posjeduju </w:t>
      </w:r>
      <w:r w:rsidR="001301BC" w:rsidRPr="00E66870">
        <w:rPr>
          <w:rFonts w:ascii="Times New Roman" w:hAnsi="Times New Roman" w:cs="Times New Roman"/>
          <w:sz w:val="24"/>
          <w:szCs w:val="24"/>
        </w:rPr>
        <w:t>odgovarajuć</w:t>
      </w:r>
      <w:r w:rsidR="00797EA4" w:rsidRPr="00E66870">
        <w:rPr>
          <w:rFonts w:ascii="Times New Roman" w:hAnsi="Times New Roman" w:cs="Times New Roman"/>
          <w:sz w:val="24"/>
          <w:szCs w:val="24"/>
        </w:rPr>
        <w:t>a rješenja</w:t>
      </w:r>
      <w:r w:rsidR="00F10945" w:rsidRPr="00E66870">
        <w:rPr>
          <w:rFonts w:ascii="Times New Roman" w:hAnsi="Times New Roman" w:cs="Times New Roman"/>
          <w:sz w:val="24"/>
          <w:szCs w:val="24"/>
        </w:rPr>
        <w:t xml:space="preserve">, dopuštenja i </w:t>
      </w:r>
      <w:r w:rsidR="000D31BA" w:rsidRPr="00E66870">
        <w:rPr>
          <w:rFonts w:ascii="Times New Roman" w:hAnsi="Times New Roman" w:cs="Times New Roman"/>
          <w:sz w:val="24"/>
          <w:szCs w:val="24"/>
        </w:rPr>
        <w:t>potvrdnice izdane od ovlaštenih tijela kojima se dokazuje proizvodni proces, ispravnost proizvoda te dopuštenost za njegovo stavljanje na</w:t>
      </w:r>
      <w:r w:rsidR="000D31BA" w:rsidRPr="000D31BA">
        <w:rPr>
          <w:rFonts w:ascii="Times New Roman" w:hAnsi="Times New Roman" w:cs="Times New Roman"/>
          <w:sz w:val="24"/>
          <w:szCs w:val="24"/>
        </w:rPr>
        <w:t xml:space="preserve"> tržište. </w:t>
      </w:r>
    </w:p>
    <w:p w14:paraId="2087535C" w14:textId="77777777" w:rsidR="00A35821" w:rsidRPr="00A35821" w:rsidRDefault="008624BB" w:rsidP="00A3582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 analize dosadašnje provedbe Projekta HOP razvidno je kako su važni dionici za sveobuhvatnu provedbu Programa</w:t>
      </w:r>
      <w:r w:rsidR="006D0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870">
        <w:rPr>
          <w:rFonts w:ascii="Times New Roman" w:hAnsi="Times New Roman" w:cs="Times New Roman"/>
          <w:bCs/>
          <w:sz w:val="24"/>
          <w:szCs w:val="24"/>
        </w:rPr>
        <w:t xml:space="preserve">HOP </w:t>
      </w:r>
      <w:r>
        <w:rPr>
          <w:rFonts w:ascii="Times New Roman" w:hAnsi="Times New Roman" w:cs="Times New Roman"/>
          <w:bCs/>
          <w:sz w:val="24"/>
          <w:szCs w:val="24"/>
        </w:rPr>
        <w:t>druga tijela državne uprave</w:t>
      </w:r>
      <w:r w:rsidR="00D61C76">
        <w:rPr>
          <w:rFonts w:ascii="Times New Roman" w:hAnsi="Times New Roman" w:cs="Times New Roman"/>
          <w:bCs/>
          <w:sz w:val="24"/>
          <w:szCs w:val="24"/>
        </w:rPr>
        <w:t xml:space="preserve"> (suradnja na području savjetovanja</w:t>
      </w:r>
      <w:r w:rsidR="006D0673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D61C76">
        <w:rPr>
          <w:rFonts w:ascii="Times New Roman" w:hAnsi="Times New Roman" w:cs="Times New Roman"/>
          <w:bCs/>
          <w:sz w:val="24"/>
          <w:szCs w:val="24"/>
        </w:rPr>
        <w:t xml:space="preserve"> edukacije</w:t>
      </w:r>
      <w:r w:rsidR="006D0673">
        <w:rPr>
          <w:rFonts w:ascii="Times New Roman" w:hAnsi="Times New Roman" w:cs="Times New Roman"/>
          <w:bCs/>
          <w:sz w:val="24"/>
          <w:szCs w:val="24"/>
        </w:rPr>
        <w:t xml:space="preserve"> otočnih </w:t>
      </w:r>
      <w:r w:rsidR="0085617A">
        <w:rPr>
          <w:rFonts w:ascii="Times New Roman" w:hAnsi="Times New Roman" w:cs="Times New Roman"/>
          <w:bCs/>
          <w:sz w:val="24"/>
          <w:szCs w:val="24"/>
        </w:rPr>
        <w:t>subjekata</w:t>
      </w:r>
      <w:r w:rsidR="006D06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90338">
        <w:rPr>
          <w:rFonts w:ascii="Times New Roman" w:hAnsi="Times New Roman" w:cs="Times New Roman"/>
          <w:bCs/>
          <w:sz w:val="24"/>
          <w:szCs w:val="24"/>
        </w:rPr>
        <w:t>su</w:t>
      </w:r>
      <w:r w:rsidR="006D0673">
        <w:rPr>
          <w:rFonts w:ascii="Times New Roman" w:hAnsi="Times New Roman" w:cs="Times New Roman"/>
          <w:bCs/>
          <w:sz w:val="24"/>
          <w:szCs w:val="24"/>
        </w:rPr>
        <w:t>financiranj</w:t>
      </w:r>
      <w:r w:rsidR="00490338">
        <w:rPr>
          <w:rFonts w:ascii="Times New Roman" w:hAnsi="Times New Roman" w:cs="Times New Roman"/>
          <w:bCs/>
          <w:sz w:val="24"/>
          <w:szCs w:val="24"/>
        </w:rPr>
        <w:t>e</w:t>
      </w:r>
      <w:r w:rsidR="006D0673">
        <w:rPr>
          <w:rFonts w:ascii="Times New Roman" w:hAnsi="Times New Roman" w:cs="Times New Roman"/>
          <w:bCs/>
          <w:sz w:val="24"/>
          <w:szCs w:val="24"/>
        </w:rPr>
        <w:t xml:space="preserve"> aktivnosti otočnih </w:t>
      </w:r>
      <w:r w:rsidR="0085617A">
        <w:rPr>
          <w:rFonts w:ascii="Times New Roman" w:hAnsi="Times New Roman" w:cs="Times New Roman"/>
          <w:bCs/>
          <w:sz w:val="24"/>
          <w:szCs w:val="24"/>
        </w:rPr>
        <w:t>subjekata</w:t>
      </w:r>
      <w:r w:rsidR="006D0673">
        <w:rPr>
          <w:rFonts w:ascii="Times New Roman" w:hAnsi="Times New Roman" w:cs="Times New Roman"/>
          <w:bCs/>
          <w:sz w:val="24"/>
          <w:szCs w:val="24"/>
        </w:rPr>
        <w:t xml:space="preserve"> u cilju unaprjeđenja </w:t>
      </w:r>
      <w:r w:rsidR="00490338">
        <w:rPr>
          <w:rFonts w:ascii="Times New Roman" w:hAnsi="Times New Roman" w:cs="Times New Roman"/>
          <w:bCs/>
          <w:sz w:val="24"/>
          <w:szCs w:val="24"/>
        </w:rPr>
        <w:t xml:space="preserve">proizvodnje, </w:t>
      </w:r>
      <w:r w:rsidR="006D0673">
        <w:rPr>
          <w:rFonts w:ascii="Times New Roman" w:hAnsi="Times New Roman" w:cs="Times New Roman"/>
          <w:bCs/>
          <w:sz w:val="24"/>
          <w:szCs w:val="24"/>
        </w:rPr>
        <w:t>ponude i promocije otočnih proizvoda</w:t>
      </w:r>
      <w:r w:rsidR="00490338">
        <w:rPr>
          <w:rFonts w:ascii="Times New Roman" w:hAnsi="Times New Roman" w:cs="Times New Roman"/>
          <w:bCs/>
          <w:sz w:val="24"/>
          <w:szCs w:val="24"/>
        </w:rPr>
        <w:t>), obalno-otočne županije koje u svom sastavu imaju naseljene i povremeno naseljene otoke</w:t>
      </w:r>
      <w:r w:rsidR="00BB1392">
        <w:rPr>
          <w:rFonts w:ascii="Times New Roman" w:hAnsi="Times New Roman" w:cs="Times New Roman"/>
          <w:bCs/>
          <w:sz w:val="24"/>
          <w:szCs w:val="24"/>
        </w:rPr>
        <w:t xml:space="preserve"> i jedinice lokalne samouprave na otocima i na kopnu – koje u administrativnom sastavu imaju otoke</w:t>
      </w:r>
      <w:r w:rsidR="00490338">
        <w:rPr>
          <w:rFonts w:ascii="Times New Roman" w:hAnsi="Times New Roman" w:cs="Times New Roman"/>
          <w:bCs/>
          <w:sz w:val="24"/>
          <w:szCs w:val="24"/>
        </w:rPr>
        <w:t xml:space="preserve"> (sufinanciranje i poticanje aktivnosti otočnih </w:t>
      </w:r>
      <w:r w:rsidR="0085617A">
        <w:rPr>
          <w:rFonts w:ascii="Times New Roman" w:hAnsi="Times New Roman" w:cs="Times New Roman"/>
          <w:bCs/>
          <w:sz w:val="24"/>
          <w:szCs w:val="24"/>
        </w:rPr>
        <w:t>subjekata</w:t>
      </w:r>
      <w:r w:rsidR="00490338">
        <w:rPr>
          <w:rFonts w:ascii="Times New Roman" w:hAnsi="Times New Roman" w:cs="Times New Roman"/>
          <w:bCs/>
          <w:sz w:val="24"/>
          <w:szCs w:val="24"/>
        </w:rPr>
        <w:t xml:space="preserve"> vezanih neposredno uz Program</w:t>
      </w:r>
      <w:r w:rsidR="0090016F">
        <w:rPr>
          <w:rFonts w:ascii="Times New Roman" w:hAnsi="Times New Roman" w:cs="Times New Roman"/>
          <w:bCs/>
          <w:sz w:val="24"/>
          <w:szCs w:val="24"/>
        </w:rPr>
        <w:t xml:space="preserve"> HOP</w:t>
      </w:r>
      <w:r w:rsidR="00490338">
        <w:rPr>
          <w:rFonts w:ascii="Times New Roman" w:hAnsi="Times New Roman" w:cs="Times New Roman"/>
          <w:bCs/>
          <w:sz w:val="24"/>
          <w:szCs w:val="24"/>
        </w:rPr>
        <w:t xml:space="preserve"> te unaprjeđenje proizvodnje, ponude i promocije otočnih proizvoda), te županijske turističke zajednice u obalno-otočnim županijama koje u svom sastavu imaju naseljene i povremeno naseljene otoke (poticanje promocije otočnih proizvoda i suradnja s lokalnim turističkim zajednicama i drugim dionicima na otocima u cilju promocije).</w:t>
      </w:r>
    </w:p>
    <w:p w14:paraId="0295C53F" w14:textId="77777777" w:rsidR="00A4790E" w:rsidRDefault="00A4790E" w:rsidP="000205B1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6BCA6AD" w14:textId="77777777" w:rsidR="00C84853" w:rsidRPr="003C616C" w:rsidRDefault="00737D1A" w:rsidP="003C616C">
      <w:pPr>
        <w:pStyle w:val="Heading2"/>
        <w:rPr>
          <w:rFonts w:ascii="Times New Roman" w:hAnsi="Times New Roman" w:cs="Times New Roman"/>
        </w:rPr>
      </w:pPr>
      <w:r w:rsidRPr="003C616C">
        <w:rPr>
          <w:rFonts w:ascii="Times New Roman" w:hAnsi="Times New Roman" w:cs="Times New Roman"/>
        </w:rPr>
        <w:t>Izvo</w:t>
      </w:r>
      <w:r w:rsidR="003806B3" w:rsidRPr="003C616C">
        <w:rPr>
          <w:rFonts w:ascii="Times New Roman" w:hAnsi="Times New Roman" w:cs="Times New Roman"/>
        </w:rPr>
        <w:t>r</w:t>
      </w:r>
      <w:r w:rsidR="00C84853" w:rsidRPr="003C616C">
        <w:rPr>
          <w:rFonts w:ascii="Times New Roman" w:hAnsi="Times New Roman" w:cs="Times New Roman"/>
        </w:rPr>
        <w:t xml:space="preserve"> financiranja</w:t>
      </w:r>
    </w:p>
    <w:p w14:paraId="4E531BCF" w14:textId="77777777" w:rsidR="0054347F" w:rsidRPr="00EF37CC" w:rsidRDefault="0054347F" w:rsidP="00B77C6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 će se provoditi u skladu sa sredstvima odobrenim u Državnom proračunu Republike Hrvatske</w:t>
      </w:r>
      <w:r w:rsidR="005507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poziciji M</w:t>
      </w:r>
      <w:r w:rsidR="008A1D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5507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nistarstva</w:t>
      </w:r>
      <w:r w:rsidR="00AD46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aktivnosti A</w:t>
      </w:r>
      <w:r w:rsidR="00D02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819012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D02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Hrvatski otočni proizvod</w:t>
      </w:r>
      <w:r w:rsidRPr="00EF37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655EA053" w14:textId="77777777" w:rsidR="0054347F" w:rsidRDefault="0054347F" w:rsidP="00FF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97EF8" w14:textId="77777777" w:rsidR="0054347F" w:rsidRPr="00B2709A" w:rsidRDefault="0054347F" w:rsidP="00FF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0AC8E2BD" w14:textId="77777777" w:rsidR="00970260" w:rsidRDefault="009702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7AF1CD7" w14:textId="5648E3DE" w:rsidR="00553939" w:rsidRPr="000C4FA7" w:rsidRDefault="00F1007F" w:rsidP="00A1446A">
      <w:pPr>
        <w:pStyle w:val="Heading1"/>
        <w:numPr>
          <w:ilvl w:val="0"/>
          <w:numId w:val="33"/>
        </w:numPr>
      </w:pPr>
      <w:bookmarkStart w:id="11" w:name="_Toc21599069"/>
      <w:r w:rsidRPr="000C4FA7">
        <w:lastRenderedPageBreak/>
        <w:t>CILJ</w:t>
      </w:r>
      <w:r w:rsidR="00153EDC" w:rsidRPr="000C4FA7">
        <w:t>EVI</w:t>
      </w:r>
      <w:r w:rsidRPr="000C4FA7">
        <w:t xml:space="preserve">, </w:t>
      </w:r>
      <w:r w:rsidR="00553939" w:rsidRPr="000C4FA7">
        <w:t>MJERE</w:t>
      </w:r>
      <w:r w:rsidR="004402EF" w:rsidRPr="000C4FA7">
        <w:t xml:space="preserve"> I </w:t>
      </w:r>
      <w:r w:rsidR="001D6336" w:rsidRPr="000C4FA7">
        <w:t>AKTIVNOSTI</w:t>
      </w:r>
      <w:r w:rsidR="002037F6" w:rsidRPr="000C4FA7">
        <w:t xml:space="preserve"> </w:t>
      </w:r>
      <w:r w:rsidR="004402EF" w:rsidRPr="000C4FA7">
        <w:t>PROGRAMA „HRVATSKI OTOČNI PROIZVOD“</w:t>
      </w:r>
      <w:bookmarkEnd w:id="11"/>
    </w:p>
    <w:p w14:paraId="73F23613" w14:textId="77777777" w:rsidR="00553939" w:rsidRDefault="00553939" w:rsidP="00FF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116C2B" w14:textId="77777777" w:rsidR="006C21A2" w:rsidRDefault="006C21A2" w:rsidP="003C616C">
      <w:pPr>
        <w:pStyle w:val="Heading3"/>
        <w:rPr>
          <w:rStyle w:val="defaultparagraphfont-000091"/>
          <w:b/>
        </w:rPr>
      </w:pPr>
      <w:r w:rsidRPr="0060777F">
        <w:rPr>
          <w:rStyle w:val="defaultparagraphfont-000091"/>
          <w:b/>
        </w:rPr>
        <w:t xml:space="preserve">Ciljevi Programa </w:t>
      </w:r>
      <w:r w:rsidR="007D2F10">
        <w:rPr>
          <w:rStyle w:val="defaultparagraphfont-000091"/>
          <w:b/>
        </w:rPr>
        <w:t>HOP</w:t>
      </w:r>
    </w:p>
    <w:p w14:paraId="6D6F6B6F" w14:textId="77777777" w:rsidR="00ED2717" w:rsidRDefault="00ED2717" w:rsidP="00B77C6F">
      <w:pPr>
        <w:spacing w:after="0"/>
        <w:ind w:firstLine="708"/>
        <w:jc w:val="both"/>
        <w:rPr>
          <w:rStyle w:val="defaultparagraphfont-000091"/>
        </w:rPr>
      </w:pPr>
      <w:r>
        <w:rPr>
          <w:rStyle w:val="defaultparagraphfont-000091"/>
          <w:b/>
        </w:rPr>
        <w:t xml:space="preserve">Opći cilj </w:t>
      </w:r>
      <w:r w:rsidRPr="00ED2717">
        <w:rPr>
          <w:rStyle w:val="defaultparagraphfont-000091"/>
        </w:rPr>
        <w:t>Programa</w:t>
      </w:r>
      <w:r w:rsidR="009F5871">
        <w:rPr>
          <w:rStyle w:val="defaultparagraphfont-000091"/>
        </w:rPr>
        <w:t xml:space="preserve"> </w:t>
      </w:r>
      <w:r w:rsidRPr="00ED2717">
        <w:rPr>
          <w:rStyle w:val="defaultparagraphfont-000091"/>
        </w:rPr>
        <w:t>je poticanje</w:t>
      </w:r>
      <w:r>
        <w:rPr>
          <w:rStyle w:val="defaultparagraphfont-000091"/>
          <w:b/>
        </w:rPr>
        <w:t xml:space="preserve"> </w:t>
      </w:r>
      <w:r w:rsidRPr="00ED2717">
        <w:rPr>
          <w:rStyle w:val="defaultparagraphfont-000091"/>
        </w:rPr>
        <w:t>proizvodnje i plasmana te promocija izvornih i inovativnih otočnih proizvoda, tradicije i baštine.</w:t>
      </w:r>
      <w:r>
        <w:rPr>
          <w:rStyle w:val="defaultparagraphfont-000091"/>
        </w:rPr>
        <w:t xml:space="preserve"> </w:t>
      </w:r>
      <w:r w:rsidR="005F5587">
        <w:rPr>
          <w:rStyle w:val="defaultparagraphfont-000091"/>
        </w:rPr>
        <w:t xml:space="preserve">Kako bi se osigurala učinkovita </w:t>
      </w:r>
      <w:r>
        <w:rPr>
          <w:rStyle w:val="defaultparagraphfont-000091"/>
        </w:rPr>
        <w:t>provedb</w:t>
      </w:r>
      <w:r w:rsidR="005F5587">
        <w:rPr>
          <w:rStyle w:val="defaultparagraphfont-000091"/>
        </w:rPr>
        <w:t>a</w:t>
      </w:r>
      <w:r>
        <w:rPr>
          <w:rStyle w:val="defaultparagraphfont-000091"/>
        </w:rPr>
        <w:t xml:space="preserve"> </w:t>
      </w:r>
      <w:r w:rsidR="005F5587">
        <w:rPr>
          <w:rStyle w:val="defaultparagraphfont-000091"/>
        </w:rPr>
        <w:t xml:space="preserve">općeg </w:t>
      </w:r>
      <w:r>
        <w:rPr>
          <w:rStyle w:val="defaultparagraphfont-000091"/>
        </w:rPr>
        <w:t xml:space="preserve">cilja </w:t>
      </w:r>
      <w:r w:rsidR="005F5587">
        <w:rPr>
          <w:rStyle w:val="defaultparagraphfont-000091"/>
        </w:rPr>
        <w:t xml:space="preserve">i postavili primjereni pokazatelji praćenja provedbe, </w:t>
      </w:r>
      <w:r w:rsidR="00B5481B">
        <w:rPr>
          <w:rStyle w:val="defaultparagraphfont-000091"/>
        </w:rPr>
        <w:t>proizlaze sljedeći</w:t>
      </w:r>
      <w:r w:rsidR="005F5587">
        <w:rPr>
          <w:rStyle w:val="defaultparagraphfont-000091"/>
        </w:rPr>
        <w:t xml:space="preserve"> specifični ciljevi:</w:t>
      </w:r>
    </w:p>
    <w:p w14:paraId="66797BE8" w14:textId="77777777" w:rsidR="005F5587" w:rsidRPr="0060777F" w:rsidRDefault="005F5587" w:rsidP="00ED2717">
      <w:pPr>
        <w:spacing w:after="0"/>
        <w:jc w:val="both"/>
        <w:rPr>
          <w:rStyle w:val="defaultparagraphfont-000091"/>
          <w:b/>
        </w:rPr>
      </w:pPr>
    </w:p>
    <w:p w14:paraId="5D93536A" w14:textId="77777777" w:rsidR="006C21A2" w:rsidRPr="00376D0F" w:rsidRDefault="005F5587" w:rsidP="00F1007F">
      <w:pPr>
        <w:spacing w:after="0"/>
        <w:jc w:val="both"/>
        <w:rPr>
          <w:rStyle w:val="defaultparagraphfont-000091"/>
          <w:b/>
          <w:i/>
        </w:rPr>
      </w:pPr>
      <w:r>
        <w:rPr>
          <w:rStyle w:val="defaultparagraphfont-000091"/>
          <w:b/>
          <w:i/>
        </w:rPr>
        <w:t xml:space="preserve">Specifični cilj </w:t>
      </w:r>
      <w:r w:rsidR="006C21A2" w:rsidRPr="00376D0F">
        <w:rPr>
          <w:rStyle w:val="defaultparagraphfont-000091"/>
          <w:b/>
          <w:i/>
        </w:rPr>
        <w:t xml:space="preserve">1. </w:t>
      </w:r>
      <w:r w:rsidR="006C21A2" w:rsidRPr="00376D0F">
        <w:rPr>
          <w:rFonts w:ascii="Times New Roman" w:hAnsi="Times New Roman" w:cs="Times New Roman"/>
          <w:b/>
          <w:i/>
          <w:sz w:val="24"/>
          <w:szCs w:val="24"/>
        </w:rPr>
        <w:t xml:space="preserve">Poticanje </w:t>
      </w:r>
      <w:r w:rsidR="007C4F8A">
        <w:rPr>
          <w:rFonts w:ascii="Times New Roman" w:hAnsi="Times New Roman" w:cs="Times New Roman"/>
          <w:b/>
          <w:i/>
          <w:sz w:val="24"/>
          <w:szCs w:val="24"/>
        </w:rPr>
        <w:t>gospodarskih</w:t>
      </w:r>
      <w:r w:rsidR="00DC5FFF">
        <w:rPr>
          <w:rFonts w:ascii="Times New Roman" w:hAnsi="Times New Roman" w:cs="Times New Roman"/>
          <w:b/>
          <w:i/>
          <w:sz w:val="24"/>
          <w:szCs w:val="24"/>
        </w:rPr>
        <w:t xml:space="preserve"> aktivnosti otočnih </w:t>
      </w:r>
      <w:r w:rsidR="00BB43D2">
        <w:rPr>
          <w:rFonts w:ascii="Times New Roman" w:hAnsi="Times New Roman" w:cs="Times New Roman"/>
          <w:b/>
          <w:i/>
          <w:sz w:val="24"/>
          <w:szCs w:val="24"/>
        </w:rPr>
        <w:t>subjekata</w:t>
      </w:r>
      <w:r w:rsidR="003F31F8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DC5F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31F8">
        <w:rPr>
          <w:rFonts w:ascii="Times New Roman" w:hAnsi="Times New Roman" w:cs="Times New Roman"/>
          <w:b/>
          <w:i/>
          <w:sz w:val="24"/>
          <w:szCs w:val="24"/>
        </w:rPr>
        <w:t>proizvodnje te</w:t>
      </w:r>
      <w:r w:rsidR="006C21A2" w:rsidRPr="00376D0F">
        <w:rPr>
          <w:rFonts w:ascii="Times New Roman" w:hAnsi="Times New Roman" w:cs="Times New Roman"/>
          <w:b/>
          <w:i/>
          <w:sz w:val="24"/>
          <w:szCs w:val="24"/>
        </w:rPr>
        <w:t xml:space="preserve"> distribucije otočnih proizvoda</w:t>
      </w:r>
    </w:p>
    <w:p w14:paraId="77F3E511" w14:textId="77777777" w:rsidR="00B616D4" w:rsidRDefault="00BB67E2" w:rsidP="00F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7FC">
        <w:rPr>
          <w:rFonts w:ascii="Times New Roman" w:hAnsi="Times New Roman" w:cs="Times New Roman"/>
          <w:sz w:val="24"/>
          <w:szCs w:val="24"/>
        </w:rPr>
        <w:t>Identificiranje</w:t>
      </w:r>
      <w:r w:rsidR="00FB2008">
        <w:rPr>
          <w:rFonts w:ascii="Times New Roman" w:hAnsi="Times New Roman" w:cs="Times New Roman"/>
          <w:sz w:val="24"/>
          <w:szCs w:val="24"/>
        </w:rPr>
        <w:t xml:space="preserve">m </w:t>
      </w:r>
      <w:r w:rsidR="00786E16">
        <w:rPr>
          <w:rFonts w:ascii="Times New Roman" w:hAnsi="Times New Roman" w:cs="Times New Roman"/>
          <w:sz w:val="24"/>
          <w:szCs w:val="24"/>
        </w:rPr>
        <w:t>otočnih proizvoda koji</w:t>
      </w:r>
      <w:r w:rsidR="008111E7">
        <w:rPr>
          <w:rFonts w:ascii="Times New Roman" w:hAnsi="Times New Roman" w:cs="Times New Roman"/>
          <w:sz w:val="24"/>
          <w:szCs w:val="24"/>
        </w:rPr>
        <w:t xml:space="preserve"> </w:t>
      </w:r>
      <w:r w:rsidR="00B616D4">
        <w:rPr>
          <w:rFonts w:ascii="Times New Roman" w:hAnsi="Times New Roman" w:cs="Times New Roman"/>
          <w:sz w:val="24"/>
          <w:szCs w:val="24"/>
        </w:rPr>
        <w:t>su proizvedeni na pretpostavkama autentičnosti i tradicije ili su rezultat inovacije i invencije</w:t>
      </w:r>
      <w:r w:rsidRPr="00FD17FC">
        <w:rPr>
          <w:rFonts w:ascii="Times New Roman" w:hAnsi="Times New Roman" w:cs="Times New Roman"/>
          <w:sz w:val="24"/>
          <w:szCs w:val="24"/>
        </w:rPr>
        <w:t xml:space="preserve"> </w:t>
      </w:r>
      <w:r w:rsidR="00B616D4">
        <w:rPr>
          <w:rFonts w:ascii="Times New Roman" w:hAnsi="Times New Roman" w:cs="Times New Roman"/>
          <w:sz w:val="24"/>
          <w:szCs w:val="24"/>
        </w:rPr>
        <w:t xml:space="preserve">te korištenjem oznake HOP poticati gospodarske aktivnosti na otocima, doprinijeti diversifikaciji otočnog gospodarstva te osnažiti pozicioniranje otočnih proizvoda na tržištu. </w:t>
      </w:r>
    </w:p>
    <w:p w14:paraId="62A7BC07" w14:textId="77777777" w:rsidR="00A87450" w:rsidRDefault="00A87450" w:rsidP="00F1007F">
      <w:pPr>
        <w:spacing w:after="0"/>
        <w:jc w:val="both"/>
        <w:rPr>
          <w:rStyle w:val="defaultparagraphfont-000091"/>
        </w:rPr>
      </w:pPr>
    </w:p>
    <w:p w14:paraId="57E54650" w14:textId="77777777" w:rsidR="00B348E2" w:rsidRPr="00B2709A" w:rsidRDefault="005F5587" w:rsidP="00B348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efaultparagraphfont-000091"/>
          <w:b/>
          <w:i/>
        </w:rPr>
        <w:t>Specifični c</w:t>
      </w:r>
      <w:r w:rsidR="006C21A2" w:rsidRPr="00376D0F">
        <w:rPr>
          <w:rStyle w:val="defaultparagraphfont-000091"/>
          <w:b/>
          <w:i/>
        </w:rPr>
        <w:t xml:space="preserve">ilj 2. </w:t>
      </w:r>
      <w:r w:rsidR="00B348E2" w:rsidRPr="00DC5FFF">
        <w:rPr>
          <w:rFonts w:ascii="Times New Roman" w:hAnsi="Times New Roman" w:cs="Times New Roman"/>
          <w:b/>
          <w:i/>
          <w:sz w:val="24"/>
          <w:szCs w:val="24"/>
        </w:rPr>
        <w:t>Promocija otočne tradicije i identiteta otoka kao područja od posebnog interesa za Republiku Hrvatsku</w:t>
      </w:r>
    </w:p>
    <w:p w14:paraId="11C748E0" w14:textId="77777777" w:rsidR="00FB2008" w:rsidRPr="00B2709A" w:rsidRDefault="00EB3981" w:rsidP="00E74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efaultparagraphfont-000091"/>
        </w:rPr>
        <w:t>Čuvanjem kulturnog nasljeđa i tradicije te poticanjem stvaranja novih otočnih proizvoda</w:t>
      </w:r>
      <w:r w:rsidR="00AD26AE">
        <w:rPr>
          <w:rStyle w:val="defaultparagraphfont-000091"/>
        </w:rPr>
        <w:t xml:space="preserve"> promovirati prednosti otočnosti i otočnog načina života, ukazati na potrebu očuvanja otočnog identiteta</w:t>
      </w:r>
      <w:r w:rsidR="00E74691">
        <w:rPr>
          <w:rStyle w:val="defaultparagraphfont-000091"/>
        </w:rPr>
        <w:t xml:space="preserve">, umrežavanje otoka uz poticanje razmjene lokalnih znanja i vještina. </w:t>
      </w:r>
    </w:p>
    <w:p w14:paraId="25437CBD" w14:textId="77777777" w:rsidR="00093CE4" w:rsidRPr="00FB2008" w:rsidRDefault="00093CE4" w:rsidP="00AD0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51D74" w14:textId="77777777" w:rsidR="00AD0AA7" w:rsidRPr="00AD0AA7" w:rsidRDefault="005F5587" w:rsidP="00AD0AA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Specifični c</w:t>
      </w:r>
      <w:r w:rsidR="00AD0AA7" w:rsidRPr="00AD0AA7">
        <w:rPr>
          <w:rFonts w:ascii="Times New Roman" w:hAnsi="Times New Roman" w:cs="Times New Roman"/>
          <w:b/>
          <w:i/>
          <w:sz w:val="24"/>
          <w:szCs w:val="24"/>
        </w:rPr>
        <w:t xml:space="preserve">ilj 3. Osiguravanje </w:t>
      </w:r>
      <w:r w:rsidR="009848CF">
        <w:rPr>
          <w:rFonts w:ascii="Times New Roman" w:hAnsi="Times New Roman" w:cs="Times New Roman"/>
          <w:b/>
          <w:i/>
          <w:sz w:val="24"/>
          <w:szCs w:val="24"/>
        </w:rPr>
        <w:t xml:space="preserve">i praćenje </w:t>
      </w:r>
      <w:r w:rsidR="00AD0AA7" w:rsidRPr="00AD0AA7">
        <w:rPr>
          <w:rFonts w:ascii="Times New Roman" w:hAnsi="Times New Roman" w:cs="Times New Roman"/>
          <w:b/>
          <w:i/>
          <w:sz w:val="24"/>
          <w:szCs w:val="24"/>
        </w:rPr>
        <w:t>standarda kvalitete otočnih proizvoda</w:t>
      </w:r>
    </w:p>
    <w:p w14:paraId="2A17A6DC" w14:textId="77777777" w:rsidR="00F1007F" w:rsidRPr="00AD0AA7" w:rsidRDefault="00D86841" w:rsidP="00F10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Uspostaviti</w:t>
      </w:r>
      <w:r w:rsidR="007C3AD7">
        <w:rPr>
          <w:rFonts w:ascii="Times New Roman" w:hAnsi="Times New Roman" w:cs="Times New Roman"/>
          <w:sz w:val="24"/>
          <w:szCs w:val="24"/>
        </w:rPr>
        <w:t xml:space="preserve"> i provoditi</w:t>
      </w:r>
      <w:r w:rsidR="00E4272A">
        <w:rPr>
          <w:rFonts w:ascii="Times New Roman" w:hAnsi="Times New Roman" w:cs="Times New Roman"/>
          <w:sz w:val="24"/>
          <w:szCs w:val="24"/>
        </w:rPr>
        <w:t xml:space="preserve"> procedure prilikom identificiranja otočnih proizvoda</w:t>
      </w:r>
      <w:r w:rsidR="007C3AD7">
        <w:rPr>
          <w:rFonts w:ascii="Times New Roman" w:hAnsi="Times New Roman" w:cs="Times New Roman"/>
          <w:sz w:val="24"/>
          <w:szCs w:val="24"/>
        </w:rPr>
        <w:t xml:space="preserve"> u postupku dodjele prava označavanja oznakom HOP</w:t>
      </w:r>
      <w:r w:rsidR="00E4272A">
        <w:rPr>
          <w:rFonts w:ascii="Times New Roman" w:hAnsi="Times New Roman" w:cs="Times New Roman"/>
          <w:sz w:val="24"/>
          <w:szCs w:val="24"/>
        </w:rPr>
        <w:t xml:space="preserve"> </w:t>
      </w:r>
      <w:r w:rsidR="007C3AD7">
        <w:rPr>
          <w:rFonts w:ascii="Times New Roman" w:hAnsi="Times New Roman" w:cs="Times New Roman"/>
          <w:sz w:val="24"/>
          <w:szCs w:val="24"/>
        </w:rPr>
        <w:t>te procedure praćenja</w:t>
      </w:r>
      <w:r w:rsidR="00BB1392">
        <w:rPr>
          <w:rFonts w:ascii="Times New Roman" w:hAnsi="Times New Roman" w:cs="Times New Roman"/>
          <w:sz w:val="24"/>
          <w:szCs w:val="24"/>
        </w:rPr>
        <w:t xml:space="preserve"> standarda kvalitete</w:t>
      </w:r>
      <w:r w:rsidR="007C3AD7">
        <w:rPr>
          <w:rFonts w:ascii="Times New Roman" w:hAnsi="Times New Roman" w:cs="Times New Roman"/>
          <w:sz w:val="24"/>
          <w:szCs w:val="24"/>
        </w:rPr>
        <w:t xml:space="preserve"> </w:t>
      </w:r>
      <w:r w:rsidR="00D40EDD">
        <w:rPr>
          <w:rFonts w:ascii="Times New Roman" w:hAnsi="Times New Roman" w:cs="Times New Roman"/>
          <w:sz w:val="24"/>
          <w:szCs w:val="24"/>
        </w:rPr>
        <w:t>otočn</w:t>
      </w:r>
      <w:r w:rsidR="007C3AD7">
        <w:rPr>
          <w:rFonts w:ascii="Times New Roman" w:hAnsi="Times New Roman" w:cs="Times New Roman"/>
          <w:sz w:val="24"/>
          <w:szCs w:val="24"/>
        </w:rPr>
        <w:t>ih</w:t>
      </w:r>
      <w:r w:rsidR="00D40EDD">
        <w:rPr>
          <w:rFonts w:ascii="Times New Roman" w:hAnsi="Times New Roman" w:cs="Times New Roman"/>
          <w:sz w:val="24"/>
          <w:szCs w:val="24"/>
        </w:rPr>
        <w:t xml:space="preserve"> proizvod</w:t>
      </w:r>
      <w:r w:rsidR="007C3AD7">
        <w:rPr>
          <w:rFonts w:ascii="Times New Roman" w:hAnsi="Times New Roman" w:cs="Times New Roman"/>
          <w:sz w:val="24"/>
          <w:szCs w:val="24"/>
        </w:rPr>
        <w:t xml:space="preserve">a i </w:t>
      </w:r>
      <w:r w:rsidR="00BB43D2">
        <w:rPr>
          <w:rFonts w:ascii="Times New Roman" w:hAnsi="Times New Roman" w:cs="Times New Roman"/>
          <w:sz w:val="24"/>
          <w:szCs w:val="24"/>
        </w:rPr>
        <w:t>subjekata</w:t>
      </w:r>
      <w:r w:rsidR="007C3AD7">
        <w:rPr>
          <w:rFonts w:ascii="Times New Roman" w:hAnsi="Times New Roman" w:cs="Times New Roman"/>
          <w:sz w:val="24"/>
          <w:szCs w:val="24"/>
        </w:rPr>
        <w:t xml:space="preserve"> za vrijeme trajanja ugovora o dodjeli prava označavanja</w:t>
      </w:r>
      <w:r w:rsidR="006B4F3B">
        <w:rPr>
          <w:rFonts w:ascii="Times New Roman" w:hAnsi="Times New Roman" w:cs="Times New Roman"/>
          <w:sz w:val="24"/>
          <w:szCs w:val="24"/>
        </w:rPr>
        <w:t xml:space="preserve"> kako bi se osiguralo </w:t>
      </w:r>
      <w:r>
        <w:rPr>
          <w:rFonts w:ascii="Times New Roman" w:hAnsi="Times New Roman" w:cs="Times New Roman"/>
          <w:sz w:val="24"/>
          <w:szCs w:val="24"/>
        </w:rPr>
        <w:t>jamstvo otočnog proizvoda po svom sastavu i/ili po mjestu njegove proizvodnje.</w:t>
      </w:r>
    </w:p>
    <w:p w14:paraId="686916D8" w14:textId="77777777" w:rsidR="00D86841" w:rsidRDefault="00D86841" w:rsidP="00FF671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29E3CE7" w14:textId="77777777" w:rsidR="006F3853" w:rsidRDefault="005F5587" w:rsidP="00FF671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Specifični c</w:t>
      </w:r>
      <w:r w:rsidR="00A70D25">
        <w:rPr>
          <w:rFonts w:ascii="Times New Roman" w:hAnsi="Times New Roman" w:cs="Times New Roman"/>
          <w:b/>
          <w:i/>
          <w:sz w:val="24"/>
          <w:szCs w:val="24"/>
        </w:rPr>
        <w:t>ilj 4. Jačanje vidljivosti Programa</w:t>
      </w:r>
      <w:r w:rsidR="00EB2F4B">
        <w:rPr>
          <w:rFonts w:ascii="Times New Roman" w:hAnsi="Times New Roman" w:cs="Times New Roman"/>
          <w:b/>
          <w:i/>
          <w:sz w:val="24"/>
          <w:szCs w:val="24"/>
        </w:rPr>
        <w:t xml:space="preserve"> HOP</w:t>
      </w:r>
    </w:p>
    <w:p w14:paraId="2B933AFE" w14:textId="77777777" w:rsidR="00EB7662" w:rsidRDefault="001F6381" w:rsidP="00BD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Uspostaviti aktivnosti i suradnju </w:t>
      </w:r>
      <w:r w:rsidR="00C93B43">
        <w:rPr>
          <w:rFonts w:ascii="Times New Roman" w:hAnsi="Times New Roman" w:cs="Times New Roman"/>
          <w:sz w:val="24"/>
          <w:szCs w:val="24"/>
        </w:rPr>
        <w:t>s dionicima Programa</w:t>
      </w:r>
      <w:r w:rsidR="00EB2F4B">
        <w:rPr>
          <w:rFonts w:ascii="Times New Roman" w:hAnsi="Times New Roman" w:cs="Times New Roman"/>
          <w:sz w:val="24"/>
          <w:szCs w:val="24"/>
        </w:rPr>
        <w:t xml:space="preserve"> HOP</w:t>
      </w:r>
      <w:r w:rsidR="00C93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području informiranja i promotivnih aktivnosti </w:t>
      </w:r>
      <w:r w:rsidR="00C93B43">
        <w:rPr>
          <w:rFonts w:ascii="Times New Roman" w:hAnsi="Times New Roman" w:cs="Times New Roman"/>
          <w:sz w:val="24"/>
          <w:szCs w:val="24"/>
        </w:rPr>
        <w:t xml:space="preserve">te sufinanciranja i poticanja otočnih </w:t>
      </w:r>
      <w:r w:rsidR="00BB43D2">
        <w:rPr>
          <w:rFonts w:ascii="Times New Roman" w:hAnsi="Times New Roman" w:cs="Times New Roman"/>
          <w:sz w:val="24"/>
          <w:szCs w:val="24"/>
        </w:rPr>
        <w:t>subjekata</w:t>
      </w:r>
      <w:r w:rsidR="0054035C">
        <w:rPr>
          <w:rFonts w:ascii="Times New Roman" w:hAnsi="Times New Roman" w:cs="Times New Roman"/>
          <w:sz w:val="24"/>
          <w:szCs w:val="24"/>
        </w:rPr>
        <w:t xml:space="preserve"> </w:t>
      </w:r>
      <w:r w:rsidR="005677CB">
        <w:rPr>
          <w:rFonts w:ascii="Times New Roman" w:hAnsi="Times New Roman" w:cs="Times New Roman"/>
          <w:sz w:val="24"/>
          <w:szCs w:val="24"/>
        </w:rPr>
        <w:t xml:space="preserve">kao oblika izravne podrške otočnim </w:t>
      </w:r>
      <w:r w:rsidR="00BB43D2">
        <w:rPr>
          <w:rFonts w:ascii="Times New Roman" w:hAnsi="Times New Roman" w:cs="Times New Roman"/>
          <w:sz w:val="24"/>
          <w:szCs w:val="24"/>
        </w:rPr>
        <w:t>subjektima</w:t>
      </w:r>
      <w:r w:rsidR="00BA5A57">
        <w:rPr>
          <w:rFonts w:ascii="Times New Roman" w:hAnsi="Times New Roman" w:cs="Times New Roman"/>
          <w:sz w:val="24"/>
          <w:szCs w:val="24"/>
        </w:rPr>
        <w:t xml:space="preserve"> te</w:t>
      </w:r>
      <w:r w:rsidR="005677CB">
        <w:rPr>
          <w:rFonts w:ascii="Times New Roman" w:hAnsi="Times New Roman" w:cs="Times New Roman"/>
          <w:sz w:val="24"/>
          <w:szCs w:val="24"/>
        </w:rPr>
        <w:t xml:space="preserve"> diseminacije ciljeva, mjera i rezultata Programa</w:t>
      </w:r>
      <w:r w:rsidR="00EB2F4B">
        <w:rPr>
          <w:rFonts w:ascii="Times New Roman" w:hAnsi="Times New Roman" w:cs="Times New Roman"/>
          <w:sz w:val="24"/>
          <w:szCs w:val="24"/>
        </w:rPr>
        <w:t xml:space="preserve"> HOP</w:t>
      </w:r>
      <w:r w:rsidR="00BA5A57">
        <w:rPr>
          <w:rFonts w:ascii="Times New Roman" w:hAnsi="Times New Roman" w:cs="Times New Roman"/>
          <w:sz w:val="24"/>
          <w:szCs w:val="24"/>
        </w:rPr>
        <w:t>.</w:t>
      </w:r>
    </w:p>
    <w:p w14:paraId="4A4AEA47" w14:textId="77777777" w:rsidR="00E74691" w:rsidRPr="00EB7662" w:rsidRDefault="00E74691" w:rsidP="00BD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A94FD" w14:textId="77777777" w:rsidR="00720173" w:rsidRPr="003C616C" w:rsidRDefault="00720173" w:rsidP="003C616C">
      <w:pPr>
        <w:pStyle w:val="Heading4"/>
        <w:rPr>
          <w:rFonts w:ascii="Times New Roman" w:hAnsi="Times New Roman" w:cs="Times New Roman"/>
          <w:i w:val="0"/>
        </w:rPr>
      </w:pPr>
      <w:r w:rsidRPr="003C616C">
        <w:rPr>
          <w:rFonts w:ascii="Times New Roman" w:hAnsi="Times New Roman" w:cs="Times New Roman"/>
          <w:i w:val="0"/>
        </w:rPr>
        <w:t>Opis mjera i akt</w:t>
      </w:r>
      <w:r w:rsidR="00465DC6" w:rsidRPr="003C616C">
        <w:rPr>
          <w:rFonts w:ascii="Times New Roman" w:hAnsi="Times New Roman" w:cs="Times New Roman"/>
          <w:i w:val="0"/>
        </w:rPr>
        <w:t xml:space="preserve">ivnosti </w:t>
      </w:r>
      <w:r w:rsidRPr="003C616C">
        <w:rPr>
          <w:rFonts w:ascii="Times New Roman" w:hAnsi="Times New Roman" w:cs="Times New Roman"/>
          <w:i w:val="0"/>
        </w:rPr>
        <w:t>za provedbu ciljeva Programa</w:t>
      </w:r>
      <w:r w:rsidR="00EB2F4B" w:rsidRPr="003C616C">
        <w:rPr>
          <w:rFonts w:ascii="Times New Roman" w:hAnsi="Times New Roman" w:cs="Times New Roman"/>
          <w:i w:val="0"/>
        </w:rPr>
        <w:t xml:space="preserve"> HOP</w:t>
      </w:r>
    </w:p>
    <w:p w14:paraId="2C0276AB" w14:textId="77777777" w:rsidR="00EF7E06" w:rsidRDefault="00EF7E06" w:rsidP="007D2F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 za provedbu Programa HOP</w:t>
      </w:r>
      <w:r w:rsidR="00122615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 su:</w:t>
      </w:r>
    </w:p>
    <w:p w14:paraId="758F3FE8" w14:textId="77777777" w:rsidR="00984552" w:rsidRPr="00CC1F88" w:rsidRDefault="00A662C2" w:rsidP="00FF08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Dodjela prava označavanja </w:t>
      </w:r>
      <w:r w:rsidR="00984552" w:rsidRPr="00CC1F88">
        <w:rPr>
          <w:rFonts w:ascii="Times New Roman" w:hAnsi="Times New Roman" w:cs="Times New Roman"/>
          <w:sz w:val="24"/>
          <w:szCs w:val="24"/>
        </w:rPr>
        <w:t xml:space="preserve">oznakom HOP </w:t>
      </w:r>
    </w:p>
    <w:p w14:paraId="1393938E" w14:textId="77777777" w:rsidR="004C26DF" w:rsidRPr="0085404A" w:rsidRDefault="00B75331" w:rsidP="00FF08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_Hlk10642248"/>
      <w:r>
        <w:rPr>
          <w:rFonts w:ascii="Times New Roman" w:hAnsi="Times New Roman" w:cs="Times New Roman"/>
          <w:sz w:val="24"/>
          <w:szCs w:val="24"/>
        </w:rPr>
        <w:t xml:space="preserve">Dodjela potpora male vrijednosti </w:t>
      </w:r>
      <w:r w:rsidR="00894CC8" w:rsidRPr="00894CC8">
        <w:rPr>
          <w:rFonts w:ascii="Times New Roman" w:hAnsi="Times New Roman" w:cs="Times New Roman"/>
          <w:sz w:val="24"/>
          <w:szCs w:val="24"/>
        </w:rPr>
        <w:t>a sufinanciranje troškova sudjelovanja na manifestacijama u svrhu promicanja prepoznatljivosti otočnih proizvoda</w:t>
      </w:r>
    </w:p>
    <w:p w14:paraId="1F907432" w14:textId="77777777" w:rsidR="000C168E" w:rsidRPr="00CC1F88" w:rsidRDefault="000C168E" w:rsidP="00FF08D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1F88">
        <w:rPr>
          <w:rFonts w:ascii="Times New Roman" w:hAnsi="Times New Roman" w:cs="Times New Roman"/>
          <w:sz w:val="24"/>
          <w:szCs w:val="24"/>
        </w:rPr>
        <w:t xml:space="preserve">Dodjela potpora male vrijednosti </w:t>
      </w:r>
      <w:r w:rsidR="00ED7CA9">
        <w:rPr>
          <w:rFonts w:ascii="Times New Roman" w:hAnsi="Times New Roman" w:cs="Times New Roman"/>
          <w:sz w:val="24"/>
          <w:szCs w:val="24"/>
        </w:rPr>
        <w:t xml:space="preserve">za sufinanciranje troškova </w:t>
      </w:r>
      <w:r w:rsidR="00833E98">
        <w:rPr>
          <w:rFonts w:ascii="Times New Roman" w:hAnsi="Times New Roman" w:cs="Times New Roman"/>
          <w:sz w:val="24"/>
          <w:szCs w:val="24"/>
        </w:rPr>
        <w:t>nastalih u postupku dodjele prava označavanja proizvoda oznakom HOP</w:t>
      </w:r>
    </w:p>
    <w:bookmarkEnd w:id="12"/>
    <w:p w14:paraId="03C67231" w14:textId="77777777" w:rsidR="004C26DF" w:rsidRDefault="004C26DF" w:rsidP="00FF08D1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4AAD">
        <w:rPr>
          <w:rFonts w:ascii="Times New Roman" w:hAnsi="Times New Roman" w:cs="Times New Roman"/>
          <w:sz w:val="24"/>
          <w:szCs w:val="24"/>
        </w:rPr>
        <w:t>Jačanje informiranja, promotivnih i medijskih aktivnosti</w:t>
      </w:r>
      <w:r w:rsidR="00894AAD" w:rsidRPr="00894AAD">
        <w:rPr>
          <w:rFonts w:ascii="Times New Roman" w:hAnsi="Times New Roman" w:cs="Times New Roman"/>
          <w:sz w:val="24"/>
          <w:szCs w:val="24"/>
        </w:rPr>
        <w:t xml:space="preserve"> i </w:t>
      </w:r>
      <w:r w:rsidR="00894AAD">
        <w:rPr>
          <w:rFonts w:ascii="Times New Roman" w:hAnsi="Times New Roman" w:cs="Times New Roman"/>
          <w:sz w:val="24"/>
          <w:szCs w:val="24"/>
        </w:rPr>
        <w:t>o</w:t>
      </w:r>
      <w:r w:rsidRPr="00894AAD">
        <w:rPr>
          <w:rFonts w:ascii="Times New Roman" w:hAnsi="Times New Roman" w:cs="Times New Roman"/>
          <w:sz w:val="24"/>
          <w:szCs w:val="24"/>
        </w:rPr>
        <w:t>siguravanje suradnje</w:t>
      </w:r>
      <w:r w:rsidR="00A13395">
        <w:rPr>
          <w:rFonts w:ascii="Times New Roman" w:hAnsi="Times New Roman" w:cs="Times New Roman"/>
          <w:sz w:val="24"/>
          <w:szCs w:val="24"/>
        </w:rPr>
        <w:t xml:space="preserve"> i podrške</w:t>
      </w:r>
      <w:r w:rsidRPr="00894AAD">
        <w:rPr>
          <w:rFonts w:ascii="Times New Roman" w:hAnsi="Times New Roman" w:cs="Times New Roman"/>
          <w:sz w:val="24"/>
          <w:szCs w:val="24"/>
        </w:rPr>
        <w:t xml:space="preserve"> u realizaciji i promociji Programa</w:t>
      </w:r>
    </w:p>
    <w:p w14:paraId="6F1774F9" w14:textId="77777777" w:rsidR="003E71EA" w:rsidRDefault="003E71EA" w:rsidP="003E71EA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EF76FB" w14:textId="77777777" w:rsidR="00366129" w:rsidRDefault="00366129" w:rsidP="003E71EA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B46536" w14:textId="77777777" w:rsidR="00CC1F88" w:rsidRPr="00FB51C7" w:rsidRDefault="00861128" w:rsidP="00FB51C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Dodjela prava označavanja</w:t>
      </w:r>
      <w:r w:rsidR="00CC1F88" w:rsidRPr="00FB51C7">
        <w:rPr>
          <w:rFonts w:ascii="Times New Roman" w:hAnsi="Times New Roman" w:cs="Times New Roman"/>
          <w:b/>
          <w:i/>
          <w:sz w:val="24"/>
          <w:szCs w:val="24"/>
        </w:rPr>
        <w:t xml:space="preserve"> oznakom HOP</w:t>
      </w:r>
      <w:r w:rsidR="00191B8A" w:rsidRPr="00191B8A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</w:p>
    <w:p w14:paraId="459B7CFE" w14:textId="77777777" w:rsidR="006260A9" w:rsidRPr="00DF1973" w:rsidRDefault="000254EE" w:rsidP="00DF197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Vizualnim označavanjem otočnih proizvoda posebnom oznakom doprinosi se razvoju </w:t>
      </w:r>
      <w:r w:rsidR="00D2628C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otočn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2628C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proizvodnje</w:t>
      </w:r>
      <w:r w:rsidR="00F537E7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2628C" w:rsidRPr="00D55591">
        <w:rPr>
          <w:rStyle w:val="defaultparagraphfont-000091"/>
          <w:color w:val="000000" w:themeColor="text1"/>
        </w:rPr>
        <w:t xml:space="preserve">osnaživanju </w:t>
      </w:r>
      <w:r w:rsidR="00D2628C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pozicije otočnih proizvoda na domaćem i stranom tržištu</w:t>
      </w:r>
      <w:r w:rsidR="00F537E7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promicanju otočne tradicije i identiteta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. Proizvodi se moraju proizvesti na otoku te zadovoljavaju</w:t>
      </w:r>
      <w:r w:rsidR="009B06B0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potrebne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uvjete</w:t>
      </w:r>
      <w:r w:rsidR="009B06B0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određene posebnim propisima (o sigurnosti i zdravstvenoj ispravnosti hrane, pića, kemijskih proizvoda i dr.)</w:t>
      </w:r>
      <w:r w:rsidR="009B06B0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proizvod su otočne tradicije, ali mogu biti i inovacija te invencija. 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2628C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odjela </w:t>
      </w:r>
      <w:r w:rsidR="000B18AD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prava označavanja 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proizvoda </w:t>
      </w:r>
      <w:r w:rsidR="000B18AD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otočnim </w:t>
      </w:r>
      <w:r w:rsidR="00C839A5">
        <w:rPr>
          <w:rFonts w:ascii="Times New Roman" w:hAnsi="Times New Roman" w:cs="Times New Roman"/>
          <w:color w:val="000000" w:themeColor="text1"/>
          <w:sz w:val="24"/>
          <w:szCs w:val="24"/>
        </w:rPr>
        <w:t>subjektima</w:t>
      </w:r>
      <w:r w:rsidR="00C839A5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28C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oznak</w:t>
      </w:r>
      <w:r w:rsidR="000B18AD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D2628C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HOP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skup aktivnosti koje podrazumijevaju pripremu i objavu javnog poziva, administrativnu kontrolu pristiglih zahtjeva po javnom pozivu, organiziranje rada stručnog povjerenstva za postupak ocjenjivanja otočnih proizvoda prema </w:t>
      </w:r>
      <w:r w:rsidR="00C81FBE">
        <w:rPr>
          <w:rFonts w:ascii="Times New Roman" w:hAnsi="Times New Roman" w:cs="Times New Roman"/>
          <w:color w:val="000000" w:themeColor="text1"/>
          <w:sz w:val="24"/>
          <w:szCs w:val="24"/>
        </w:rPr>
        <w:t>grupama</w:t>
      </w:r>
      <w:r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otočnih proizvoda, priprema ugovora o dodjeli prava označavanja oznakom HOP te organizacija svečane dodjele prigodnih diploma korisnicima oznake HOP.</w:t>
      </w:r>
      <w:r w:rsidR="00D55591" w:rsidRPr="00D55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28C" w:rsidRPr="008C6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Korisnici ove mjere su otočni </w:t>
      </w:r>
      <w:r w:rsidR="00FF31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subjekti</w:t>
      </w:r>
      <w:r w:rsidR="00D2628C" w:rsidRPr="008C60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 registracijom djelatnosti i proizvodnjom na otocima, koji imaju sjedište na otoku, moraju biti </w:t>
      </w:r>
      <w:bookmarkStart w:id="13" w:name="_Hlk9869572"/>
      <w:r w:rsidR="00D2628C" w:rsidRPr="002C0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upisani u odgovarajuće registre</w:t>
      </w:r>
      <w:r w:rsidR="008C603D" w:rsidRPr="002C0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2628C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r w:rsidR="00D2628C" w:rsidRPr="002C0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8C603D" w:rsidRPr="002C0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upisnike</w:t>
      </w:r>
      <w:bookmarkEnd w:id="13"/>
      <w:r w:rsidR="00FF31F7" w:rsidRPr="002C0A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koje vode nadležna tijela te </w:t>
      </w:r>
      <w:r w:rsidR="002C0A61" w:rsidRPr="002C0A61">
        <w:rPr>
          <w:rFonts w:ascii="Times New Roman" w:hAnsi="Times New Roman" w:cs="Times New Roman"/>
          <w:sz w:val="24"/>
          <w:szCs w:val="24"/>
        </w:rPr>
        <w:t>fizičk</w:t>
      </w:r>
      <w:r w:rsidR="002C0A61">
        <w:rPr>
          <w:rFonts w:ascii="Times New Roman" w:hAnsi="Times New Roman" w:cs="Times New Roman"/>
          <w:sz w:val="24"/>
          <w:szCs w:val="24"/>
        </w:rPr>
        <w:t>e</w:t>
      </w:r>
      <w:r w:rsidR="002C0A61" w:rsidRPr="002C0A61">
        <w:rPr>
          <w:rFonts w:ascii="Times New Roman" w:hAnsi="Times New Roman" w:cs="Times New Roman"/>
          <w:sz w:val="24"/>
          <w:szCs w:val="24"/>
        </w:rPr>
        <w:t xml:space="preserve"> ili pravn</w:t>
      </w:r>
      <w:r w:rsidR="002C0A61">
        <w:rPr>
          <w:rFonts w:ascii="Times New Roman" w:hAnsi="Times New Roman" w:cs="Times New Roman"/>
          <w:sz w:val="24"/>
          <w:szCs w:val="24"/>
        </w:rPr>
        <w:t>e</w:t>
      </w:r>
      <w:r w:rsidR="002C0A61" w:rsidRPr="002C0A61">
        <w:rPr>
          <w:rFonts w:ascii="Times New Roman" w:hAnsi="Times New Roman" w:cs="Times New Roman"/>
          <w:sz w:val="24"/>
          <w:szCs w:val="24"/>
        </w:rPr>
        <w:t xml:space="preserve"> osob</w:t>
      </w:r>
      <w:r w:rsidR="002C0A61">
        <w:rPr>
          <w:rFonts w:ascii="Times New Roman" w:hAnsi="Times New Roman" w:cs="Times New Roman"/>
          <w:sz w:val="24"/>
          <w:szCs w:val="24"/>
        </w:rPr>
        <w:t>e</w:t>
      </w:r>
      <w:r w:rsidR="002C0A61" w:rsidRPr="002C0A61">
        <w:rPr>
          <w:rFonts w:ascii="Times New Roman" w:hAnsi="Times New Roman" w:cs="Times New Roman"/>
          <w:sz w:val="24"/>
          <w:szCs w:val="24"/>
        </w:rPr>
        <w:t xml:space="preserve"> koj</w:t>
      </w:r>
      <w:r w:rsidR="002C0A61">
        <w:rPr>
          <w:rFonts w:ascii="Times New Roman" w:hAnsi="Times New Roman" w:cs="Times New Roman"/>
          <w:sz w:val="24"/>
          <w:szCs w:val="24"/>
        </w:rPr>
        <w:t>e</w:t>
      </w:r>
      <w:r w:rsidR="002C0A61" w:rsidRPr="002C0A61">
        <w:rPr>
          <w:rFonts w:ascii="Times New Roman" w:hAnsi="Times New Roman" w:cs="Times New Roman"/>
          <w:sz w:val="24"/>
          <w:szCs w:val="24"/>
        </w:rPr>
        <w:t xml:space="preserve"> </w:t>
      </w:r>
      <w:r w:rsidR="002C0A61">
        <w:rPr>
          <w:rFonts w:ascii="Times New Roman" w:hAnsi="Times New Roman" w:cs="Times New Roman"/>
          <w:sz w:val="24"/>
          <w:szCs w:val="24"/>
        </w:rPr>
        <w:t>su</w:t>
      </w:r>
      <w:r w:rsidR="002C0A61" w:rsidRPr="002C0A61">
        <w:rPr>
          <w:rFonts w:ascii="Times New Roman" w:hAnsi="Times New Roman" w:cs="Times New Roman"/>
          <w:sz w:val="24"/>
          <w:szCs w:val="24"/>
        </w:rPr>
        <w:t xml:space="preserve"> nositelj</w:t>
      </w:r>
      <w:r w:rsidR="002C0A61">
        <w:rPr>
          <w:rFonts w:ascii="Times New Roman" w:hAnsi="Times New Roman" w:cs="Times New Roman"/>
          <w:sz w:val="24"/>
          <w:szCs w:val="24"/>
        </w:rPr>
        <w:t>i</w:t>
      </w:r>
      <w:r w:rsidR="002C0A61" w:rsidRPr="002C0A61">
        <w:rPr>
          <w:rFonts w:ascii="Times New Roman" w:hAnsi="Times New Roman" w:cs="Times New Roman"/>
          <w:sz w:val="24"/>
          <w:szCs w:val="24"/>
        </w:rPr>
        <w:t xml:space="preserve"> prava na nematerijalnom kulturnom dobru prema </w:t>
      </w:r>
      <w:r w:rsidR="00C34A56">
        <w:rPr>
          <w:rFonts w:ascii="Times New Roman" w:hAnsi="Times New Roman" w:cs="Times New Roman"/>
          <w:sz w:val="24"/>
          <w:szCs w:val="24"/>
        </w:rPr>
        <w:t xml:space="preserve">posebnom </w:t>
      </w:r>
      <w:r w:rsidR="002C0A61" w:rsidRPr="002C0A61">
        <w:rPr>
          <w:rFonts w:ascii="Times New Roman" w:hAnsi="Times New Roman" w:cs="Times New Roman"/>
          <w:sz w:val="24"/>
          <w:szCs w:val="24"/>
        </w:rPr>
        <w:t>zakonu kojim se uređuju poslovi zaštite i očuvanja kulturnih dobara</w:t>
      </w:r>
      <w:r w:rsidR="002C0A61">
        <w:rPr>
          <w:rFonts w:ascii="Times New Roman" w:hAnsi="Times New Roman" w:cs="Times New Roman"/>
          <w:sz w:val="24"/>
          <w:szCs w:val="24"/>
        </w:rPr>
        <w:t>.</w:t>
      </w:r>
      <w:r w:rsidR="002C0A61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C6E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>Oznaka</w:t>
      </w:r>
      <w:r w:rsidR="006260A9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F4B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HOP </w:t>
      </w:r>
      <w:r w:rsidR="006260A9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potrošaču jamči kupnju </w:t>
      </w:r>
      <w:r w:rsidR="00DF1973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proizvoda </w:t>
      </w:r>
      <w:r w:rsidR="006260A9" w:rsidRPr="002C0A61">
        <w:rPr>
          <w:rFonts w:ascii="Times New Roman" w:hAnsi="Times New Roman" w:cs="Times New Roman"/>
          <w:color w:val="000000" w:themeColor="text1"/>
          <w:sz w:val="24"/>
          <w:szCs w:val="24"/>
        </w:rPr>
        <w:t>otočnog</w:t>
      </w:r>
      <w:r w:rsidR="006260A9" w:rsidRPr="00DF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lokalnog podrijetla po mjestu njegove proizvodnje</w:t>
      </w:r>
      <w:r w:rsidR="00DF1973" w:rsidRPr="00DF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ad</w:t>
      </w:r>
      <w:r w:rsidR="00FF31F7">
        <w:rPr>
          <w:rFonts w:ascii="Times New Roman" w:hAnsi="Times New Roman" w:cs="Times New Roman"/>
          <w:color w:val="000000" w:themeColor="text1"/>
          <w:sz w:val="24"/>
          <w:szCs w:val="24"/>
        </w:rPr>
        <w:t>ekvatne kvalitete i ispravnosti, odnosno doživljaj otočne tradicije i baštine.</w:t>
      </w:r>
      <w:r w:rsidR="006260A9" w:rsidRPr="00DF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Stoga se ukazuje potreba za nadzorom i kontrolom nad korištenjem prava označavanja oznakom HOP te kontrolom i provjerom samih otočnih proizvoda. </w:t>
      </w:r>
      <w:r w:rsidR="00536132" w:rsidRPr="00DF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Kroz provedbu ove mjere predviđena je </w:t>
      </w:r>
      <w:r w:rsidR="004D6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536132" w:rsidRPr="00DF1973">
        <w:rPr>
          <w:rFonts w:ascii="Times New Roman" w:hAnsi="Times New Roman" w:cs="Times New Roman"/>
          <w:color w:val="000000" w:themeColor="text1"/>
          <w:sz w:val="24"/>
          <w:szCs w:val="24"/>
        </w:rPr>
        <w:t>uspostava sustava evidencije važećih ugovora o pravu označavanja.</w:t>
      </w:r>
    </w:p>
    <w:p w14:paraId="7916F4D6" w14:textId="77777777" w:rsidR="00BF3457" w:rsidRDefault="00BF3457" w:rsidP="00BF34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2A">
        <w:rPr>
          <w:rFonts w:ascii="Times New Roman" w:hAnsi="Times New Roman" w:cs="Times New Roman"/>
          <w:b/>
          <w:sz w:val="24"/>
          <w:szCs w:val="24"/>
        </w:rPr>
        <w:t>Mjera je povezana s</w:t>
      </w:r>
      <w:r>
        <w:rPr>
          <w:rFonts w:ascii="Times New Roman" w:hAnsi="Times New Roman" w:cs="Times New Roman"/>
          <w:b/>
          <w:sz w:val="24"/>
          <w:szCs w:val="24"/>
        </w:rPr>
        <w:t xml:space="preserve">a specifičnim </w:t>
      </w:r>
      <w:r w:rsidRPr="00CD002A">
        <w:rPr>
          <w:rFonts w:ascii="Times New Roman" w:hAnsi="Times New Roman" w:cs="Times New Roman"/>
          <w:b/>
          <w:sz w:val="24"/>
          <w:szCs w:val="24"/>
        </w:rPr>
        <w:t>ciljevima 1.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002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i 3.</w:t>
      </w:r>
    </w:p>
    <w:p w14:paraId="00BBAA69" w14:textId="77777777" w:rsidR="0084454C" w:rsidRDefault="0084454C" w:rsidP="00D73A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852A94" w14:textId="77777777" w:rsidR="00D73A38" w:rsidRPr="00FB51C7" w:rsidRDefault="00B75331" w:rsidP="00FB51C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Dodjela potpora male vrijednosti za </w:t>
      </w:r>
      <w:r w:rsidR="002D43CC">
        <w:rPr>
          <w:rFonts w:ascii="Times New Roman" w:hAnsi="Times New Roman" w:cs="Times New Roman"/>
          <w:b/>
          <w:i/>
          <w:sz w:val="24"/>
          <w:szCs w:val="24"/>
        </w:rPr>
        <w:t>sufinanciranje troškova sudjelovanja na manifestacijama u svrhu promicanja prepoznatljivosti otočnih proizvoda</w:t>
      </w:r>
    </w:p>
    <w:p w14:paraId="21BF3E98" w14:textId="77777777" w:rsidR="00A26DDD" w:rsidRPr="007173E7" w:rsidRDefault="00A26DDD" w:rsidP="007173E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173E7">
        <w:rPr>
          <w:rFonts w:ascii="Times New Roman" w:hAnsi="Times New Roman" w:cs="Times New Roman"/>
          <w:sz w:val="24"/>
          <w:szCs w:val="24"/>
        </w:rPr>
        <w:t xml:space="preserve">U svrhu </w:t>
      </w:r>
      <w:r w:rsidR="007173E7" w:rsidRPr="007173E7">
        <w:rPr>
          <w:rFonts w:ascii="Times New Roman" w:hAnsi="Times New Roman" w:cs="Times New Roman"/>
          <w:sz w:val="24"/>
          <w:szCs w:val="24"/>
        </w:rPr>
        <w:t xml:space="preserve">nastavka </w:t>
      </w:r>
      <w:r w:rsidRPr="007173E7">
        <w:rPr>
          <w:rFonts w:ascii="Times New Roman" w:hAnsi="Times New Roman" w:cs="Times New Roman"/>
          <w:sz w:val="24"/>
          <w:szCs w:val="24"/>
        </w:rPr>
        <w:t xml:space="preserve">promicanja i poticanja prezentacije otočnih proizvoda kojima je </w:t>
      </w:r>
      <w:r w:rsidR="009F0824" w:rsidRPr="009C2956">
        <w:rPr>
          <w:rFonts w:ascii="Times New Roman" w:hAnsi="Times New Roman" w:cs="Times New Roman"/>
          <w:sz w:val="24"/>
          <w:szCs w:val="24"/>
        </w:rPr>
        <w:t>dodijeljen</w:t>
      </w:r>
      <w:r w:rsidR="00F56FF1" w:rsidRPr="009C2956">
        <w:rPr>
          <w:rFonts w:ascii="Times New Roman" w:hAnsi="Times New Roman" w:cs="Times New Roman"/>
          <w:sz w:val="24"/>
          <w:szCs w:val="24"/>
        </w:rPr>
        <w:t>a</w:t>
      </w:r>
      <w:r w:rsidR="009F0824" w:rsidRPr="009C2956">
        <w:rPr>
          <w:rFonts w:ascii="Times New Roman" w:hAnsi="Times New Roman" w:cs="Times New Roman"/>
          <w:sz w:val="24"/>
          <w:szCs w:val="24"/>
        </w:rPr>
        <w:t xml:space="preserve"> oznaka HOP, </w:t>
      </w:r>
      <w:r w:rsidRPr="009C2956">
        <w:rPr>
          <w:rFonts w:ascii="Times New Roman" w:hAnsi="Times New Roman" w:cs="Times New Roman"/>
          <w:sz w:val="24"/>
          <w:szCs w:val="24"/>
        </w:rPr>
        <w:t>Ministarstvo</w:t>
      </w:r>
      <w:r w:rsidR="009F0824" w:rsidRPr="009C2956">
        <w:rPr>
          <w:rFonts w:ascii="Times New Roman" w:hAnsi="Times New Roman" w:cs="Times New Roman"/>
          <w:sz w:val="24"/>
          <w:szCs w:val="24"/>
        </w:rPr>
        <w:t xml:space="preserve"> će putem Programa potpora male vrijednosti</w:t>
      </w:r>
      <w:r w:rsidR="00FD08AC">
        <w:rPr>
          <w:rFonts w:ascii="Times New Roman" w:hAnsi="Times New Roman" w:cs="Times New Roman"/>
          <w:sz w:val="24"/>
          <w:szCs w:val="24"/>
        </w:rPr>
        <w:t xml:space="preserve"> </w:t>
      </w:r>
      <w:r w:rsidR="00956FB5">
        <w:rPr>
          <w:rFonts w:ascii="Times New Roman" w:hAnsi="Times New Roman" w:cs="Times New Roman"/>
          <w:sz w:val="24"/>
          <w:szCs w:val="24"/>
        </w:rPr>
        <w:t>dodjeljivati otočnim subjektima</w:t>
      </w:r>
      <w:r w:rsidR="00554665">
        <w:rPr>
          <w:rFonts w:ascii="Times New Roman" w:hAnsi="Times New Roman" w:cs="Times New Roman"/>
          <w:sz w:val="24"/>
          <w:szCs w:val="24"/>
        </w:rPr>
        <w:t xml:space="preserve"> – korisnicima oznake HOP</w:t>
      </w:r>
      <w:r w:rsidR="00956FB5">
        <w:rPr>
          <w:rFonts w:ascii="Times New Roman" w:hAnsi="Times New Roman" w:cs="Times New Roman"/>
          <w:sz w:val="24"/>
          <w:szCs w:val="24"/>
        </w:rPr>
        <w:t xml:space="preserve"> potpore za </w:t>
      </w:r>
      <w:r w:rsidR="00554665">
        <w:rPr>
          <w:rFonts w:ascii="Times New Roman" w:hAnsi="Times New Roman" w:cs="Times New Roman"/>
          <w:sz w:val="24"/>
          <w:szCs w:val="24"/>
        </w:rPr>
        <w:t>s</w:t>
      </w:r>
      <w:r w:rsidR="009F0824">
        <w:rPr>
          <w:rFonts w:ascii="Times New Roman" w:hAnsi="Times New Roman" w:cs="Times New Roman"/>
          <w:sz w:val="24"/>
          <w:szCs w:val="24"/>
        </w:rPr>
        <w:t xml:space="preserve">ufinanciranje troškova </w:t>
      </w:r>
      <w:r w:rsidR="00894CC8">
        <w:rPr>
          <w:rFonts w:ascii="Times New Roman" w:hAnsi="Times New Roman" w:cs="Times New Roman"/>
          <w:sz w:val="24"/>
          <w:szCs w:val="24"/>
        </w:rPr>
        <w:t>sudjelovanja na manifestacijama</w:t>
      </w:r>
      <w:r w:rsidR="00FD08AC">
        <w:rPr>
          <w:rFonts w:ascii="Times New Roman" w:hAnsi="Times New Roman" w:cs="Times New Roman"/>
          <w:sz w:val="24"/>
          <w:szCs w:val="24"/>
        </w:rPr>
        <w:t>.</w:t>
      </w:r>
      <w:r w:rsidRPr="007173E7">
        <w:rPr>
          <w:rFonts w:ascii="Times New Roman" w:hAnsi="Times New Roman" w:cs="Times New Roman"/>
          <w:sz w:val="24"/>
          <w:szCs w:val="24"/>
        </w:rPr>
        <w:t xml:space="preserve"> Ministarstvo utvrđuje ukupan iznos potpora raspoloživ za </w:t>
      </w:r>
      <w:r w:rsidR="007173E7" w:rsidRPr="007173E7">
        <w:rPr>
          <w:rFonts w:ascii="Times New Roman" w:hAnsi="Times New Roman" w:cs="Times New Roman"/>
          <w:sz w:val="24"/>
          <w:szCs w:val="24"/>
        </w:rPr>
        <w:t>ovu mjeru</w:t>
      </w:r>
      <w:r w:rsidRPr="007173E7">
        <w:rPr>
          <w:rFonts w:ascii="Times New Roman" w:hAnsi="Times New Roman" w:cs="Times New Roman"/>
          <w:sz w:val="24"/>
          <w:szCs w:val="24"/>
        </w:rPr>
        <w:t xml:space="preserve"> te </w:t>
      </w:r>
      <w:r w:rsidR="00554665">
        <w:rPr>
          <w:rFonts w:ascii="Times New Roman" w:hAnsi="Times New Roman" w:cs="Times New Roman"/>
          <w:sz w:val="24"/>
          <w:szCs w:val="24"/>
        </w:rPr>
        <w:t>intenzitet</w:t>
      </w:r>
      <w:r w:rsidRPr="007173E7">
        <w:rPr>
          <w:rFonts w:ascii="Times New Roman" w:hAnsi="Times New Roman" w:cs="Times New Roman"/>
          <w:sz w:val="24"/>
          <w:szCs w:val="24"/>
        </w:rPr>
        <w:t xml:space="preserve"> </w:t>
      </w:r>
      <w:r w:rsidR="00F2774E">
        <w:rPr>
          <w:rFonts w:ascii="Times New Roman" w:hAnsi="Times New Roman" w:cs="Times New Roman"/>
          <w:sz w:val="24"/>
          <w:szCs w:val="24"/>
        </w:rPr>
        <w:t xml:space="preserve">i visinu </w:t>
      </w:r>
      <w:r w:rsidRPr="007173E7">
        <w:rPr>
          <w:rFonts w:ascii="Times New Roman" w:hAnsi="Times New Roman" w:cs="Times New Roman"/>
          <w:sz w:val="24"/>
          <w:szCs w:val="24"/>
        </w:rPr>
        <w:t xml:space="preserve">potpore koja se može dodijeliti korisniku potpore za tekuću godinu ovisno o sredstvima raspoloživim u državnom proračunu Republike Hrvatske. </w:t>
      </w:r>
    </w:p>
    <w:p w14:paraId="40D10F75" w14:textId="77777777" w:rsidR="00A43E80" w:rsidRDefault="00FD08AC" w:rsidP="00FF31F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mjere je potaknuti korisnike oznake HOP </w:t>
      </w:r>
      <w:r w:rsidR="0055466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sudjelovanje na </w:t>
      </w:r>
      <w:r w:rsidR="00554665">
        <w:rPr>
          <w:rFonts w:ascii="Times New Roman" w:hAnsi="Times New Roman" w:cs="Times New Roman"/>
          <w:sz w:val="24"/>
          <w:szCs w:val="24"/>
        </w:rPr>
        <w:t>skupnim</w:t>
      </w:r>
      <w:r>
        <w:rPr>
          <w:rFonts w:ascii="Times New Roman" w:hAnsi="Times New Roman" w:cs="Times New Roman"/>
          <w:sz w:val="24"/>
          <w:szCs w:val="24"/>
        </w:rPr>
        <w:t xml:space="preserve"> događanjima u svrhu promicanja proizvoda koji nose oznaku HOP</w:t>
      </w:r>
      <w:r w:rsidR="005546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kao i samog Programa HOP. </w:t>
      </w:r>
    </w:p>
    <w:p w14:paraId="2F4AC4DC" w14:textId="77777777" w:rsidR="00B107F1" w:rsidRDefault="00B107F1" w:rsidP="00B10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2A">
        <w:rPr>
          <w:rFonts w:ascii="Times New Roman" w:hAnsi="Times New Roman" w:cs="Times New Roman"/>
          <w:b/>
          <w:sz w:val="24"/>
          <w:szCs w:val="24"/>
        </w:rPr>
        <w:t>Mjera je povezana s</w:t>
      </w:r>
      <w:r w:rsidR="005F5587">
        <w:rPr>
          <w:rFonts w:ascii="Times New Roman" w:hAnsi="Times New Roman" w:cs="Times New Roman"/>
          <w:b/>
          <w:sz w:val="24"/>
          <w:szCs w:val="24"/>
        </w:rPr>
        <w:t>a specifičnim</w:t>
      </w:r>
      <w:r w:rsidRPr="00CD002A">
        <w:rPr>
          <w:rFonts w:ascii="Times New Roman" w:hAnsi="Times New Roman" w:cs="Times New Roman"/>
          <w:b/>
          <w:sz w:val="24"/>
          <w:szCs w:val="24"/>
        </w:rPr>
        <w:t xml:space="preserve"> cilje</w:t>
      </w:r>
      <w:r>
        <w:rPr>
          <w:rFonts w:ascii="Times New Roman" w:hAnsi="Times New Roman" w:cs="Times New Roman"/>
          <w:b/>
          <w:sz w:val="24"/>
          <w:szCs w:val="24"/>
        </w:rPr>
        <w:t xml:space="preserve">vima </w:t>
      </w:r>
      <w:r w:rsidR="00554665">
        <w:rPr>
          <w:rFonts w:ascii="Times New Roman" w:hAnsi="Times New Roman" w:cs="Times New Roman"/>
          <w:b/>
          <w:sz w:val="24"/>
          <w:szCs w:val="24"/>
        </w:rPr>
        <w:t xml:space="preserve">1., </w:t>
      </w:r>
      <w:r>
        <w:rPr>
          <w:rFonts w:ascii="Times New Roman" w:hAnsi="Times New Roman" w:cs="Times New Roman"/>
          <w:b/>
          <w:sz w:val="24"/>
          <w:szCs w:val="24"/>
        </w:rPr>
        <w:t>2. i 4.</w:t>
      </w:r>
    </w:p>
    <w:p w14:paraId="626EFF17" w14:textId="77777777" w:rsidR="0084454C" w:rsidRDefault="0084454C" w:rsidP="00D73A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3D0705" w14:textId="77777777" w:rsidR="00D73A38" w:rsidRDefault="00D73A38" w:rsidP="00FB51C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B51C7">
        <w:rPr>
          <w:rFonts w:ascii="Times New Roman" w:hAnsi="Times New Roman" w:cs="Times New Roman"/>
          <w:b/>
          <w:i/>
          <w:sz w:val="24"/>
          <w:szCs w:val="24"/>
        </w:rPr>
        <w:t xml:space="preserve">Dodjela potpora male vrijednosti </w:t>
      </w:r>
      <w:r w:rsidR="00894CC8">
        <w:rPr>
          <w:rFonts w:ascii="Times New Roman" w:hAnsi="Times New Roman" w:cs="Times New Roman"/>
          <w:b/>
          <w:i/>
          <w:sz w:val="24"/>
          <w:szCs w:val="24"/>
        </w:rPr>
        <w:t xml:space="preserve">za sufinanciranje troškova </w:t>
      </w:r>
      <w:r w:rsidR="00FF1CBD">
        <w:rPr>
          <w:rFonts w:ascii="Times New Roman" w:hAnsi="Times New Roman" w:cs="Times New Roman"/>
          <w:b/>
          <w:i/>
          <w:sz w:val="24"/>
          <w:szCs w:val="24"/>
        </w:rPr>
        <w:t xml:space="preserve">nastalih u postupku dodjele </w:t>
      </w:r>
      <w:r w:rsidR="007655B1">
        <w:rPr>
          <w:rFonts w:ascii="Times New Roman" w:hAnsi="Times New Roman" w:cs="Times New Roman"/>
          <w:b/>
          <w:i/>
          <w:sz w:val="24"/>
          <w:szCs w:val="24"/>
        </w:rPr>
        <w:t xml:space="preserve">prava označavanja proizvoda oznakom </w:t>
      </w:r>
      <w:r w:rsidR="00894CC8">
        <w:rPr>
          <w:rFonts w:ascii="Times New Roman" w:hAnsi="Times New Roman" w:cs="Times New Roman"/>
          <w:b/>
          <w:i/>
          <w:sz w:val="24"/>
          <w:szCs w:val="24"/>
        </w:rPr>
        <w:t>HOP</w:t>
      </w:r>
    </w:p>
    <w:p w14:paraId="5B4339B5" w14:textId="77777777" w:rsidR="000B6A98" w:rsidRDefault="006427DC" w:rsidP="00752D0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Bitan preduvjet stjecanja prava korištenja oznake HOP i samo korištenje oznake HOP za otočne </w:t>
      </w:r>
      <w:r w:rsidR="00FF31F7">
        <w:rPr>
          <w:rFonts w:ascii="Times New Roman" w:hAnsi="Times New Roman" w:cs="Times New Roman"/>
          <w:sz w:val="24"/>
          <w:szCs w:val="24"/>
        </w:rPr>
        <w:t>subjekte</w:t>
      </w:r>
      <w:r>
        <w:rPr>
          <w:rFonts w:ascii="Times New Roman" w:hAnsi="Times New Roman" w:cs="Times New Roman"/>
          <w:sz w:val="24"/>
          <w:szCs w:val="24"/>
        </w:rPr>
        <w:t xml:space="preserve"> je usklađenost otočnih proizvoda u smislu ispravnosti s posebnim propisima, ovisno o vrsti proizvoda. Otočni proizvod mora </w:t>
      </w:r>
      <w:r w:rsidRPr="006427DC">
        <w:rPr>
          <w:rStyle w:val="defaultparagraphfont-000006"/>
        </w:rPr>
        <w:t>u</w:t>
      </w:r>
      <w:r w:rsidRPr="006427DC">
        <w:rPr>
          <w:rFonts w:ascii="Times New Roman" w:hAnsi="Times New Roman" w:cs="Times New Roman"/>
          <w:sz w:val="24"/>
          <w:szCs w:val="24"/>
        </w:rPr>
        <w:t>dovoljavati svim zakonskim i drugim propisima te zahtjevima propisanim</w:t>
      </w:r>
      <w:r w:rsidR="001401A0">
        <w:rPr>
          <w:rFonts w:ascii="Times New Roman" w:hAnsi="Times New Roman" w:cs="Times New Roman"/>
          <w:sz w:val="24"/>
          <w:szCs w:val="24"/>
        </w:rPr>
        <w:t>a</w:t>
      </w:r>
      <w:r w:rsidRPr="006427DC">
        <w:rPr>
          <w:rFonts w:ascii="Times New Roman" w:hAnsi="Times New Roman" w:cs="Times New Roman"/>
          <w:sz w:val="24"/>
          <w:szCs w:val="24"/>
        </w:rPr>
        <w:t xml:space="preserve"> ostalim aktima, procedurama i standardima, a koji se odnose na proizvodnju, skladištenje, distribuciju, stavljanje na tržište, sigurnost, zaštitu zdravlja, zaštitu okoliša i zaštitu potrošača te svim ostalim propisanim zahtjevima koji se odnose na taj proizvod</w:t>
      </w:r>
      <w:r w:rsidR="001401A0">
        <w:rPr>
          <w:rFonts w:ascii="Times New Roman" w:hAnsi="Times New Roman" w:cs="Times New Roman"/>
          <w:sz w:val="24"/>
          <w:szCs w:val="24"/>
        </w:rPr>
        <w:t xml:space="preserve">. Kako bi se omogućilo većem broju otočnih </w:t>
      </w:r>
      <w:r w:rsidR="00FF31F7">
        <w:rPr>
          <w:rFonts w:ascii="Times New Roman" w:hAnsi="Times New Roman" w:cs="Times New Roman"/>
          <w:sz w:val="24"/>
          <w:szCs w:val="24"/>
        </w:rPr>
        <w:t>subjekata</w:t>
      </w:r>
      <w:r w:rsidR="001401A0">
        <w:rPr>
          <w:rFonts w:ascii="Times New Roman" w:hAnsi="Times New Roman" w:cs="Times New Roman"/>
          <w:sz w:val="24"/>
          <w:szCs w:val="24"/>
        </w:rPr>
        <w:t xml:space="preserve"> stjecanje prava </w:t>
      </w:r>
      <w:r w:rsidR="001401A0" w:rsidRPr="009C2956">
        <w:rPr>
          <w:rFonts w:ascii="Times New Roman" w:hAnsi="Times New Roman" w:cs="Times New Roman"/>
          <w:sz w:val="24"/>
          <w:szCs w:val="24"/>
        </w:rPr>
        <w:lastRenderedPageBreak/>
        <w:t xml:space="preserve">korištenja oznake HOP, Ministarstvo će </w:t>
      </w:r>
      <w:r w:rsidR="009F0824" w:rsidRPr="009C2956">
        <w:rPr>
          <w:rFonts w:ascii="Times New Roman" w:hAnsi="Times New Roman" w:cs="Times New Roman"/>
          <w:sz w:val="24"/>
          <w:szCs w:val="24"/>
        </w:rPr>
        <w:t>putem Programa potpora male vrijednosti</w:t>
      </w:r>
      <w:r w:rsidR="009F0824">
        <w:rPr>
          <w:rFonts w:ascii="Times New Roman" w:hAnsi="Times New Roman" w:cs="Times New Roman"/>
          <w:sz w:val="24"/>
          <w:szCs w:val="24"/>
        </w:rPr>
        <w:t xml:space="preserve"> </w:t>
      </w:r>
      <w:r w:rsidR="00554665">
        <w:rPr>
          <w:rFonts w:ascii="Times New Roman" w:hAnsi="Times New Roman" w:cs="Times New Roman"/>
          <w:sz w:val="24"/>
          <w:szCs w:val="24"/>
        </w:rPr>
        <w:t xml:space="preserve">korisnicima oznake HOP </w:t>
      </w:r>
      <w:r w:rsidR="009F0824">
        <w:rPr>
          <w:rFonts w:ascii="Times New Roman" w:hAnsi="Times New Roman" w:cs="Times New Roman"/>
          <w:sz w:val="24"/>
          <w:szCs w:val="24"/>
        </w:rPr>
        <w:t>sufinancira</w:t>
      </w:r>
      <w:r w:rsidR="00554665">
        <w:rPr>
          <w:rFonts w:ascii="Times New Roman" w:hAnsi="Times New Roman" w:cs="Times New Roman"/>
          <w:sz w:val="24"/>
          <w:szCs w:val="24"/>
        </w:rPr>
        <w:t>ti</w:t>
      </w:r>
      <w:r w:rsidR="009F0824">
        <w:rPr>
          <w:rFonts w:ascii="Times New Roman" w:hAnsi="Times New Roman" w:cs="Times New Roman"/>
          <w:sz w:val="24"/>
          <w:szCs w:val="24"/>
        </w:rPr>
        <w:t xml:space="preserve"> troškov</w:t>
      </w:r>
      <w:r w:rsidR="00554665">
        <w:rPr>
          <w:rFonts w:ascii="Times New Roman" w:hAnsi="Times New Roman" w:cs="Times New Roman"/>
          <w:sz w:val="24"/>
          <w:szCs w:val="24"/>
        </w:rPr>
        <w:t>e</w:t>
      </w:r>
      <w:r w:rsidR="009F0824">
        <w:rPr>
          <w:rFonts w:ascii="Times New Roman" w:hAnsi="Times New Roman" w:cs="Times New Roman"/>
          <w:sz w:val="24"/>
          <w:szCs w:val="24"/>
        </w:rPr>
        <w:t xml:space="preserve"> </w:t>
      </w:r>
      <w:r w:rsidR="00554665">
        <w:rPr>
          <w:rFonts w:ascii="Times New Roman" w:hAnsi="Times New Roman" w:cs="Times New Roman"/>
          <w:sz w:val="24"/>
          <w:szCs w:val="24"/>
        </w:rPr>
        <w:t xml:space="preserve">koji su nastali </w:t>
      </w:r>
      <w:r w:rsidR="009F0824">
        <w:rPr>
          <w:rFonts w:ascii="Times New Roman" w:hAnsi="Times New Roman" w:cs="Times New Roman"/>
          <w:sz w:val="24"/>
          <w:szCs w:val="24"/>
        </w:rPr>
        <w:t>u postupku dodjele prava označavanja proizvoda oznakom HOP</w:t>
      </w:r>
      <w:r w:rsidR="00554665">
        <w:rPr>
          <w:rFonts w:ascii="Times New Roman" w:hAnsi="Times New Roman" w:cs="Times New Roman"/>
          <w:sz w:val="24"/>
          <w:szCs w:val="24"/>
        </w:rPr>
        <w:t xml:space="preserve">. </w:t>
      </w:r>
      <w:r w:rsidR="0078624C">
        <w:rPr>
          <w:rFonts w:ascii="Times New Roman" w:hAnsi="Times New Roman" w:cs="Times New Roman"/>
          <w:sz w:val="24"/>
          <w:szCs w:val="24"/>
        </w:rPr>
        <w:t xml:space="preserve">Cilj </w:t>
      </w:r>
      <w:r w:rsidR="00FD08AC">
        <w:rPr>
          <w:rFonts w:ascii="Times New Roman" w:hAnsi="Times New Roman" w:cs="Times New Roman"/>
          <w:sz w:val="24"/>
          <w:szCs w:val="24"/>
        </w:rPr>
        <w:t xml:space="preserve">mjere </w:t>
      </w:r>
      <w:r w:rsidR="0078624C">
        <w:rPr>
          <w:rFonts w:ascii="Times New Roman" w:hAnsi="Times New Roman" w:cs="Times New Roman"/>
          <w:sz w:val="24"/>
          <w:szCs w:val="24"/>
        </w:rPr>
        <w:t xml:space="preserve">je potaknuti otočne </w:t>
      </w:r>
      <w:r w:rsidR="00FF31F7">
        <w:rPr>
          <w:rFonts w:ascii="Times New Roman" w:hAnsi="Times New Roman" w:cs="Times New Roman"/>
          <w:sz w:val="24"/>
          <w:szCs w:val="24"/>
        </w:rPr>
        <w:t>subjekte</w:t>
      </w:r>
      <w:r w:rsidR="0078624C">
        <w:rPr>
          <w:rFonts w:ascii="Times New Roman" w:hAnsi="Times New Roman" w:cs="Times New Roman"/>
          <w:sz w:val="24"/>
          <w:szCs w:val="24"/>
        </w:rPr>
        <w:t xml:space="preserve"> koji nisu korisnici oznake HOP </w:t>
      </w:r>
      <w:r w:rsidR="00886CBA">
        <w:rPr>
          <w:rFonts w:ascii="Times New Roman" w:hAnsi="Times New Roman" w:cs="Times New Roman"/>
          <w:sz w:val="24"/>
          <w:szCs w:val="24"/>
        </w:rPr>
        <w:t>na uključenje</w:t>
      </w:r>
      <w:r w:rsidR="0078624C">
        <w:rPr>
          <w:rFonts w:ascii="Times New Roman" w:hAnsi="Times New Roman" w:cs="Times New Roman"/>
          <w:sz w:val="24"/>
          <w:szCs w:val="24"/>
        </w:rPr>
        <w:t xml:space="preserve"> u Program HOP te motivirati postojeće korisnike oznake HOP na širenje </w:t>
      </w:r>
      <w:r w:rsidR="00CC77B4">
        <w:rPr>
          <w:rFonts w:ascii="Times New Roman" w:hAnsi="Times New Roman" w:cs="Times New Roman"/>
          <w:sz w:val="24"/>
          <w:szCs w:val="24"/>
        </w:rPr>
        <w:t>ponude</w:t>
      </w:r>
      <w:r w:rsidR="0078624C">
        <w:rPr>
          <w:rFonts w:ascii="Times New Roman" w:hAnsi="Times New Roman" w:cs="Times New Roman"/>
          <w:sz w:val="24"/>
          <w:szCs w:val="24"/>
        </w:rPr>
        <w:t xml:space="preserve"> usluga i proizvoda.</w:t>
      </w:r>
    </w:p>
    <w:p w14:paraId="3D09CE5D" w14:textId="77777777" w:rsidR="00B16482" w:rsidRDefault="00B16482" w:rsidP="00B164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2A">
        <w:rPr>
          <w:rFonts w:ascii="Times New Roman" w:hAnsi="Times New Roman" w:cs="Times New Roman"/>
          <w:b/>
          <w:sz w:val="24"/>
          <w:szCs w:val="24"/>
        </w:rPr>
        <w:t>Mjera je povezana s</w:t>
      </w:r>
      <w:r w:rsidR="005F5587">
        <w:rPr>
          <w:rFonts w:ascii="Times New Roman" w:hAnsi="Times New Roman" w:cs="Times New Roman"/>
          <w:b/>
          <w:sz w:val="24"/>
          <w:szCs w:val="24"/>
        </w:rPr>
        <w:t>a specifičnim</w:t>
      </w:r>
      <w:r w:rsidRPr="00CD002A">
        <w:rPr>
          <w:rFonts w:ascii="Times New Roman" w:hAnsi="Times New Roman" w:cs="Times New Roman"/>
          <w:b/>
          <w:sz w:val="24"/>
          <w:szCs w:val="24"/>
        </w:rPr>
        <w:t xml:space="preserve"> ciljevima 1.</w:t>
      </w:r>
      <w:r w:rsidR="00BF34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D002A">
        <w:rPr>
          <w:rFonts w:ascii="Times New Roman" w:hAnsi="Times New Roman" w:cs="Times New Roman"/>
          <w:b/>
          <w:sz w:val="24"/>
          <w:szCs w:val="24"/>
        </w:rPr>
        <w:t>2.</w:t>
      </w:r>
      <w:r w:rsidR="00BF3457">
        <w:rPr>
          <w:rFonts w:ascii="Times New Roman" w:hAnsi="Times New Roman" w:cs="Times New Roman"/>
          <w:b/>
          <w:sz w:val="24"/>
          <w:szCs w:val="24"/>
        </w:rPr>
        <w:t xml:space="preserve"> i 3.</w:t>
      </w:r>
    </w:p>
    <w:p w14:paraId="3C3E980F" w14:textId="77777777" w:rsidR="00B16482" w:rsidRDefault="00B16482" w:rsidP="00D73A3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C3BDC" w14:textId="77777777" w:rsidR="00EE2555" w:rsidRPr="00EE2555" w:rsidRDefault="00EE2555" w:rsidP="00EE2555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2555">
        <w:rPr>
          <w:rFonts w:ascii="Times New Roman" w:hAnsi="Times New Roman" w:cs="Times New Roman"/>
          <w:b/>
          <w:i/>
          <w:sz w:val="24"/>
          <w:szCs w:val="24"/>
        </w:rPr>
        <w:t>Jačanje informiranja, promotivnih i medijskih aktivnosti i osiguravanje suradnje</w:t>
      </w:r>
      <w:r w:rsidR="00A133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158E">
        <w:rPr>
          <w:rFonts w:ascii="Times New Roman" w:hAnsi="Times New Roman" w:cs="Times New Roman"/>
          <w:b/>
          <w:i/>
          <w:sz w:val="24"/>
          <w:szCs w:val="24"/>
        </w:rPr>
        <w:t xml:space="preserve">i podrške </w:t>
      </w:r>
      <w:r w:rsidRPr="00EE2555">
        <w:rPr>
          <w:rFonts w:ascii="Times New Roman" w:hAnsi="Times New Roman" w:cs="Times New Roman"/>
          <w:b/>
          <w:i/>
          <w:sz w:val="24"/>
          <w:szCs w:val="24"/>
        </w:rPr>
        <w:t xml:space="preserve"> u realizaciji i promociji Programa</w:t>
      </w:r>
      <w:r w:rsidR="009B4471">
        <w:rPr>
          <w:rFonts w:ascii="Times New Roman" w:hAnsi="Times New Roman" w:cs="Times New Roman"/>
          <w:b/>
          <w:i/>
          <w:sz w:val="24"/>
          <w:szCs w:val="24"/>
        </w:rPr>
        <w:t xml:space="preserve"> HOP</w:t>
      </w:r>
    </w:p>
    <w:p w14:paraId="15713A8B" w14:textId="77777777" w:rsidR="00D65773" w:rsidRDefault="006C11BB" w:rsidP="00531B4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osiguravanja veće vidljivosti Programa HOP</w:t>
      </w:r>
      <w:r w:rsidR="0078624C">
        <w:rPr>
          <w:rFonts w:ascii="Times New Roman" w:hAnsi="Times New Roman" w:cs="Times New Roman"/>
          <w:sz w:val="24"/>
          <w:szCs w:val="24"/>
        </w:rPr>
        <w:t>,</w:t>
      </w:r>
      <w:r w:rsidR="00531B48">
        <w:rPr>
          <w:rFonts w:ascii="Times New Roman" w:hAnsi="Times New Roman" w:cs="Times New Roman"/>
          <w:sz w:val="24"/>
          <w:szCs w:val="24"/>
        </w:rPr>
        <w:t xml:space="preserve"> kapitaliziranja njegova potencijala atraktivnosti</w:t>
      </w:r>
      <w:r w:rsidR="00AF2BCD">
        <w:rPr>
          <w:rFonts w:ascii="Times New Roman" w:hAnsi="Times New Roman" w:cs="Times New Roman"/>
          <w:sz w:val="24"/>
          <w:szCs w:val="24"/>
        </w:rPr>
        <w:t xml:space="preserve"> te jačanja pristupa</w:t>
      </w:r>
      <w:r w:rsidR="005D698B">
        <w:rPr>
          <w:rFonts w:ascii="Times New Roman" w:hAnsi="Times New Roman" w:cs="Times New Roman"/>
          <w:sz w:val="24"/>
          <w:szCs w:val="24"/>
        </w:rPr>
        <w:t xml:space="preserve"> korisnika oznake HOP</w:t>
      </w:r>
      <w:r w:rsidR="00AF2BCD">
        <w:rPr>
          <w:rFonts w:ascii="Times New Roman" w:hAnsi="Times New Roman" w:cs="Times New Roman"/>
          <w:sz w:val="24"/>
          <w:szCs w:val="24"/>
        </w:rPr>
        <w:t xml:space="preserve"> tržištu i općenito javnosti</w:t>
      </w:r>
      <w:r w:rsidR="00886CBA">
        <w:rPr>
          <w:rFonts w:ascii="Times New Roman" w:hAnsi="Times New Roman" w:cs="Times New Roman"/>
          <w:sz w:val="24"/>
          <w:szCs w:val="24"/>
        </w:rPr>
        <w:t>,</w:t>
      </w:r>
      <w:r w:rsidR="00AF2BCD">
        <w:rPr>
          <w:rFonts w:ascii="Times New Roman" w:hAnsi="Times New Roman" w:cs="Times New Roman"/>
          <w:sz w:val="24"/>
          <w:szCs w:val="24"/>
        </w:rPr>
        <w:t xml:space="preserve"> </w:t>
      </w:r>
      <w:r w:rsidR="00531B48">
        <w:rPr>
          <w:rFonts w:ascii="Times New Roman" w:hAnsi="Times New Roman" w:cs="Times New Roman"/>
          <w:sz w:val="24"/>
          <w:szCs w:val="24"/>
        </w:rPr>
        <w:t>potrebno je</w:t>
      </w:r>
      <w:r w:rsidR="005D698B">
        <w:rPr>
          <w:rFonts w:ascii="Times New Roman" w:hAnsi="Times New Roman" w:cs="Times New Roman"/>
          <w:sz w:val="24"/>
          <w:szCs w:val="24"/>
        </w:rPr>
        <w:t xml:space="preserve"> intenzivirati promotivne i medijske aktivnosti te osigurati kontinuiranu suradnju s dionicima Programa. Za veću dostupnost informacija o Programu HOP, korisnicima oznake HOP i njihovim proizvodima, omogućavanja diseminacije informacija edukativnog i informativnog karaktera i poticanje umrežavanja korisnika oznake HOP </w:t>
      </w:r>
      <w:r w:rsidR="00A56470">
        <w:rPr>
          <w:rFonts w:ascii="Times New Roman" w:hAnsi="Times New Roman" w:cs="Times New Roman"/>
          <w:sz w:val="24"/>
          <w:szCs w:val="24"/>
        </w:rPr>
        <w:t xml:space="preserve">izraditi će se mrežna stranica </w:t>
      </w:r>
      <w:r w:rsidR="002C0A61">
        <w:rPr>
          <w:rFonts w:ascii="Times New Roman" w:hAnsi="Times New Roman" w:cs="Times New Roman"/>
          <w:sz w:val="24"/>
          <w:szCs w:val="24"/>
        </w:rPr>
        <w:t xml:space="preserve">te društvena stranica </w:t>
      </w:r>
      <w:r w:rsidR="00A56470">
        <w:rPr>
          <w:rFonts w:ascii="Times New Roman" w:hAnsi="Times New Roman" w:cs="Times New Roman"/>
          <w:sz w:val="24"/>
          <w:szCs w:val="24"/>
        </w:rPr>
        <w:t>Programa HOP, nastaviti će se produkcija godišnjeg kataloga korisnika oznake HOP te je potrebno intenzivirati suradnju s medijima</w:t>
      </w:r>
      <w:r w:rsidR="00FF31F7">
        <w:rPr>
          <w:rFonts w:ascii="Times New Roman" w:hAnsi="Times New Roman" w:cs="Times New Roman"/>
          <w:sz w:val="24"/>
          <w:szCs w:val="24"/>
        </w:rPr>
        <w:t xml:space="preserve"> u cilju promicanja Programa HOP i same oznake HOP</w:t>
      </w:r>
      <w:r w:rsidR="00A56470">
        <w:rPr>
          <w:rFonts w:ascii="Times New Roman" w:hAnsi="Times New Roman" w:cs="Times New Roman"/>
          <w:sz w:val="24"/>
          <w:szCs w:val="24"/>
        </w:rPr>
        <w:t>.</w:t>
      </w:r>
    </w:p>
    <w:p w14:paraId="33DFB53F" w14:textId="77777777" w:rsidR="00482495" w:rsidRPr="009C2956" w:rsidRDefault="00A56470" w:rsidP="00531B4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Posebnu pažnju je potrebno posvetiti suradnji s dionicima Programa HOP</w:t>
      </w:r>
      <w:r w:rsidR="005F0B13">
        <w:rPr>
          <w:rFonts w:ascii="Times New Roman" w:hAnsi="Times New Roman" w:cs="Times New Roman"/>
          <w:sz w:val="24"/>
          <w:szCs w:val="24"/>
        </w:rPr>
        <w:t xml:space="preserve"> u cilju daljnjeg razvoja Programa HOP. U suradnji s drugim </w:t>
      </w:r>
      <w:r w:rsidR="005F0B13" w:rsidRPr="005F0B13">
        <w:rPr>
          <w:rFonts w:ascii="Times New Roman" w:hAnsi="Times New Roman" w:cs="Times New Roman"/>
          <w:sz w:val="24"/>
          <w:szCs w:val="24"/>
        </w:rPr>
        <w:t xml:space="preserve">tijelima državne uprave, obalno-otočnim županijama, </w:t>
      </w:r>
      <w:r w:rsidR="005F0B13">
        <w:rPr>
          <w:rFonts w:ascii="Times New Roman" w:hAnsi="Times New Roman" w:cs="Times New Roman"/>
          <w:sz w:val="24"/>
          <w:szCs w:val="24"/>
        </w:rPr>
        <w:t xml:space="preserve">otočnim </w:t>
      </w:r>
      <w:r w:rsidR="005F0B13" w:rsidRPr="005F0B13">
        <w:rPr>
          <w:rFonts w:ascii="Times New Roman" w:hAnsi="Times New Roman" w:cs="Times New Roman"/>
          <w:sz w:val="24"/>
          <w:szCs w:val="24"/>
        </w:rPr>
        <w:t>jedinicama lokalne samouprave</w:t>
      </w:r>
      <w:r w:rsidR="005F0B13">
        <w:rPr>
          <w:rFonts w:ascii="Times New Roman" w:hAnsi="Times New Roman" w:cs="Times New Roman"/>
          <w:sz w:val="24"/>
          <w:szCs w:val="24"/>
        </w:rPr>
        <w:t xml:space="preserve"> </w:t>
      </w:r>
      <w:r w:rsidR="005F0B13" w:rsidRPr="005F0B13">
        <w:rPr>
          <w:rFonts w:ascii="Times New Roman" w:hAnsi="Times New Roman" w:cs="Times New Roman"/>
          <w:sz w:val="24"/>
          <w:szCs w:val="24"/>
        </w:rPr>
        <w:t>i turističkim zajednicama lokalne i regionalne razine</w:t>
      </w:r>
      <w:r w:rsidR="00783CCA">
        <w:rPr>
          <w:rFonts w:ascii="Times New Roman" w:hAnsi="Times New Roman" w:cs="Times New Roman"/>
          <w:sz w:val="24"/>
          <w:szCs w:val="24"/>
        </w:rPr>
        <w:t xml:space="preserve"> </w:t>
      </w:r>
      <w:r w:rsidR="00D65773">
        <w:rPr>
          <w:rFonts w:ascii="Times New Roman" w:hAnsi="Times New Roman" w:cs="Times New Roman"/>
          <w:sz w:val="24"/>
          <w:szCs w:val="24"/>
        </w:rPr>
        <w:t xml:space="preserve">nužno je </w:t>
      </w:r>
      <w:r w:rsidR="00783CCA">
        <w:rPr>
          <w:rFonts w:ascii="Times New Roman" w:hAnsi="Times New Roman" w:cs="Times New Roman"/>
          <w:sz w:val="24"/>
          <w:szCs w:val="24"/>
        </w:rPr>
        <w:t xml:space="preserve">omogućiti što veći stupanj podrške u </w:t>
      </w:r>
      <w:r w:rsidR="00F318A5">
        <w:rPr>
          <w:rFonts w:ascii="Times New Roman" w:hAnsi="Times New Roman" w:cs="Times New Roman"/>
          <w:sz w:val="24"/>
          <w:szCs w:val="24"/>
        </w:rPr>
        <w:t>smislu sufinanciranja potvrđivanja isp</w:t>
      </w:r>
      <w:r w:rsidR="00D65773">
        <w:rPr>
          <w:rFonts w:ascii="Times New Roman" w:hAnsi="Times New Roman" w:cs="Times New Roman"/>
          <w:sz w:val="24"/>
          <w:szCs w:val="24"/>
        </w:rPr>
        <w:t>ravnosti i kvalitete proizvoda te</w:t>
      </w:r>
      <w:r w:rsidR="00F318A5">
        <w:rPr>
          <w:rFonts w:ascii="Times New Roman" w:hAnsi="Times New Roman" w:cs="Times New Roman"/>
          <w:sz w:val="24"/>
          <w:szCs w:val="24"/>
        </w:rPr>
        <w:t xml:space="preserve"> pr</w:t>
      </w:r>
      <w:r w:rsidR="00D65773">
        <w:rPr>
          <w:rFonts w:ascii="Times New Roman" w:hAnsi="Times New Roman" w:cs="Times New Roman"/>
          <w:sz w:val="24"/>
          <w:szCs w:val="24"/>
        </w:rPr>
        <w:t>istupa tržištu kroz promociju i</w:t>
      </w:r>
      <w:r w:rsidR="00F318A5">
        <w:rPr>
          <w:rFonts w:ascii="Times New Roman" w:hAnsi="Times New Roman" w:cs="Times New Roman"/>
          <w:sz w:val="24"/>
          <w:szCs w:val="24"/>
        </w:rPr>
        <w:t xml:space="preserve"> pružanje tehničke i financijske pomoći u organizaciji skupnih događanja na kojima sudjeluju korisnici oznake HOP.</w:t>
      </w:r>
      <w:r w:rsidR="004F0EE6">
        <w:rPr>
          <w:rFonts w:ascii="Times New Roman" w:hAnsi="Times New Roman" w:cs="Times New Roman"/>
          <w:sz w:val="24"/>
          <w:szCs w:val="24"/>
        </w:rPr>
        <w:t xml:space="preserve"> </w:t>
      </w:r>
      <w:r w:rsidR="00C60920">
        <w:rPr>
          <w:rFonts w:ascii="Times New Roman" w:hAnsi="Times New Roman" w:cs="Times New Roman"/>
          <w:sz w:val="24"/>
          <w:szCs w:val="24"/>
        </w:rPr>
        <w:t xml:space="preserve">U cilju prilagodbe zakonskih odrednica tehničkih uvjeta proizvodnje </w:t>
      </w:r>
      <w:r w:rsidR="00473741">
        <w:rPr>
          <w:rFonts w:ascii="Times New Roman" w:hAnsi="Times New Roman" w:cs="Times New Roman"/>
          <w:sz w:val="24"/>
          <w:szCs w:val="24"/>
        </w:rPr>
        <w:t>materijalnih otočnih proizvoda uvjetima proizvodnje</w:t>
      </w:r>
      <w:r w:rsidR="00BF29BA">
        <w:rPr>
          <w:rFonts w:ascii="Times New Roman" w:hAnsi="Times New Roman" w:cs="Times New Roman"/>
          <w:sz w:val="24"/>
          <w:szCs w:val="24"/>
        </w:rPr>
        <w:t>, poslovnim aktivnostima i općenito uvjetima poslovanja</w:t>
      </w:r>
      <w:r w:rsidR="00473741">
        <w:rPr>
          <w:rFonts w:ascii="Times New Roman" w:hAnsi="Times New Roman" w:cs="Times New Roman"/>
          <w:sz w:val="24"/>
          <w:szCs w:val="24"/>
        </w:rPr>
        <w:t xml:space="preserve"> na otocima, potrebno je ostvariti suradnju s nadležnim tijelima državne </w:t>
      </w:r>
      <w:r w:rsidR="00473741" w:rsidRPr="009C2956">
        <w:rPr>
          <w:rFonts w:ascii="Times New Roman" w:hAnsi="Times New Roman" w:cs="Times New Roman"/>
          <w:sz w:val="24"/>
          <w:szCs w:val="24"/>
        </w:rPr>
        <w:t>uprave</w:t>
      </w:r>
      <w:r w:rsidR="00157A75" w:rsidRPr="009C2956">
        <w:rPr>
          <w:rFonts w:ascii="Times New Roman" w:hAnsi="Times New Roman" w:cs="Times New Roman"/>
          <w:sz w:val="24"/>
          <w:szCs w:val="24"/>
        </w:rPr>
        <w:t>.</w:t>
      </w:r>
      <w:r w:rsidR="00482495" w:rsidRPr="009C2956">
        <w:rPr>
          <w:rFonts w:ascii="Times New Roman" w:hAnsi="Times New Roman" w:cs="Times New Roman"/>
          <w:sz w:val="24"/>
          <w:szCs w:val="24"/>
        </w:rPr>
        <w:t xml:space="preserve"> Putem javnog poziva Ministarstvo će dodjelom bespovratnih sredstava sufinancirati realizaciju aktivnosti promocije Programa HOP jedinicama lokalne i područne (regionalne) samouprave, ustanovama, udrugama i turističkim zajednicama.</w:t>
      </w:r>
    </w:p>
    <w:p w14:paraId="2839080E" w14:textId="77777777" w:rsidR="00D73A38" w:rsidRPr="00842128" w:rsidRDefault="004F0EE6" w:rsidP="00531B4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operacionalizaciji Programa HOP i dalje </w:t>
      </w:r>
      <w:r w:rsidR="00CA7BC1">
        <w:rPr>
          <w:rFonts w:ascii="Times New Roman" w:hAnsi="Times New Roman" w:cs="Times New Roman"/>
          <w:sz w:val="24"/>
          <w:szCs w:val="24"/>
        </w:rPr>
        <w:t xml:space="preserve">je potrebno </w:t>
      </w:r>
      <w:r>
        <w:rPr>
          <w:rFonts w:ascii="Times New Roman" w:hAnsi="Times New Roman" w:cs="Times New Roman"/>
          <w:sz w:val="24"/>
          <w:szCs w:val="24"/>
        </w:rPr>
        <w:t>jačati sur</w:t>
      </w:r>
      <w:r w:rsidR="00CA7BC1">
        <w:rPr>
          <w:rFonts w:ascii="Times New Roman" w:hAnsi="Times New Roman" w:cs="Times New Roman"/>
          <w:sz w:val="24"/>
          <w:szCs w:val="24"/>
        </w:rPr>
        <w:t>adnju s udrugama koje okupljaju</w:t>
      </w:r>
      <w:r>
        <w:rPr>
          <w:rFonts w:ascii="Times New Roman" w:hAnsi="Times New Roman" w:cs="Times New Roman"/>
          <w:sz w:val="24"/>
          <w:szCs w:val="24"/>
        </w:rPr>
        <w:t xml:space="preserve"> korisnike oznake HOP, otočkim udrugama i ustanovama.</w:t>
      </w:r>
    </w:p>
    <w:p w14:paraId="2EF6D695" w14:textId="77777777" w:rsidR="00553939" w:rsidRPr="00DF5824" w:rsidRDefault="002B08A3" w:rsidP="00FF67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02A">
        <w:rPr>
          <w:rFonts w:ascii="Times New Roman" w:hAnsi="Times New Roman" w:cs="Times New Roman"/>
          <w:b/>
          <w:sz w:val="24"/>
          <w:szCs w:val="24"/>
        </w:rPr>
        <w:t>Mjera je povezana s</w:t>
      </w:r>
      <w:r w:rsidR="005F5587">
        <w:rPr>
          <w:rFonts w:ascii="Times New Roman" w:hAnsi="Times New Roman" w:cs="Times New Roman"/>
          <w:b/>
          <w:sz w:val="24"/>
          <w:szCs w:val="24"/>
        </w:rPr>
        <w:t>a specifičnim</w:t>
      </w:r>
      <w:r w:rsidRPr="00CD002A">
        <w:rPr>
          <w:rFonts w:ascii="Times New Roman" w:hAnsi="Times New Roman" w:cs="Times New Roman"/>
          <w:b/>
          <w:sz w:val="24"/>
          <w:szCs w:val="24"/>
        </w:rPr>
        <w:t xml:space="preserve"> cilje</w:t>
      </w:r>
      <w:r>
        <w:rPr>
          <w:rFonts w:ascii="Times New Roman" w:hAnsi="Times New Roman" w:cs="Times New Roman"/>
          <w:b/>
          <w:sz w:val="24"/>
          <w:szCs w:val="24"/>
        </w:rPr>
        <w:t>vima 2. i 4.</w:t>
      </w:r>
    </w:p>
    <w:p w14:paraId="4E92CF45" w14:textId="77777777" w:rsidR="007B4F04" w:rsidRDefault="007B4F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266C4B" w14:textId="42982661" w:rsidR="00553939" w:rsidRPr="000C4FA7" w:rsidRDefault="00225311" w:rsidP="00A1446A">
      <w:pPr>
        <w:pStyle w:val="Heading1"/>
        <w:numPr>
          <w:ilvl w:val="0"/>
          <w:numId w:val="16"/>
        </w:numPr>
        <w:rPr>
          <w:rStyle w:val="Heading1Char"/>
          <w:rFonts w:ascii="Times New Roman" w:hAnsi="Times New Roman" w:cs="Times New Roman"/>
          <w:color w:val="000000" w:themeColor="text1"/>
        </w:rPr>
      </w:pPr>
      <w:bookmarkStart w:id="14" w:name="_Toc21599070"/>
      <w:r w:rsidRPr="000C4FA7">
        <w:rPr>
          <w:rStyle w:val="Heading1Char"/>
          <w:rFonts w:ascii="Times New Roman" w:hAnsi="Times New Roman" w:cs="Times New Roman"/>
          <w:color w:val="000000" w:themeColor="text1"/>
        </w:rPr>
        <w:lastRenderedPageBreak/>
        <w:t xml:space="preserve">PRAĆENJE I </w:t>
      </w:r>
      <w:r w:rsidR="0095437D" w:rsidRPr="000C4FA7">
        <w:rPr>
          <w:rStyle w:val="Heading1Char"/>
          <w:rFonts w:ascii="Times New Roman" w:hAnsi="Times New Roman" w:cs="Times New Roman"/>
          <w:color w:val="000000" w:themeColor="text1"/>
        </w:rPr>
        <w:t>VREDNOVANJE</w:t>
      </w:r>
      <w:r w:rsidR="00E35605" w:rsidRPr="000C4FA7">
        <w:rPr>
          <w:rStyle w:val="Heading1Char"/>
          <w:rFonts w:ascii="Times New Roman" w:hAnsi="Times New Roman" w:cs="Times New Roman"/>
          <w:color w:val="000000" w:themeColor="text1"/>
        </w:rPr>
        <w:t xml:space="preserve"> PROGRAMA „HRVATSKI OTOČNI PROIZVOD“</w:t>
      </w:r>
      <w:bookmarkEnd w:id="14"/>
    </w:p>
    <w:p w14:paraId="6A157E77" w14:textId="77777777" w:rsidR="0095437D" w:rsidRDefault="0095437D" w:rsidP="00FF67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199EF" w14:textId="77777777" w:rsidR="00E35605" w:rsidRPr="0013282D" w:rsidRDefault="0023273A" w:rsidP="00FF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82D">
        <w:rPr>
          <w:rFonts w:ascii="Times New Roman" w:hAnsi="Times New Roman" w:cs="Times New Roman"/>
          <w:sz w:val="24"/>
          <w:szCs w:val="24"/>
        </w:rPr>
        <w:t xml:space="preserve">Pokazatelji rezultata praćenja i vrednovanja </w:t>
      </w:r>
      <w:r w:rsidR="00E03072" w:rsidRPr="0013282D">
        <w:rPr>
          <w:rFonts w:ascii="Times New Roman" w:hAnsi="Times New Roman" w:cs="Times New Roman"/>
          <w:sz w:val="24"/>
          <w:szCs w:val="24"/>
        </w:rPr>
        <w:t xml:space="preserve">za svaku </w:t>
      </w:r>
      <w:r w:rsidRPr="0013282D">
        <w:rPr>
          <w:rFonts w:ascii="Times New Roman" w:hAnsi="Times New Roman" w:cs="Times New Roman"/>
          <w:sz w:val="24"/>
          <w:szCs w:val="24"/>
        </w:rPr>
        <w:t>mje</w:t>
      </w:r>
      <w:r w:rsidR="005409C5">
        <w:rPr>
          <w:rFonts w:ascii="Times New Roman" w:hAnsi="Times New Roman" w:cs="Times New Roman"/>
          <w:sz w:val="24"/>
          <w:szCs w:val="24"/>
        </w:rPr>
        <w:t>ru</w:t>
      </w:r>
      <w:r w:rsidR="000903A5">
        <w:rPr>
          <w:rFonts w:ascii="Times New Roman" w:hAnsi="Times New Roman" w:cs="Times New Roman"/>
          <w:sz w:val="24"/>
          <w:szCs w:val="24"/>
        </w:rPr>
        <w:t xml:space="preserve"> – praćenje na godišnjoj razini</w:t>
      </w:r>
      <w:r w:rsidR="00E03072" w:rsidRPr="0013282D">
        <w:rPr>
          <w:rFonts w:ascii="Times New Roman" w:hAnsi="Times New Roman" w:cs="Times New Roman"/>
          <w:sz w:val="24"/>
          <w:szCs w:val="24"/>
        </w:rPr>
        <w:t>:</w:t>
      </w:r>
    </w:p>
    <w:p w14:paraId="339B4595" w14:textId="77777777" w:rsidR="00412CB4" w:rsidRPr="0013282D" w:rsidRDefault="00412CB4" w:rsidP="00FF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94436" w14:textId="77777777" w:rsidR="0023273A" w:rsidRPr="000903A5" w:rsidRDefault="004F4F9C" w:rsidP="004F4F9C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3A5">
        <w:rPr>
          <w:rFonts w:ascii="Times New Roman" w:hAnsi="Times New Roman" w:cs="Times New Roman"/>
          <w:b/>
          <w:i/>
          <w:sz w:val="24"/>
          <w:szCs w:val="24"/>
        </w:rPr>
        <w:t>Dodjela prava označavanja oznakom HOP</w:t>
      </w:r>
    </w:p>
    <w:p w14:paraId="524AB8B6" w14:textId="77777777" w:rsidR="0028018B" w:rsidRDefault="0028018B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>broj korisnika oznake HOP</w:t>
      </w:r>
    </w:p>
    <w:p w14:paraId="179D09F1" w14:textId="77777777" w:rsidR="000903A5" w:rsidRDefault="000903A5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 xml:space="preserve">broj postojećih korisnika oznake HOP koji su stekli pravo označavanja za novi </w:t>
      </w:r>
      <w:r w:rsidRPr="000903A5">
        <w:rPr>
          <w:color w:val="auto"/>
        </w:rPr>
        <w:t>proizvod/proizvodn</w:t>
      </w:r>
      <w:r>
        <w:rPr>
          <w:color w:val="auto"/>
        </w:rPr>
        <w:t>u</w:t>
      </w:r>
      <w:r w:rsidRPr="000903A5">
        <w:rPr>
          <w:color w:val="auto"/>
        </w:rPr>
        <w:t xml:space="preserve"> linij</w:t>
      </w:r>
      <w:r>
        <w:rPr>
          <w:color w:val="auto"/>
        </w:rPr>
        <w:t>u</w:t>
      </w:r>
    </w:p>
    <w:p w14:paraId="7E9324A2" w14:textId="77777777" w:rsidR="0028018B" w:rsidRDefault="0028018B" w:rsidP="0028018B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>broj novih korisnika prava označavanja oznakom HOP</w:t>
      </w:r>
    </w:p>
    <w:p w14:paraId="6DF162FE" w14:textId="77777777" w:rsidR="0028018B" w:rsidRDefault="0028018B" w:rsidP="0028018B">
      <w:pPr>
        <w:pStyle w:val="Default"/>
        <w:jc w:val="both"/>
        <w:rPr>
          <w:color w:val="auto"/>
        </w:rPr>
      </w:pPr>
    </w:p>
    <w:p w14:paraId="606FAC1F" w14:textId="77777777" w:rsidR="0028018B" w:rsidRDefault="0028018B" w:rsidP="0028018B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>broj proizvoda/proizvodnih linija</w:t>
      </w:r>
      <w:r w:rsidR="00B95250">
        <w:rPr>
          <w:color w:val="auto"/>
        </w:rPr>
        <w:t xml:space="preserve"> </w:t>
      </w:r>
      <w:r w:rsidR="00B95250" w:rsidRPr="000903A5">
        <w:rPr>
          <w:color w:val="auto"/>
        </w:rPr>
        <w:t>koji su označeni oznakom HOP</w:t>
      </w:r>
    </w:p>
    <w:p w14:paraId="372B1939" w14:textId="77777777" w:rsidR="000903A5" w:rsidRDefault="000903A5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 xml:space="preserve">broj novih </w:t>
      </w:r>
      <w:r w:rsidRPr="000903A5">
        <w:rPr>
          <w:color w:val="auto"/>
        </w:rPr>
        <w:t xml:space="preserve">proizvoda/proizvodnih linija </w:t>
      </w:r>
      <w:r>
        <w:rPr>
          <w:color w:val="auto"/>
        </w:rPr>
        <w:t>za koje su postojeći korisnici oznake HOP stekli pravo označavanja</w:t>
      </w:r>
    </w:p>
    <w:p w14:paraId="0B737222" w14:textId="77777777" w:rsidR="00B95250" w:rsidRPr="00B95250" w:rsidRDefault="00B95250" w:rsidP="00B95250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 xml:space="preserve">broj </w:t>
      </w:r>
      <w:r w:rsidRPr="000903A5">
        <w:rPr>
          <w:color w:val="auto"/>
        </w:rPr>
        <w:t xml:space="preserve">proizvoda/proizvodnih linija </w:t>
      </w:r>
      <w:r>
        <w:rPr>
          <w:color w:val="auto"/>
        </w:rPr>
        <w:t>za koji su novi korisnici stekli pravo označavanja oznakom HOP</w:t>
      </w:r>
    </w:p>
    <w:p w14:paraId="66EE2E55" w14:textId="77777777" w:rsidR="00B95250" w:rsidRDefault="00B95250" w:rsidP="00B95250">
      <w:pPr>
        <w:pStyle w:val="Default"/>
        <w:ind w:left="720"/>
        <w:jc w:val="both"/>
        <w:rPr>
          <w:color w:val="auto"/>
        </w:rPr>
      </w:pPr>
    </w:p>
    <w:p w14:paraId="5A74649E" w14:textId="77777777" w:rsidR="00B95250" w:rsidRDefault="00B95250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>ukupan izvršenih nadzora nad korištenjem prava označavanja oznakom HOP</w:t>
      </w:r>
    </w:p>
    <w:p w14:paraId="3E44F743" w14:textId="77777777" w:rsidR="004F4F9C" w:rsidRDefault="000903A5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 xml:space="preserve">broj izvršenih </w:t>
      </w:r>
      <w:r w:rsidR="00B95250">
        <w:rPr>
          <w:color w:val="auto"/>
        </w:rPr>
        <w:t>nadzora</w:t>
      </w:r>
      <w:r>
        <w:rPr>
          <w:color w:val="auto"/>
        </w:rPr>
        <w:t xml:space="preserve"> – po vrsti (neposredna/administrativna)</w:t>
      </w:r>
    </w:p>
    <w:p w14:paraId="76CE9476" w14:textId="77777777" w:rsidR="000903A5" w:rsidRDefault="000903A5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 xml:space="preserve">broj izvršenih </w:t>
      </w:r>
      <w:r w:rsidR="00B95250">
        <w:rPr>
          <w:color w:val="auto"/>
        </w:rPr>
        <w:t>nadzora</w:t>
      </w:r>
      <w:r>
        <w:rPr>
          <w:color w:val="auto"/>
        </w:rPr>
        <w:t xml:space="preserve"> s pozitivnim rezultatom</w:t>
      </w:r>
    </w:p>
    <w:p w14:paraId="6E226BE0" w14:textId="77777777" w:rsidR="000903A5" w:rsidRDefault="000903A5" w:rsidP="00600FEE">
      <w:pPr>
        <w:pStyle w:val="Default"/>
        <w:numPr>
          <w:ilvl w:val="0"/>
          <w:numId w:val="27"/>
        </w:numPr>
        <w:jc w:val="both"/>
        <w:rPr>
          <w:color w:val="auto"/>
        </w:rPr>
      </w:pPr>
      <w:r>
        <w:rPr>
          <w:color w:val="auto"/>
        </w:rPr>
        <w:t>broj korisnika kojima je oduzeto pravo označavanja oznakom HOP</w:t>
      </w:r>
    </w:p>
    <w:p w14:paraId="399157B4" w14:textId="77777777" w:rsidR="00B95250" w:rsidRDefault="00B95250" w:rsidP="00B95250">
      <w:pPr>
        <w:pStyle w:val="Default"/>
        <w:jc w:val="both"/>
        <w:rPr>
          <w:color w:val="auto"/>
        </w:rPr>
      </w:pPr>
    </w:p>
    <w:p w14:paraId="17DE5A74" w14:textId="77777777" w:rsidR="004F4F9C" w:rsidRPr="000903A5" w:rsidRDefault="004F4F9C" w:rsidP="004F4F9C">
      <w:pPr>
        <w:pStyle w:val="Default"/>
        <w:rPr>
          <w:color w:val="auto"/>
        </w:rPr>
      </w:pPr>
    </w:p>
    <w:p w14:paraId="4840C13F" w14:textId="77777777" w:rsidR="004F4F9C" w:rsidRPr="000903A5" w:rsidRDefault="004F4F9C" w:rsidP="004F4F9C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03A5">
        <w:rPr>
          <w:rFonts w:ascii="Times New Roman" w:hAnsi="Times New Roman" w:cs="Times New Roman"/>
          <w:b/>
          <w:i/>
          <w:sz w:val="24"/>
          <w:szCs w:val="24"/>
        </w:rPr>
        <w:t xml:space="preserve">Dodjela potpora male vrijednosti za </w:t>
      </w:r>
      <w:r w:rsidR="00752D02">
        <w:rPr>
          <w:rFonts w:ascii="Times New Roman" w:hAnsi="Times New Roman" w:cs="Times New Roman"/>
          <w:b/>
          <w:i/>
          <w:sz w:val="24"/>
          <w:szCs w:val="24"/>
        </w:rPr>
        <w:t xml:space="preserve">sufinanciranje troškova sudjelovanja na manifestacijama u svrhu promicanja prepoznatljivosti otočnih </w:t>
      </w:r>
      <w:r w:rsidRPr="000903A5">
        <w:rPr>
          <w:rFonts w:ascii="Times New Roman" w:hAnsi="Times New Roman" w:cs="Times New Roman"/>
          <w:b/>
          <w:i/>
          <w:sz w:val="24"/>
          <w:szCs w:val="24"/>
        </w:rPr>
        <w:t xml:space="preserve">proizvoda </w:t>
      </w:r>
    </w:p>
    <w:p w14:paraId="7742750F" w14:textId="77777777" w:rsidR="00A25F86" w:rsidRPr="00A946A2" w:rsidRDefault="004F4F9C" w:rsidP="00600FEE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A946A2">
        <w:rPr>
          <w:color w:val="auto"/>
        </w:rPr>
        <w:t xml:space="preserve">broj </w:t>
      </w:r>
      <w:r w:rsidR="00752D02" w:rsidRPr="00A946A2">
        <w:rPr>
          <w:color w:val="auto"/>
        </w:rPr>
        <w:t xml:space="preserve">zatraženih potpora male vrijednosti za sufinanciranje troškova sudjelovanja na manifestacijama </w:t>
      </w:r>
      <w:r w:rsidR="00A25F86" w:rsidRPr="00A946A2">
        <w:rPr>
          <w:color w:val="auto"/>
        </w:rPr>
        <w:t xml:space="preserve">u svrhu promicanja prepoznatljivosti otočnih proizvoda </w:t>
      </w:r>
    </w:p>
    <w:p w14:paraId="4B91C539" w14:textId="77777777" w:rsidR="000903A5" w:rsidRPr="00A946A2" w:rsidRDefault="000903A5" w:rsidP="00600FEE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A946A2">
        <w:rPr>
          <w:color w:val="auto"/>
        </w:rPr>
        <w:t xml:space="preserve">broj </w:t>
      </w:r>
      <w:r w:rsidR="00A25F86" w:rsidRPr="00A946A2">
        <w:rPr>
          <w:color w:val="auto"/>
        </w:rPr>
        <w:t>dodijeljenih potpora male vrijednosti korisnicima oznake HOP za sufinanciranje troškova sudjelovanja na manifestacijama u svrhu promicanja prep</w:t>
      </w:r>
      <w:r w:rsidR="00CE49A1" w:rsidRPr="00A946A2">
        <w:rPr>
          <w:color w:val="auto"/>
        </w:rPr>
        <w:t>oznatljivosti otočnih proizvoda</w:t>
      </w:r>
    </w:p>
    <w:p w14:paraId="3247F074" w14:textId="77777777" w:rsidR="00CE49A1" w:rsidRPr="00A946A2" w:rsidRDefault="00CE49A1" w:rsidP="00600FEE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A946A2">
        <w:rPr>
          <w:color w:val="auto"/>
        </w:rPr>
        <w:t>iznos osiguranih sredstava za potpore male vrijednosti za sufinanciranje troškova sudjelovanja na manifestacijama u svrhu promicanja prepoznatljivosti otočnih proizvoda</w:t>
      </w:r>
    </w:p>
    <w:p w14:paraId="0CE05654" w14:textId="77777777" w:rsidR="000903A5" w:rsidRPr="00A946A2" w:rsidRDefault="000903A5" w:rsidP="00600FEE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A946A2">
        <w:rPr>
          <w:color w:val="auto"/>
        </w:rPr>
        <w:t xml:space="preserve">iznos </w:t>
      </w:r>
      <w:r w:rsidR="00A25F86" w:rsidRPr="00A946A2">
        <w:rPr>
          <w:color w:val="auto"/>
        </w:rPr>
        <w:t xml:space="preserve">dodijeljenih </w:t>
      </w:r>
      <w:r w:rsidRPr="00A946A2">
        <w:rPr>
          <w:color w:val="auto"/>
        </w:rPr>
        <w:t xml:space="preserve">sredstava za </w:t>
      </w:r>
      <w:r w:rsidR="00A25F86" w:rsidRPr="00A946A2">
        <w:rPr>
          <w:color w:val="auto"/>
        </w:rPr>
        <w:t>potporu male vrijednosti</w:t>
      </w:r>
      <w:r w:rsidR="00CE49A1" w:rsidRPr="00A946A2">
        <w:rPr>
          <w:color w:val="auto"/>
        </w:rPr>
        <w:t xml:space="preserve"> za sufinanciranje troškova sudjelovanja na manifestacijama u svrhu promicanja prepoznatljivosti otočnih proizvoda</w:t>
      </w:r>
    </w:p>
    <w:p w14:paraId="155C933C" w14:textId="77777777" w:rsidR="00A318A7" w:rsidRPr="000903A5" w:rsidRDefault="00A318A7" w:rsidP="004F4F9C">
      <w:pPr>
        <w:pStyle w:val="Default"/>
        <w:rPr>
          <w:color w:val="auto"/>
        </w:rPr>
      </w:pPr>
    </w:p>
    <w:p w14:paraId="1B89198D" w14:textId="77777777" w:rsidR="004F4F9C" w:rsidRPr="000903A5" w:rsidRDefault="004F4F9C" w:rsidP="004F4F9C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03A5">
        <w:rPr>
          <w:rFonts w:ascii="Times New Roman" w:hAnsi="Times New Roman" w:cs="Times New Roman"/>
          <w:b/>
          <w:i/>
          <w:sz w:val="24"/>
          <w:szCs w:val="24"/>
        </w:rPr>
        <w:t xml:space="preserve">Dodjela potpora male vrijednosti otočnim </w:t>
      </w:r>
      <w:r w:rsidR="00C839A5">
        <w:rPr>
          <w:rFonts w:ascii="Times New Roman" w:hAnsi="Times New Roman" w:cs="Times New Roman"/>
          <w:b/>
          <w:i/>
          <w:sz w:val="24"/>
          <w:szCs w:val="24"/>
        </w:rPr>
        <w:t xml:space="preserve">subjektima </w:t>
      </w:r>
      <w:r w:rsidR="00894CC8">
        <w:rPr>
          <w:rFonts w:ascii="Times New Roman" w:hAnsi="Times New Roman" w:cs="Times New Roman"/>
          <w:b/>
          <w:i/>
          <w:sz w:val="24"/>
          <w:szCs w:val="24"/>
        </w:rPr>
        <w:t xml:space="preserve">za sufinanciranje </w:t>
      </w:r>
      <w:r w:rsidR="00FF1CBD">
        <w:rPr>
          <w:rFonts w:ascii="Times New Roman" w:hAnsi="Times New Roman" w:cs="Times New Roman"/>
          <w:b/>
          <w:i/>
          <w:sz w:val="24"/>
          <w:szCs w:val="24"/>
        </w:rPr>
        <w:t xml:space="preserve">troškova nastalih u postupku dodjele </w:t>
      </w:r>
      <w:r w:rsidR="00894CC8">
        <w:rPr>
          <w:rFonts w:ascii="Times New Roman" w:hAnsi="Times New Roman" w:cs="Times New Roman"/>
          <w:b/>
          <w:i/>
          <w:sz w:val="24"/>
          <w:szCs w:val="24"/>
        </w:rPr>
        <w:t>oznake HOP</w:t>
      </w:r>
    </w:p>
    <w:p w14:paraId="75A5E4E6" w14:textId="77777777" w:rsidR="00776011" w:rsidRPr="00600FEE" w:rsidRDefault="00536132" w:rsidP="00600FEE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FEE">
        <w:rPr>
          <w:rFonts w:ascii="Times New Roman" w:hAnsi="Times New Roman" w:cs="Times New Roman"/>
          <w:sz w:val="24"/>
          <w:szCs w:val="24"/>
        </w:rPr>
        <w:t xml:space="preserve">broj dodijeljenih potpora male vrijednosti otočnim </w:t>
      </w:r>
      <w:r w:rsidR="00C839A5" w:rsidRPr="00600FEE">
        <w:rPr>
          <w:rFonts w:ascii="Times New Roman" w:hAnsi="Times New Roman" w:cs="Times New Roman"/>
          <w:sz w:val="24"/>
          <w:szCs w:val="24"/>
        </w:rPr>
        <w:t>subjektima</w:t>
      </w:r>
      <w:r w:rsidR="00776011" w:rsidRPr="00600FEE">
        <w:rPr>
          <w:rFonts w:ascii="Times New Roman" w:hAnsi="Times New Roman" w:cs="Times New Roman"/>
          <w:sz w:val="24"/>
          <w:szCs w:val="24"/>
        </w:rPr>
        <w:t xml:space="preserve"> za sufinanciranje troškova nastalih u postupku dodjele oznake HOP</w:t>
      </w:r>
    </w:p>
    <w:p w14:paraId="784B51F9" w14:textId="77777777" w:rsidR="002E0002" w:rsidRPr="00776011" w:rsidRDefault="002E0002" w:rsidP="00600FEE">
      <w:pPr>
        <w:pStyle w:val="Default"/>
        <w:numPr>
          <w:ilvl w:val="0"/>
          <w:numId w:val="29"/>
        </w:numPr>
        <w:rPr>
          <w:color w:val="auto"/>
        </w:rPr>
      </w:pPr>
      <w:r w:rsidRPr="00776011">
        <w:rPr>
          <w:color w:val="auto"/>
        </w:rPr>
        <w:t>broj dodijeljenih potpora novim korisnicima prava označavanja oznakom HOP</w:t>
      </w:r>
      <w:r w:rsidR="00600FEE">
        <w:rPr>
          <w:color w:val="auto"/>
        </w:rPr>
        <w:t xml:space="preserve"> </w:t>
      </w:r>
      <w:r w:rsidR="00600FEE" w:rsidRPr="00776011">
        <w:t xml:space="preserve">za </w:t>
      </w:r>
      <w:r w:rsidR="00600FEE">
        <w:t>s</w:t>
      </w:r>
      <w:r w:rsidR="00600FEE" w:rsidRPr="00776011">
        <w:t>ufinanciranje troškova nastalih u postupku dodjele oznake HOP</w:t>
      </w:r>
    </w:p>
    <w:p w14:paraId="7C94B890" w14:textId="77777777" w:rsidR="002E0002" w:rsidRPr="00776011" w:rsidRDefault="002E0002" w:rsidP="00600FEE">
      <w:pPr>
        <w:pStyle w:val="Default"/>
        <w:numPr>
          <w:ilvl w:val="0"/>
          <w:numId w:val="29"/>
        </w:numPr>
        <w:rPr>
          <w:color w:val="auto"/>
        </w:rPr>
      </w:pPr>
      <w:r w:rsidRPr="00776011">
        <w:rPr>
          <w:color w:val="auto"/>
        </w:rPr>
        <w:t>broj dodijeljenih potpora postojećim korisnicima prava označavanja oznakom HOP</w:t>
      </w:r>
      <w:r w:rsidR="00600FEE">
        <w:rPr>
          <w:color w:val="auto"/>
        </w:rPr>
        <w:t xml:space="preserve"> </w:t>
      </w:r>
      <w:r w:rsidR="00600FEE" w:rsidRPr="00776011">
        <w:t>za sufinanciranje troškova nastalih u postupku dodjele oznake HOP</w:t>
      </w:r>
    </w:p>
    <w:p w14:paraId="707956EF" w14:textId="77777777" w:rsidR="00600FEE" w:rsidRDefault="00600FEE" w:rsidP="00600FEE">
      <w:pPr>
        <w:pStyle w:val="Default"/>
        <w:numPr>
          <w:ilvl w:val="0"/>
          <w:numId w:val="29"/>
        </w:numPr>
        <w:rPr>
          <w:color w:val="auto"/>
        </w:rPr>
      </w:pPr>
      <w:r>
        <w:t xml:space="preserve">iznos osiguranih sredstava </w:t>
      </w:r>
      <w:r>
        <w:rPr>
          <w:color w:val="auto"/>
        </w:rPr>
        <w:t xml:space="preserve">za </w:t>
      </w:r>
      <w:r w:rsidRPr="000903A5">
        <w:rPr>
          <w:color w:val="auto"/>
        </w:rPr>
        <w:t>potpor</w:t>
      </w:r>
      <w:r>
        <w:rPr>
          <w:color w:val="auto"/>
        </w:rPr>
        <w:t>u</w:t>
      </w:r>
      <w:r w:rsidRPr="000903A5">
        <w:rPr>
          <w:color w:val="auto"/>
        </w:rPr>
        <w:t xml:space="preserve"> male vrijednosti otočnim </w:t>
      </w:r>
      <w:r>
        <w:rPr>
          <w:color w:val="auto"/>
        </w:rPr>
        <w:t xml:space="preserve">subjektima </w:t>
      </w:r>
      <w:r w:rsidRPr="00776011">
        <w:t>za sufinanciranje troškova nastalih u postupku dodjele oznake HOP</w:t>
      </w:r>
    </w:p>
    <w:p w14:paraId="7A08FAF1" w14:textId="77777777" w:rsidR="004F4F9C" w:rsidRPr="000903A5" w:rsidRDefault="007C03D7" w:rsidP="00600FEE">
      <w:pPr>
        <w:pStyle w:val="Default"/>
        <w:numPr>
          <w:ilvl w:val="0"/>
          <w:numId w:val="29"/>
        </w:numPr>
        <w:rPr>
          <w:b/>
          <w:i/>
          <w:color w:val="auto"/>
        </w:rPr>
      </w:pPr>
      <w:r>
        <w:rPr>
          <w:color w:val="auto"/>
        </w:rPr>
        <w:t xml:space="preserve">iznos </w:t>
      </w:r>
      <w:r w:rsidRPr="000903A5">
        <w:rPr>
          <w:color w:val="auto"/>
        </w:rPr>
        <w:t xml:space="preserve">dodijeljenih </w:t>
      </w:r>
      <w:r w:rsidR="00C839A5">
        <w:rPr>
          <w:color w:val="auto"/>
        </w:rPr>
        <w:t xml:space="preserve">sredstava za </w:t>
      </w:r>
      <w:r w:rsidRPr="000903A5">
        <w:rPr>
          <w:color w:val="auto"/>
        </w:rPr>
        <w:t>potpor</w:t>
      </w:r>
      <w:r w:rsidR="00C839A5">
        <w:rPr>
          <w:color w:val="auto"/>
        </w:rPr>
        <w:t>u</w:t>
      </w:r>
      <w:r w:rsidRPr="000903A5">
        <w:rPr>
          <w:color w:val="auto"/>
        </w:rPr>
        <w:t xml:space="preserve"> male vrijednosti otočnim </w:t>
      </w:r>
      <w:r w:rsidR="00C839A5">
        <w:rPr>
          <w:color w:val="auto"/>
        </w:rPr>
        <w:t>subjektima</w:t>
      </w:r>
      <w:r w:rsidR="00600FEE">
        <w:rPr>
          <w:color w:val="auto"/>
        </w:rPr>
        <w:t xml:space="preserve"> </w:t>
      </w:r>
      <w:r w:rsidR="00600FEE" w:rsidRPr="00776011">
        <w:t>za sufinanciranje troškova nastalih u postupku dodjele oznake HOP</w:t>
      </w:r>
    </w:p>
    <w:p w14:paraId="458FF3F3" w14:textId="77777777" w:rsidR="004F4F9C" w:rsidRPr="000903A5" w:rsidRDefault="004F4F9C" w:rsidP="004F4F9C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903A5">
        <w:rPr>
          <w:rFonts w:ascii="Times New Roman" w:hAnsi="Times New Roman" w:cs="Times New Roman"/>
          <w:b/>
          <w:i/>
          <w:sz w:val="24"/>
          <w:szCs w:val="24"/>
        </w:rPr>
        <w:lastRenderedPageBreak/>
        <w:t>Jačanje informiranja, promotivnih i medijskih aktivnosti i osiguravanje suradnje u realizaciji i promociji Programa HOP</w:t>
      </w:r>
    </w:p>
    <w:p w14:paraId="3E8E899E" w14:textId="77777777" w:rsidR="005409C5" w:rsidRDefault="005409C5" w:rsidP="0039138B">
      <w:pPr>
        <w:pStyle w:val="Default"/>
        <w:numPr>
          <w:ilvl w:val="0"/>
          <w:numId w:val="30"/>
        </w:numPr>
        <w:rPr>
          <w:color w:val="auto"/>
        </w:rPr>
      </w:pPr>
      <w:r w:rsidRPr="000903A5">
        <w:rPr>
          <w:color w:val="auto"/>
        </w:rPr>
        <w:t xml:space="preserve">broj organiziranih </w:t>
      </w:r>
      <w:r w:rsidR="002E0002">
        <w:rPr>
          <w:color w:val="auto"/>
        </w:rPr>
        <w:t>prezentacija</w:t>
      </w:r>
      <w:r w:rsidR="00350147">
        <w:rPr>
          <w:color w:val="auto"/>
        </w:rPr>
        <w:t xml:space="preserve"> Programa</w:t>
      </w:r>
      <w:r w:rsidR="002E0002">
        <w:rPr>
          <w:color w:val="auto"/>
        </w:rPr>
        <w:t xml:space="preserve"> na </w:t>
      </w:r>
      <w:r w:rsidR="0039138B">
        <w:rPr>
          <w:color w:val="auto"/>
        </w:rPr>
        <w:t>međunarodnoj/</w:t>
      </w:r>
      <w:r w:rsidR="00BD56B5">
        <w:rPr>
          <w:color w:val="auto"/>
        </w:rPr>
        <w:t>nacionalnoj</w:t>
      </w:r>
      <w:r w:rsidR="0078650C">
        <w:rPr>
          <w:color w:val="auto"/>
        </w:rPr>
        <w:t>/regionalnoj/</w:t>
      </w:r>
      <w:r w:rsidR="002E0002">
        <w:rPr>
          <w:color w:val="auto"/>
        </w:rPr>
        <w:t>lokalnoj razini</w:t>
      </w:r>
    </w:p>
    <w:p w14:paraId="7D425227" w14:textId="77777777" w:rsidR="00350147" w:rsidRDefault="00350147" w:rsidP="0039138B">
      <w:pPr>
        <w:pStyle w:val="Default"/>
        <w:numPr>
          <w:ilvl w:val="0"/>
          <w:numId w:val="30"/>
        </w:numPr>
        <w:rPr>
          <w:color w:val="auto"/>
        </w:rPr>
      </w:pPr>
      <w:r>
        <w:rPr>
          <w:color w:val="auto"/>
        </w:rPr>
        <w:t>broj sudionika na prezenta</w:t>
      </w:r>
      <w:r w:rsidR="0078650C">
        <w:rPr>
          <w:color w:val="auto"/>
        </w:rPr>
        <w:t xml:space="preserve">cijama Programa na </w:t>
      </w:r>
      <w:r w:rsidR="00CE117D">
        <w:rPr>
          <w:color w:val="auto"/>
        </w:rPr>
        <w:t>međunarodnoj/</w:t>
      </w:r>
      <w:r w:rsidR="0078650C">
        <w:rPr>
          <w:color w:val="auto"/>
        </w:rPr>
        <w:t>nacionalnoj/regionalnoj/</w:t>
      </w:r>
      <w:r>
        <w:rPr>
          <w:color w:val="auto"/>
        </w:rPr>
        <w:t>lokalnoj razini</w:t>
      </w:r>
    </w:p>
    <w:p w14:paraId="7456A79D" w14:textId="77777777" w:rsidR="00482495" w:rsidRDefault="00482495" w:rsidP="0039138B">
      <w:pPr>
        <w:pStyle w:val="Default"/>
        <w:numPr>
          <w:ilvl w:val="0"/>
          <w:numId w:val="30"/>
        </w:numPr>
        <w:rPr>
          <w:color w:val="auto"/>
        </w:rPr>
      </w:pPr>
      <w:r>
        <w:rPr>
          <w:color w:val="auto"/>
        </w:rPr>
        <w:t>broj korisnika sredstava za realizaciju aktivnosti promocije Programa HOP</w:t>
      </w:r>
    </w:p>
    <w:p w14:paraId="3B691F35" w14:textId="77777777" w:rsidR="00350147" w:rsidRDefault="00350147" w:rsidP="0039138B">
      <w:pPr>
        <w:pStyle w:val="Default"/>
        <w:numPr>
          <w:ilvl w:val="0"/>
          <w:numId w:val="30"/>
        </w:numPr>
        <w:rPr>
          <w:color w:val="auto"/>
        </w:rPr>
      </w:pPr>
      <w:r>
        <w:rPr>
          <w:color w:val="auto"/>
        </w:rPr>
        <w:t>broj posjeta mrežne stranice Programa</w:t>
      </w:r>
      <w:r w:rsidR="00CE117D">
        <w:rPr>
          <w:color w:val="auto"/>
        </w:rPr>
        <w:t>/društvenim stranicama</w:t>
      </w:r>
    </w:p>
    <w:p w14:paraId="4ADF00C1" w14:textId="77777777" w:rsidR="00350147" w:rsidRDefault="00350147" w:rsidP="0039138B">
      <w:pPr>
        <w:pStyle w:val="Default"/>
        <w:numPr>
          <w:ilvl w:val="0"/>
          <w:numId w:val="30"/>
        </w:numPr>
        <w:rPr>
          <w:color w:val="auto"/>
        </w:rPr>
      </w:pPr>
      <w:r>
        <w:rPr>
          <w:color w:val="auto"/>
        </w:rPr>
        <w:t>broj tiskanih/distribuiranih kataloga korisnika oznake HOP</w:t>
      </w:r>
    </w:p>
    <w:p w14:paraId="682CD769" w14:textId="77777777" w:rsidR="00350147" w:rsidRDefault="00350147" w:rsidP="0039138B">
      <w:pPr>
        <w:pStyle w:val="Default"/>
        <w:numPr>
          <w:ilvl w:val="0"/>
          <w:numId w:val="30"/>
        </w:numPr>
        <w:rPr>
          <w:color w:val="auto"/>
        </w:rPr>
      </w:pPr>
      <w:r>
        <w:rPr>
          <w:color w:val="auto"/>
        </w:rPr>
        <w:t>broj medijskih objava na temu provedbe Programa HOP</w:t>
      </w:r>
    </w:p>
    <w:p w14:paraId="1B50B52F" w14:textId="77777777" w:rsidR="009B3165" w:rsidRDefault="009B3165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02437DFB" w14:textId="43D83097" w:rsidR="0072153A" w:rsidRPr="003C616C" w:rsidRDefault="0072153A" w:rsidP="003C616C">
      <w:pPr>
        <w:pStyle w:val="Heading1"/>
        <w:numPr>
          <w:ilvl w:val="0"/>
          <w:numId w:val="16"/>
        </w:numPr>
        <w:rPr>
          <w:rFonts w:ascii="Times New Roman" w:hAnsi="Times New Roman" w:cs="Times New Roman"/>
        </w:rPr>
      </w:pPr>
      <w:bookmarkStart w:id="15" w:name="_Toc21599071"/>
      <w:r w:rsidRPr="003C616C">
        <w:rPr>
          <w:rFonts w:ascii="Times New Roman" w:hAnsi="Times New Roman" w:cs="Times New Roman"/>
        </w:rPr>
        <w:lastRenderedPageBreak/>
        <w:t>PRILO</w:t>
      </w:r>
      <w:bookmarkEnd w:id="15"/>
      <w:r w:rsidR="003C616C" w:rsidRPr="003C616C">
        <w:rPr>
          <w:rFonts w:ascii="Times New Roman" w:hAnsi="Times New Roman" w:cs="Times New Roman"/>
        </w:rPr>
        <w:t>G</w:t>
      </w:r>
    </w:p>
    <w:p w14:paraId="7244B89C" w14:textId="77777777" w:rsidR="0072153A" w:rsidRDefault="0072153A" w:rsidP="00FF671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16B1BE1" w14:textId="77777777" w:rsidR="0040440D" w:rsidRPr="00692C9C" w:rsidRDefault="0040440D" w:rsidP="000C4FA7">
      <w:pPr>
        <w:pStyle w:val="Heading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6" w:name="_Toc21599072"/>
      <w:r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Prilog 1.</w:t>
      </w:r>
      <w:bookmarkEnd w:id="16"/>
    </w:p>
    <w:p w14:paraId="1519642D" w14:textId="77777777" w:rsidR="00A15A3A" w:rsidRPr="00692C9C" w:rsidRDefault="00A15A3A" w:rsidP="000C4FA7">
      <w:pPr>
        <w:pStyle w:val="Heading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17" w:name="_Toc21599073"/>
      <w:r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Prikaz </w:t>
      </w:r>
      <w:r w:rsidR="00FA07F0"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registriranih žigova pri Državnom zavodu za intelektualno vlasništvo</w:t>
      </w:r>
      <w:r w:rsidR="006C13A0"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 nositelja Ministarstvo</w:t>
      </w:r>
      <w:r w:rsidR="001814F9"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regionalnoga razvoja i fondova Euro</w:t>
      </w:r>
      <w:r w:rsidR="00520EA7"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pske</w:t>
      </w:r>
      <w:r w:rsidR="001814F9" w:rsidRPr="0069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unije</w:t>
      </w:r>
      <w:bookmarkEnd w:id="17"/>
    </w:p>
    <w:p w14:paraId="0A24D93C" w14:textId="77777777" w:rsidR="00966E95" w:rsidRPr="000745A4" w:rsidRDefault="00966E95" w:rsidP="00A15A3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592"/>
      </w:tblGrid>
      <w:tr w:rsidR="0052447A" w14:paraId="0A8DBE1E" w14:textId="77777777" w:rsidTr="00966E95">
        <w:trPr>
          <w:trHeight w:val="2357"/>
        </w:trPr>
        <w:tc>
          <w:tcPr>
            <w:tcW w:w="4621" w:type="dxa"/>
          </w:tcPr>
          <w:p w14:paraId="42AE7FD4" w14:textId="77777777" w:rsidR="003C1AE8" w:rsidRDefault="0052447A" w:rsidP="003C1A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447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 wp14:anchorId="7D357B23" wp14:editId="07C1E275">
                  <wp:extent cx="1186295" cy="1084997"/>
                  <wp:effectExtent l="19050" t="0" r="0" b="0"/>
                  <wp:docPr id="2" name="Picture 8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100" cy="110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AC839" w14:textId="77777777" w:rsidR="0052447A" w:rsidRDefault="0052447A" w:rsidP="003C1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0153E" w14:textId="77777777" w:rsidR="003C1AE8" w:rsidRPr="003C1AE8" w:rsidRDefault="003C1AE8" w:rsidP="003C1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48B9987" w14:textId="77777777" w:rsidR="0052447A" w:rsidRDefault="0052447A" w:rsidP="00FF671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447A" w14:paraId="7B493938" w14:textId="77777777" w:rsidTr="00966E95">
        <w:trPr>
          <w:trHeight w:val="3396"/>
        </w:trPr>
        <w:tc>
          <w:tcPr>
            <w:tcW w:w="4621" w:type="dxa"/>
          </w:tcPr>
          <w:p w14:paraId="7AC331DA" w14:textId="77777777" w:rsidR="00FC1375" w:rsidRDefault="000D2459" w:rsidP="003C1A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59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 wp14:anchorId="341955FB" wp14:editId="4B044FDB">
                  <wp:extent cx="1103914" cy="1834737"/>
                  <wp:effectExtent l="19050" t="0" r="986" b="0"/>
                  <wp:docPr id="9" name="Picture 7" descr="Logo HR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HR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903" cy="187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C77CD" w14:textId="77777777" w:rsidR="0052447A" w:rsidRPr="00FC1375" w:rsidRDefault="0052447A" w:rsidP="00FC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F6CB3D6" w14:textId="77777777" w:rsidR="00FC1375" w:rsidRDefault="000D2459" w:rsidP="003C1A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59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 wp14:anchorId="7F785DF2" wp14:editId="47B90181">
                  <wp:extent cx="2551958" cy="1061060"/>
                  <wp:effectExtent l="19050" t="0" r="742" b="0"/>
                  <wp:docPr id="10" name="Picture 6" descr="Logo HRV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HRV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403" cy="112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BF3B5" w14:textId="77777777" w:rsidR="00FC1375" w:rsidRPr="00FC1375" w:rsidRDefault="00FC1375" w:rsidP="00FC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12DDC" w14:textId="77777777" w:rsidR="0052447A" w:rsidRPr="00FC1375" w:rsidRDefault="0052447A" w:rsidP="00FC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7A" w14:paraId="170326AF" w14:textId="77777777" w:rsidTr="00966E95">
        <w:trPr>
          <w:trHeight w:val="3671"/>
        </w:trPr>
        <w:tc>
          <w:tcPr>
            <w:tcW w:w="4621" w:type="dxa"/>
          </w:tcPr>
          <w:p w14:paraId="4325138D" w14:textId="77777777" w:rsidR="00FC1375" w:rsidRDefault="000D2459" w:rsidP="003C1A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59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 wp14:anchorId="1F7B7D9E" wp14:editId="5F8EE260">
                  <wp:extent cx="1294410" cy="1847119"/>
                  <wp:effectExtent l="19050" t="0" r="990" b="0"/>
                  <wp:docPr id="11" name="Picture 3" descr="Logo 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496" cy="192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BEBF5" w14:textId="77777777" w:rsidR="00FC1375" w:rsidRDefault="00FC1375" w:rsidP="00FC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C06A" w14:textId="77777777" w:rsidR="0052447A" w:rsidRPr="00FC1375" w:rsidRDefault="0052447A" w:rsidP="00FC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6AD7502" w14:textId="77777777" w:rsidR="00FC1375" w:rsidRDefault="000D2459" w:rsidP="003C1A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2459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hr-HR"/>
              </w:rPr>
              <w:drawing>
                <wp:inline distT="0" distB="0" distL="0" distR="0" wp14:anchorId="078F5DC3" wp14:editId="220CAFFF">
                  <wp:extent cx="2462893" cy="1034227"/>
                  <wp:effectExtent l="19050" t="0" r="0" b="0"/>
                  <wp:docPr id="12" name="Picture 5" descr="Logo ENG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ENG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309" cy="1055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E8C24" w14:textId="77777777" w:rsidR="0052447A" w:rsidRPr="00FC1375" w:rsidRDefault="0052447A" w:rsidP="00FC1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FC6BC" w14:textId="77777777" w:rsidR="0052447A" w:rsidRDefault="0052447A" w:rsidP="00FF6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81F37" w14:textId="77777777" w:rsidR="00966E95" w:rsidRPr="00083B98" w:rsidRDefault="00966E95" w:rsidP="003C61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2709A">
        <w:rPr>
          <w:rFonts w:ascii="Times New Roman" w:hAnsi="Times New Roman" w:cs="Times New Roman"/>
          <w:sz w:val="24"/>
          <w:szCs w:val="24"/>
        </w:rPr>
        <w:t xml:space="preserve">ravo korištenja </w:t>
      </w:r>
      <w:r w:rsidR="001A5B17">
        <w:rPr>
          <w:rFonts w:ascii="Times New Roman" w:hAnsi="Times New Roman" w:cs="Times New Roman"/>
          <w:sz w:val="24"/>
          <w:szCs w:val="24"/>
        </w:rPr>
        <w:t>gore</w:t>
      </w:r>
      <w:r>
        <w:rPr>
          <w:rFonts w:ascii="Times New Roman" w:hAnsi="Times New Roman" w:cs="Times New Roman"/>
          <w:sz w:val="24"/>
          <w:szCs w:val="24"/>
        </w:rPr>
        <w:t xml:space="preserve"> prikazanih registriranih žigova imaju korisnici s važećim ugovorom</w:t>
      </w:r>
      <w:r w:rsidR="00801F68">
        <w:rPr>
          <w:rFonts w:ascii="Times New Roman" w:hAnsi="Times New Roman" w:cs="Times New Roman"/>
          <w:sz w:val="24"/>
          <w:szCs w:val="24"/>
        </w:rPr>
        <w:t>/ima</w:t>
      </w:r>
      <w:r>
        <w:rPr>
          <w:rFonts w:ascii="Times New Roman" w:hAnsi="Times New Roman" w:cs="Times New Roman"/>
          <w:sz w:val="24"/>
          <w:szCs w:val="24"/>
        </w:rPr>
        <w:t xml:space="preserve"> sklopljenim s nositeljem ili uz posebnu suglasnost nositelja, </w:t>
      </w:r>
      <w:r w:rsidRPr="002647CB">
        <w:rPr>
          <w:rFonts w:ascii="Times New Roman" w:hAnsi="Times New Roman" w:cs="Times New Roman"/>
          <w:sz w:val="24"/>
          <w:szCs w:val="24"/>
        </w:rPr>
        <w:t>Ministarstvom regionalnoga razvoja i fondova Europske unije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C28A2C" w14:textId="77777777" w:rsidR="001B03FB" w:rsidRDefault="001B03FB">
      <w:pPr>
        <w:rPr>
          <w:rFonts w:ascii="Times New Roman" w:hAnsi="Times New Roman" w:cs="Times New Roman"/>
          <w:sz w:val="24"/>
          <w:szCs w:val="24"/>
        </w:rPr>
      </w:pPr>
    </w:p>
    <w:sectPr w:rsidR="001B03FB" w:rsidSect="00A1446A">
      <w:footerReference w:type="default" r:id="rId31"/>
      <w:pgSz w:w="11906" w:h="16838" w:code="9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A5DFF" w14:textId="77777777" w:rsidR="00276C4A" w:rsidRDefault="00276C4A" w:rsidP="002B413E">
      <w:pPr>
        <w:spacing w:after="0" w:line="240" w:lineRule="auto"/>
      </w:pPr>
      <w:r>
        <w:separator/>
      </w:r>
    </w:p>
  </w:endnote>
  <w:endnote w:type="continuationSeparator" w:id="0">
    <w:p w14:paraId="66D85690" w14:textId="77777777" w:rsidR="00276C4A" w:rsidRDefault="00276C4A" w:rsidP="002B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351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2D2A2" w14:textId="58CA48D8" w:rsidR="00A1446A" w:rsidRDefault="00A144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EE6EC" w14:textId="77777777" w:rsidR="00FF31F7" w:rsidRDefault="00FF3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95F0" w14:textId="77777777" w:rsidR="00276C4A" w:rsidRDefault="00276C4A" w:rsidP="002B413E">
      <w:pPr>
        <w:spacing w:after="0" w:line="240" w:lineRule="auto"/>
      </w:pPr>
      <w:r>
        <w:separator/>
      </w:r>
    </w:p>
  </w:footnote>
  <w:footnote w:type="continuationSeparator" w:id="0">
    <w:p w14:paraId="2015FAEA" w14:textId="77777777" w:rsidR="00276C4A" w:rsidRDefault="00276C4A" w:rsidP="002B413E">
      <w:pPr>
        <w:spacing w:after="0" w:line="240" w:lineRule="auto"/>
      </w:pPr>
      <w:r>
        <w:continuationSeparator/>
      </w:r>
    </w:p>
  </w:footnote>
  <w:footnote w:id="1">
    <w:p w14:paraId="305AA2EC" w14:textId="77777777" w:rsidR="00FF31F7" w:rsidRPr="00D14AAE" w:rsidRDefault="00FF31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14AA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14AAE">
        <w:rPr>
          <w:rFonts w:ascii="Times New Roman" w:hAnsi="Times New Roman" w:cs="Times New Roman"/>
          <w:sz w:val="18"/>
          <w:szCs w:val="18"/>
        </w:rPr>
        <w:t xml:space="preserve"> Podaci za Ličko-senjsku županije odnose na broj korisnika prava označavanja oznakom HOP sa područja Grada Novalje na otoku Pagu, koji administrativno pripada Ličko-senjskoj županiji.</w:t>
      </w:r>
    </w:p>
  </w:footnote>
  <w:footnote w:id="2">
    <w:p w14:paraId="2028FB8C" w14:textId="77777777" w:rsidR="00FF31F7" w:rsidRPr="00D14AAE" w:rsidRDefault="00FF31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14AA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14AAE">
        <w:rPr>
          <w:rFonts w:ascii="Times New Roman" w:hAnsi="Times New Roman" w:cs="Times New Roman"/>
          <w:sz w:val="18"/>
          <w:szCs w:val="18"/>
        </w:rPr>
        <w:t xml:space="preserve"> Podaci za Ličko-senjsku županije odnose na broj </w:t>
      </w:r>
      <w:r>
        <w:rPr>
          <w:rFonts w:ascii="Times New Roman" w:hAnsi="Times New Roman" w:cs="Times New Roman"/>
          <w:sz w:val="18"/>
          <w:szCs w:val="18"/>
        </w:rPr>
        <w:t xml:space="preserve">proizvoda/proizvodnih linija za koje su </w:t>
      </w:r>
      <w:r w:rsidRPr="00D14AAE">
        <w:rPr>
          <w:rFonts w:ascii="Times New Roman" w:hAnsi="Times New Roman" w:cs="Times New Roman"/>
          <w:sz w:val="18"/>
          <w:szCs w:val="18"/>
        </w:rPr>
        <w:t>korisni</w:t>
      </w:r>
      <w:r>
        <w:rPr>
          <w:rFonts w:ascii="Times New Roman" w:hAnsi="Times New Roman" w:cs="Times New Roman"/>
          <w:sz w:val="18"/>
          <w:szCs w:val="18"/>
        </w:rPr>
        <w:t>ci stekli</w:t>
      </w:r>
      <w:r w:rsidRPr="00D14AAE">
        <w:rPr>
          <w:rFonts w:ascii="Times New Roman" w:hAnsi="Times New Roman" w:cs="Times New Roman"/>
          <w:sz w:val="18"/>
          <w:szCs w:val="18"/>
        </w:rPr>
        <w:t xml:space="preserve"> prav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D14AAE">
        <w:rPr>
          <w:rFonts w:ascii="Times New Roman" w:hAnsi="Times New Roman" w:cs="Times New Roman"/>
          <w:sz w:val="18"/>
          <w:szCs w:val="18"/>
        </w:rPr>
        <w:t xml:space="preserve"> označavanja oznakom HOP sa područja Grada Novalje na otoku Pagu, koji administrativno pripada Ličko-senjskoj županiji</w:t>
      </w:r>
    </w:p>
  </w:footnote>
  <w:footnote w:id="3">
    <w:p w14:paraId="5F46EC18" w14:textId="77777777" w:rsidR="00FF31F7" w:rsidRPr="00D14AAE" w:rsidRDefault="00FF31F7" w:rsidP="00A470D3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4AA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14AAE">
        <w:rPr>
          <w:rFonts w:ascii="Times New Roman" w:hAnsi="Times New Roman" w:cs="Times New Roman"/>
          <w:sz w:val="18"/>
          <w:szCs w:val="18"/>
        </w:rPr>
        <w:t xml:space="preserve"> Istarska županija je izuzeta iz analize budući da u svojoj nadležnosti nema naseljenih otoka te stoga nema ni evidentiranih </w:t>
      </w:r>
      <w:r>
        <w:rPr>
          <w:rFonts w:ascii="Times New Roman" w:hAnsi="Times New Roman" w:cs="Times New Roman"/>
          <w:sz w:val="18"/>
          <w:szCs w:val="18"/>
        </w:rPr>
        <w:t>subjekata</w:t>
      </w:r>
      <w:r w:rsidRPr="00D14AAE">
        <w:rPr>
          <w:rFonts w:ascii="Times New Roman" w:hAnsi="Times New Roman" w:cs="Times New Roman"/>
          <w:sz w:val="18"/>
          <w:szCs w:val="18"/>
        </w:rPr>
        <w:t xml:space="preserve">-korisnika prava označavanja oznakom HOP. </w:t>
      </w:r>
    </w:p>
  </w:footnote>
  <w:footnote w:id="4">
    <w:p w14:paraId="3EDC4470" w14:textId="77777777" w:rsidR="00FF31F7" w:rsidRPr="00D14AAE" w:rsidRDefault="00FF31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14AA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D14AAE">
        <w:rPr>
          <w:rFonts w:ascii="Times New Roman" w:hAnsi="Times New Roman" w:cs="Times New Roman"/>
          <w:sz w:val="18"/>
          <w:szCs w:val="18"/>
        </w:rPr>
        <w:t xml:space="preserve"> Jedinice lokalne samouprave na otoku Pagu administrativno pripadaju u dvije županije: Ličko-senjska i Zadarska. Ličko-senjska županija u svojoj nadležnosti ima jednu otočnu jedinicu lokalne samouprave (Grad Novalja) na otoku Pagu, te je otok Pag za potrebe ove analize svrstan u Ličko-senjsku žu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D14AAE">
        <w:rPr>
          <w:rFonts w:ascii="Times New Roman" w:hAnsi="Times New Roman" w:cs="Times New Roman"/>
          <w:sz w:val="18"/>
          <w:szCs w:val="18"/>
        </w:rPr>
        <w:t>aniju.</w:t>
      </w:r>
    </w:p>
  </w:footnote>
  <w:footnote w:id="5">
    <w:p w14:paraId="233A4FDC" w14:textId="77777777" w:rsidR="00FF31F7" w:rsidRPr="00C27D40" w:rsidRDefault="00FF31F7" w:rsidP="007E715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C27D4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7D4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Pojam -novi dobitnik-se za potrebe analitičkog praćenja odnosi na korisnika prava označavanja oznakom HOP-otočnog proizvođača koji se evidentira kada prvi puta stekne pravo korištenja oznake HOP za proizvod.</w:t>
      </w:r>
    </w:p>
  </w:footnote>
  <w:footnote w:id="6">
    <w:p w14:paraId="0F16763A" w14:textId="77777777" w:rsidR="00FF31F7" w:rsidRPr="002C454C" w:rsidRDefault="00FF31F7" w:rsidP="00F65F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C454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C454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Analiza za period 1.3.2018.-16.5.2019. Nacionalni </w:t>
      </w:r>
      <w:r w:rsidRPr="002C454C">
        <w:rPr>
          <w:rFonts w:ascii="Times New Roman" w:hAnsi="Times New Roman" w:cs="Times New Roman"/>
          <w:sz w:val="18"/>
          <w:szCs w:val="18"/>
        </w:rPr>
        <w:t>dnevni listovi</w:t>
      </w:r>
      <w:r>
        <w:rPr>
          <w:rFonts w:ascii="Times New Roman" w:hAnsi="Times New Roman" w:cs="Times New Roman"/>
          <w:sz w:val="18"/>
          <w:szCs w:val="18"/>
        </w:rPr>
        <w:t>: 24 sata, Jutarnji list, Slobodna Dalmacija, Poslovni dnevnik, Večernji list; regionalni dnevni listovi: Dubrovački vjesnik, Glas Istre, Glas Slavonije, Novi list; televizijski prilozi: HRT 1, HRT 4, Nova TV, RTL televizija, N1, Z1, Mreža TV, Jabuka TV, Kanal RI, Vinkovačka televizija.</w:t>
      </w:r>
    </w:p>
  </w:footnote>
  <w:footnote w:id="7">
    <w:p w14:paraId="6BC25799" w14:textId="77777777" w:rsidR="00FF31F7" w:rsidRPr="00494A10" w:rsidRDefault="00FF31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94A1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94A10">
        <w:rPr>
          <w:rFonts w:ascii="Times New Roman" w:hAnsi="Times New Roman" w:cs="Times New Roman"/>
          <w:sz w:val="18"/>
          <w:szCs w:val="18"/>
        </w:rPr>
        <w:t xml:space="preserve"> Podaci Ministarstva turizma od 13. veljače 2019.</w:t>
      </w:r>
    </w:p>
  </w:footnote>
  <w:footnote w:id="8">
    <w:p w14:paraId="19A78231" w14:textId="77777777" w:rsidR="00FF31F7" w:rsidRPr="00494A10" w:rsidRDefault="00FF31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494A1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94A1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Izvor: www.otocniproizvod.hr</w:t>
      </w:r>
    </w:p>
  </w:footnote>
  <w:footnote w:id="9">
    <w:p w14:paraId="4A3A6426" w14:textId="77777777" w:rsidR="00FF31F7" w:rsidRDefault="00FF31F7">
      <w:pPr>
        <w:pStyle w:val="FootnoteText"/>
      </w:pPr>
      <w:r w:rsidRPr="00C84D2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84D2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Izvor: www.otocniproizvod.hr</w:t>
      </w:r>
    </w:p>
  </w:footnote>
  <w:footnote w:id="10">
    <w:p w14:paraId="3D20D12F" w14:textId="77777777" w:rsidR="00FF31F7" w:rsidRPr="00122615" w:rsidRDefault="00FF31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2261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2261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Za mjere</w:t>
      </w:r>
      <w:r w:rsidRPr="00122615">
        <w:rPr>
          <w:rFonts w:ascii="Times New Roman" w:hAnsi="Times New Roman" w:cs="Times New Roman"/>
          <w:sz w:val="18"/>
          <w:szCs w:val="18"/>
        </w:rPr>
        <w:t xml:space="preserve"> 1.-</w:t>
      </w:r>
      <w:r>
        <w:rPr>
          <w:rFonts w:ascii="Times New Roman" w:hAnsi="Times New Roman" w:cs="Times New Roman"/>
          <w:sz w:val="18"/>
          <w:szCs w:val="18"/>
        </w:rPr>
        <w:t xml:space="preserve"> 3</w:t>
      </w:r>
      <w:r w:rsidRPr="00122615">
        <w:rPr>
          <w:rFonts w:ascii="Times New Roman" w:hAnsi="Times New Roman" w:cs="Times New Roman"/>
          <w:sz w:val="18"/>
          <w:szCs w:val="18"/>
        </w:rPr>
        <w:t>. i provedben</w:t>
      </w:r>
      <w:r>
        <w:rPr>
          <w:rFonts w:ascii="Times New Roman" w:hAnsi="Times New Roman" w:cs="Times New Roman"/>
          <w:sz w:val="18"/>
          <w:szCs w:val="18"/>
        </w:rPr>
        <w:t>ih</w:t>
      </w:r>
      <w:r w:rsidRPr="00122615">
        <w:rPr>
          <w:rFonts w:ascii="Times New Roman" w:hAnsi="Times New Roman" w:cs="Times New Roman"/>
          <w:sz w:val="18"/>
          <w:szCs w:val="18"/>
        </w:rPr>
        <w:t xml:space="preserve"> aktivnosti unutar tih mjera</w:t>
      </w:r>
      <w:r>
        <w:rPr>
          <w:rFonts w:ascii="Times New Roman" w:hAnsi="Times New Roman" w:cs="Times New Roman"/>
          <w:sz w:val="18"/>
          <w:szCs w:val="18"/>
        </w:rPr>
        <w:t xml:space="preserve"> predviđena je razrada podzakonskim aktom.</w:t>
      </w:r>
    </w:p>
  </w:footnote>
  <w:footnote w:id="11">
    <w:p w14:paraId="2F05C793" w14:textId="77777777" w:rsidR="00FF31F7" w:rsidRDefault="00FF31F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20EA7">
        <w:rPr>
          <w:rFonts w:ascii="Times New Roman" w:hAnsi="Times New Roman" w:cs="Times New Roman"/>
          <w:i/>
          <w:sz w:val="18"/>
          <w:szCs w:val="18"/>
        </w:rPr>
        <w:t xml:space="preserve">Prikaz registriranih </w:t>
      </w:r>
      <w:r>
        <w:rPr>
          <w:rFonts w:ascii="Times New Roman" w:hAnsi="Times New Roman" w:cs="Times New Roman"/>
          <w:i/>
          <w:sz w:val="18"/>
          <w:szCs w:val="18"/>
        </w:rPr>
        <w:t xml:space="preserve">figurativnih </w:t>
      </w:r>
      <w:r w:rsidRPr="00520EA7">
        <w:rPr>
          <w:rFonts w:ascii="Times New Roman" w:hAnsi="Times New Roman" w:cs="Times New Roman"/>
          <w:i/>
          <w:sz w:val="18"/>
          <w:szCs w:val="18"/>
        </w:rPr>
        <w:t>žigova pri Državnom zavodu za intelektualno vlasništvo na nositelja Ministarstvo regionalnoga razvoja i fondova Europske unije</w:t>
      </w:r>
      <w:r>
        <w:rPr>
          <w:rFonts w:ascii="Times New Roman" w:hAnsi="Times New Roman" w:cs="Times New Roman"/>
          <w:i/>
          <w:sz w:val="18"/>
          <w:szCs w:val="18"/>
        </w:rPr>
        <w:t xml:space="preserve"> nalazi se u Prilogu 1. ovog Programa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2FC"/>
    <w:multiLevelType w:val="hybridMultilevel"/>
    <w:tmpl w:val="A9E40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6B0"/>
    <w:multiLevelType w:val="hybridMultilevel"/>
    <w:tmpl w:val="AB8EF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CC"/>
    <w:multiLevelType w:val="hybridMultilevel"/>
    <w:tmpl w:val="AB8EF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29E"/>
    <w:multiLevelType w:val="hybridMultilevel"/>
    <w:tmpl w:val="41D875C0"/>
    <w:lvl w:ilvl="0" w:tplc="509005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0291"/>
    <w:multiLevelType w:val="hybridMultilevel"/>
    <w:tmpl w:val="D8606EC8"/>
    <w:lvl w:ilvl="0" w:tplc="509005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35303"/>
    <w:multiLevelType w:val="hybridMultilevel"/>
    <w:tmpl w:val="AB8EF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B2AF8"/>
    <w:multiLevelType w:val="hybridMultilevel"/>
    <w:tmpl w:val="6C30F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C6E"/>
    <w:multiLevelType w:val="hybridMultilevel"/>
    <w:tmpl w:val="9C98DDC0"/>
    <w:lvl w:ilvl="0" w:tplc="509005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C11CF"/>
    <w:multiLevelType w:val="hybridMultilevel"/>
    <w:tmpl w:val="842AB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5357F"/>
    <w:multiLevelType w:val="hybridMultilevel"/>
    <w:tmpl w:val="E0EA2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00C2"/>
    <w:multiLevelType w:val="hybridMultilevel"/>
    <w:tmpl w:val="5F5816DC"/>
    <w:lvl w:ilvl="0" w:tplc="509005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F4851"/>
    <w:multiLevelType w:val="hybridMultilevel"/>
    <w:tmpl w:val="CCFA2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0682"/>
    <w:multiLevelType w:val="multilevel"/>
    <w:tmpl w:val="4A365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2AA2481"/>
    <w:multiLevelType w:val="hybridMultilevel"/>
    <w:tmpl w:val="3D5EAD48"/>
    <w:lvl w:ilvl="0" w:tplc="338600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A2858"/>
    <w:multiLevelType w:val="hybridMultilevel"/>
    <w:tmpl w:val="D99A7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C717B"/>
    <w:multiLevelType w:val="hybridMultilevel"/>
    <w:tmpl w:val="AB8EFC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650ED"/>
    <w:multiLevelType w:val="hybridMultilevel"/>
    <w:tmpl w:val="37426866"/>
    <w:lvl w:ilvl="0" w:tplc="786C2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D0179"/>
    <w:multiLevelType w:val="hybridMultilevel"/>
    <w:tmpl w:val="48EE2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E80"/>
    <w:multiLevelType w:val="hybridMultilevel"/>
    <w:tmpl w:val="6C30F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F5DDC"/>
    <w:multiLevelType w:val="hybridMultilevel"/>
    <w:tmpl w:val="E0EA2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E3557"/>
    <w:multiLevelType w:val="hybridMultilevel"/>
    <w:tmpl w:val="178CA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A4587"/>
    <w:multiLevelType w:val="hybridMultilevel"/>
    <w:tmpl w:val="5E86C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C144F"/>
    <w:multiLevelType w:val="hybridMultilevel"/>
    <w:tmpl w:val="A9E40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635C"/>
    <w:multiLevelType w:val="hybridMultilevel"/>
    <w:tmpl w:val="A9E40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A5162"/>
    <w:multiLevelType w:val="hybridMultilevel"/>
    <w:tmpl w:val="DAB85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0528C"/>
    <w:multiLevelType w:val="hybridMultilevel"/>
    <w:tmpl w:val="35EAA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B1305"/>
    <w:multiLevelType w:val="hybridMultilevel"/>
    <w:tmpl w:val="A9E40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7576C"/>
    <w:multiLevelType w:val="hybridMultilevel"/>
    <w:tmpl w:val="31FA8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11C20"/>
    <w:multiLevelType w:val="hybridMultilevel"/>
    <w:tmpl w:val="72047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B7B2C"/>
    <w:multiLevelType w:val="hybridMultilevel"/>
    <w:tmpl w:val="35EAA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B60CB"/>
    <w:multiLevelType w:val="hybridMultilevel"/>
    <w:tmpl w:val="A9E40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C6A00"/>
    <w:multiLevelType w:val="hybridMultilevel"/>
    <w:tmpl w:val="5C941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A6595"/>
    <w:multiLevelType w:val="multilevel"/>
    <w:tmpl w:val="82C2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17"/>
  </w:num>
  <w:num w:numId="5">
    <w:abstractNumId w:val="12"/>
  </w:num>
  <w:num w:numId="6">
    <w:abstractNumId w:val="29"/>
  </w:num>
  <w:num w:numId="7">
    <w:abstractNumId w:val="9"/>
  </w:num>
  <w:num w:numId="8">
    <w:abstractNumId w:val="13"/>
  </w:num>
  <w:num w:numId="9">
    <w:abstractNumId w:val="6"/>
  </w:num>
  <w:num w:numId="10">
    <w:abstractNumId w:val="18"/>
  </w:num>
  <w:num w:numId="11">
    <w:abstractNumId w:val="31"/>
  </w:num>
  <w:num w:numId="12">
    <w:abstractNumId w:val="26"/>
  </w:num>
  <w:num w:numId="13">
    <w:abstractNumId w:val="21"/>
  </w:num>
  <w:num w:numId="14">
    <w:abstractNumId w:val="0"/>
  </w:num>
  <w:num w:numId="15">
    <w:abstractNumId w:val="23"/>
  </w:num>
  <w:num w:numId="16">
    <w:abstractNumId w:val="1"/>
  </w:num>
  <w:num w:numId="17">
    <w:abstractNumId w:val="24"/>
  </w:num>
  <w:num w:numId="18">
    <w:abstractNumId w:val="22"/>
  </w:num>
  <w:num w:numId="19">
    <w:abstractNumId w:val="14"/>
  </w:num>
  <w:num w:numId="20">
    <w:abstractNumId w:val="8"/>
  </w:num>
  <w:num w:numId="21">
    <w:abstractNumId w:val="19"/>
  </w:num>
  <w:num w:numId="22">
    <w:abstractNumId w:val="16"/>
  </w:num>
  <w:num w:numId="23">
    <w:abstractNumId w:val="15"/>
  </w:num>
  <w:num w:numId="24">
    <w:abstractNumId w:val="2"/>
  </w:num>
  <w:num w:numId="25">
    <w:abstractNumId w:val="5"/>
  </w:num>
  <w:num w:numId="26">
    <w:abstractNumId w:val="30"/>
  </w:num>
  <w:num w:numId="27">
    <w:abstractNumId w:val="3"/>
  </w:num>
  <w:num w:numId="28">
    <w:abstractNumId w:val="10"/>
  </w:num>
  <w:num w:numId="29">
    <w:abstractNumId w:val="4"/>
  </w:num>
  <w:num w:numId="30">
    <w:abstractNumId w:val="7"/>
  </w:num>
  <w:num w:numId="31">
    <w:abstractNumId w:val="27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7"/>
    <w:rsid w:val="00000DD5"/>
    <w:rsid w:val="00001831"/>
    <w:rsid w:val="00003A6F"/>
    <w:rsid w:val="000053AB"/>
    <w:rsid w:val="00006CB0"/>
    <w:rsid w:val="00013E27"/>
    <w:rsid w:val="00013EE0"/>
    <w:rsid w:val="000205B1"/>
    <w:rsid w:val="00023C2C"/>
    <w:rsid w:val="000254EE"/>
    <w:rsid w:val="0002696E"/>
    <w:rsid w:val="00030E42"/>
    <w:rsid w:val="000357A6"/>
    <w:rsid w:val="00040412"/>
    <w:rsid w:val="0004289C"/>
    <w:rsid w:val="00042B3E"/>
    <w:rsid w:val="00043908"/>
    <w:rsid w:val="0004430E"/>
    <w:rsid w:val="000508B6"/>
    <w:rsid w:val="00051CDE"/>
    <w:rsid w:val="00051E4E"/>
    <w:rsid w:val="00053FC6"/>
    <w:rsid w:val="0005463A"/>
    <w:rsid w:val="00054D02"/>
    <w:rsid w:val="0005747B"/>
    <w:rsid w:val="00063B0D"/>
    <w:rsid w:val="0006564B"/>
    <w:rsid w:val="00071A83"/>
    <w:rsid w:val="00073663"/>
    <w:rsid w:val="000738C4"/>
    <w:rsid w:val="00073F93"/>
    <w:rsid w:val="000745A4"/>
    <w:rsid w:val="00077797"/>
    <w:rsid w:val="00077DA5"/>
    <w:rsid w:val="000817A3"/>
    <w:rsid w:val="00082FE4"/>
    <w:rsid w:val="00083591"/>
    <w:rsid w:val="00083B98"/>
    <w:rsid w:val="0008623F"/>
    <w:rsid w:val="00087007"/>
    <w:rsid w:val="000903A5"/>
    <w:rsid w:val="00093CE4"/>
    <w:rsid w:val="00094CAC"/>
    <w:rsid w:val="00096C05"/>
    <w:rsid w:val="000A14AF"/>
    <w:rsid w:val="000A42E3"/>
    <w:rsid w:val="000A4524"/>
    <w:rsid w:val="000A51FD"/>
    <w:rsid w:val="000A62B5"/>
    <w:rsid w:val="000A7407"/>
    <w:rsid w:val="000A79EB"/>
    <w:rsid w:val="000A7B52"/>
    <w:rsid w:val="000A7F1A"/>
    <w:rsid w:val="000B18AD"/>
    <w:rsid w:val="000B1D93"/>
    <w:rsid w:val="000B6A98"/>
    <w:rsid w:val="000B7025"/>
    <w:rsid w:val="000B745E"/>
    <w:rsid w:val="000B7B64"/>
    <w:rsid w:val="000C168E"/>
    <w:rsid w:val="000C1E80"/>
    <w:rsid w:val="000C20F9"/>
    <w:rsid w:val="000C27A7"/>
    <w:rsid w:val="000C42C6"/>
    <w:rsid w:val="000C4FA7"/>
    <w:rsid w:val="000C7FFC"/>
    <w:rsid w:val="000D00FC"/>
    <w:rsid w:val="000D2459"/>
    <w:rsid w:val="000D31BA"/>
    <w:rsid w:val="000D437E"/>
    <w:rsid w:val="000D4ADA"/>
    <w:rsid w:val="000D5AF0"/>
    <w:rsid w:val="000D71F4"/>
    <w:rsid w:val="000E04B3"/>
    <w:rsid w:val="000E3596"/>
    <w:rsid w:val="000E3C28"/>
    <w:rsid w:val="000F0AEE"/>
    <w:rsid w:val="000F5BB5"/>
    <w:rsid w:val="001009F7"/>
    <w:rsid w:val="00101F09"/>
    <w:rsid w:val="00102875"/>
    <w:rsid w:val="00105D88"/>
    <w:rsid w:val="001075F0"/>
    <w:rsid w:val="00107727"/>
    <w:rsid w:val="00107EDB"/>
    <w:rsid w:val="00110374"/>
    <w:rsid w:val="001123AE"/>
    <w:rsid w:val="00114008"/>
    <w:rsid w:val="0011558A"/>
    <w:rsid w:val="00116B2C"/>
    <w:rsid w:val="00122615"/>
    <w:rsid w:val="0012560B"/>
    <w:rsid w:val="00125AE2"/>
    <w:rsid w:val="001301BC"/>
    <w:rsid w:val="00132681"/>
    <w:rsid w:val="0013282D"/>
    <w:rsid w:val="00132F56"/>
    <w:rsid w:val="00133404"/>
    <w:rsid w:val="00133DA3"/>
    <w:rsid w:val="0013605E"/>
    <w:rsid w:val="00137370"/>
    <w:rsid w:val="00137D2B"/>
    <w:rsid w:val="001401A0"/>
    <w:rsid w:val="00141AB5"/>
    <w:rsid w:val="0014350F"/>
    <w:rsid w:val="00143F27"/>
    <w:rsid w:val="00145688"/>
    <w:rsid w:val="001529F2"/>
    <w:rsid w:val="00153EDC"/>
    <w:rsid w:val="001542EF"/>
    <w:rsid w:val="00155858"/>
    <w:rsid w:val="001567F7"/>
    <w:rsid w:val="00157A75"/>
    <w:rsid w:val="00162D4E"/>
    <w:rsid w:val="00164D93"/>
    <w:rsid w:val="001668F1"/>
    <w:rsid w:val="00166FAD"/>
    <w:rsid w:val="00170E0D"/>
    <w:rsid w:val="00171F1A"/>
    <w:rsid w:val="001761F1"/>
    <w:rsid w:val="00180560"/>
    <w:rsid w:val="001810CB"/>
    <w:rsid w:val="001813B3"/>
    <w:rsid w:val="001814F9"/>
    <w:rsid w:val="00182396"/>
    <w:rsid w:val="0018727A"/>
    <w:rsid w:val="001905A2"/>
    <w:rsid w:val="00191B8A"/>
    <w:rsid w:val="00192945"/>
    <w:rsid w:val="0019448E"/>
    <w:rsid w:val="001A0305"/>
    <w:rsid w:val="001A3DA7"/>
    <w:rsid w:val="001A4518"/>
    <w:rsid w:val="001A5B17"/>
    <w:rsid w:val="001B03FB"/>
    <w:rsid w:val="001B0B6E"/>
    <w:rsid w:val="001B2A15"/>
    <w:rsid w:val="001B4FC5"/>
    <w:rsid w:val="001B5C10"/>
    <w:rsid w:val="001C00AE"/>
    <w:rsid w:val="001C09B9"/>
    <w:rsid w:val="001D04DD"/>
    <w:rsid w:val="001D1180"/>
    <w:rsid w:val="001D6336"/>
    <w:rsid w:val="001E04C9"/>
    <w:rsid w:val="001E0F1E"/>
    <w:rsid w:val="001E26DF"/>
    <w:rsid w:val="001E3938"/>
    <w:rsid w:val="001E4739"/>
    <w:rsid w:val="001E741D"/>
    <w:rsid w:val="001E7CDA"/>
    <w:rsid w:val="001F2FB1"/>
    <w:rsid w:val="001F6381"/>
    <w:rsid w:val="001F6B5B"/>
    <w:rsid w:val="001F7EC6"/>
    <w:rsid w:val="002037F6"/>
    <w:rsid w:val="00204EA9"/>
    <w:rsid w:val="00211A96"/>
    <w:rsid w:val="002154CB"/>
    <w:rsid w:val="00217574"/>
    <w:rsid w:val="00222E0E"/>
    <w:rsid w:val="00225311"/>
    <w:rsid w:val="0023273A"/>
    <w:rsid w:val="00241399"/>
    <w:rsid w:val="002413F3"/>
    <w:rsid w:val="0025018D"/>
    <w:rsid w:val="00254EA3"/>
    <w:rsid w:val="002566E6"/>
    <w:rsid w:val="002602FD"/>
    <w:rsid w:val="00261A9C"/>
    <w:rsid w:val="00261F45"/>
    <w:rsid w:val="00262086"/>
    <w:rsid w:val="00262553"/>
    <w:rsid w:val="002634ED"/>
    <w:rsid w:val="002647CB"/>
    <w:rsid w:val="00264821"/>
    <w:rsid w:val="00264BC9"/>
    <w:rsid w:val="0026706A"/>
    <w:rsid w:val="00270B38"/>
    <w:rsid w:val="00270E23"/>
    <w:rsid w:val="00272089"/>
    <w:rsid w:val="00276A40"/>
    <w:rsid w:val="00276C4A"/>
    <w:rsid w:val="00277839"/>
    <w:rsid w:val="0028018B"/>
    <w:rsid w:val="00280E8E"/>
    <w:rsid w:val="00282739"/>
    <w:rsid w:val="002855F8"/>
    <w:rsid w:val="0029212C"/>
    <w:rsid w:val="00292C60"/>
    <w:rsid w:val="002945D5"/>
    <w:rsid w:val="002957D4"/>
    <w:rsid w:val="00297C8E"/>
    <w:rsid w:val="002A0376"/>
    <w:rsid w:val="002A3326"/>
    <w:rsid w:val="002A39A5"/>
    <w:rsid w:val="002A4A5D"/>
    <w:rsid w:val="002B08A3"/>
    <w:rsid w:val="002B286D"/>
    <w:rsid w:val="002B2C33"/>
    <w:rsid w:val="002B413E"/>
    <w:rsid w:val="002C0350"/>
    <w:rsid w:val="002C0A61"/>
    <w:rsid w:val="002C1755"/>
    <w:rsid w:val="002C454C"/>
    <w:rsid w:val="002C4828"/>
    <w:rsid w:val="002C6EAA"/>
    <w:rsid w:val="002D43CC"/>
    <w:rsid w:val="002D6774"/>
    <w:rsid w:val="002D7E29"/>
    <w:rsid w:val="002E0002"/>
    <w:rsid w:val="002E041F"/>
    <w:rsid w:val="002E0EA1"/>
    <w:rsid w:val="002E24C5"/>
    <w:rsid w:val="002E288E"/>
    <w:rsid w:val="002E652A"/>
    <w:rsid w:val="002F1138"/>
    <w:rsid w:val="002F1BEA"/>
    <w:rsid w:val="002F724B"/>
    <w:rsid w:val="002F7608"/>
    <w:rsid w:val="00300BA7"/>
    <w:rsid w:val="0030128E"/>
    <w:rsid w:val="00301DE1"/>
    <w:rsid w:val="00302320"/>
    <w:rsid w:val="003104AA"/>
    <w:rsid w:val="0031288D"/>
    <w:rsid w:val="00314665"/>
    <w:rsid w:val="00315DD0"/>
    <w:rsid w:val="00323A4D"/>
    <w:rsid w:val="00325E45"/>
    <w:rsid w:val="00326AEB"/>
    <w:rsid w:val="003270AD"/>
    <w:rsid w:val="003312FC"/>
    <w:rsid w:val="00332591"/>
    <w:rsid w:val="00332B8E"/>
    <w:rsid w:val="00333212"/>
    <w:rsid w:val="0034088D"/>
    <w:rsid w:val="00342D1A"/>
    <w:rsid w:val="00342F4E"/>
    <w:rsid w:val="00343A92"/>
    <w:rsid w:val="00344A3B"/>
    <w:rsid w:val="00344B84"/>
    <w:rsid w:val="00350147"/>
    <w:rsid w:val="0035381D"/>
    <w:rsid w:val="00361954"/>
    <w:rsid w:val="00362C2B"/>
    <w:rsid w:val="003635F9"/>
    <w:rsid w:val="00364203"/>
    <w:rsid w:val="00366129"/>
    <w:rsid w:val="00366BB6"/>
    <w:rsid w:val="00373255"/>
    <w:rsid w:val="0037630B"/>
    <w:rsid w:val="00376D0F"/>
    <w:rsid w:val="003806B3"/>
    <w:rsid w:val="0038274A"/>
    <w:rsid w:val="00386CF2"/>
    <w:rsid w:val="0039138B"/>
    <w:rsid w:val="00392307"/>
    <w:rsid w:val="00392364"/>
    <w:rsid w:val="00395B12"/>
    <w:rsid w:val="00397555"/>
    <w:rsid w:val="00397F66"/>
    <w:rsid w:val="003A059A"/>
    <w:rsid w:val="003A1113"/>
    <w:rsid w:val="003A13ED"/>
    <w:rsid w:val="003A32A4"/>
    <w:rsid w:val="003B1F1D"/>
    <w:rsid w:val="003B308F"/>
    <w:rsid w:val="003B470A"/>
    <w:rsid w:val="003C0359"/>
    <w:rsid w:val="003C1AE8"/>
    <w:rsid w:val="003C38BA"/>
    <w:rsid w:val="003C616C"/>
    <w:rsid w:val="003C65D9"/>
    <w:rsid w:val="003C7324"/>
    <w:rsid w:val="003D006C"/>
    <w:rsid w:val="003D1825"/>
    <w:rsid w:val="003D1FC2"/>
    <w:rsid w:val="003D38C9"/>
    <w:rsid w:val="003D6B1E"/>
    <w:rsid w:val="003E06D7"/>
    <w:rsid w:val="003E636E"/>
    <w:rsid w:val="003E6A60"/>
    <w:rsid w:val="003E6BC7"/>
    <w:rsid w:val="003E71EA"/>
    <w:rsid w:val="003F1F79"/>
    <w:rsid w:val="003F31F8"/>
    <w:rsid w:val="003F5438"/>
    <w:rsid w:val="003F6830"/>
    <w:rsid w:val="00400A24"/>
    <w:rsid w:val="00401132"/>
    <w:rsid w:val="00402B2A"/>
    <w:rsid w:val="00403909"/>
    <w:rsid w:val="0040440D"/>
    <w:rsid w:val="00404ED0"/>
    <w:rsid w:val="0041183C"/>
    <w:rsid w:val="004119C6"/>
    <w:rsid w:val="00412CB4"/>
    <w:rsid w:val="0041779C"/>
    <w:rsid w:val="00421D0D"/>
    <w:rsid w:val="00424AC1"/>
    <w:rsid w:val="00425FA5"/>
    <w:rsid w:val="0042627F"/>
    <w:rsid w:val="00426404"/>
    <w:rsid w:val="00430A74"/>
    <w:rsid w:val="004311B0"/>
    <w:rsid w:val="00432AA2"/>
    <w:rsid w:val="004334CE"/>
    <w:rsid w:val="004402EF"/>
    <w:rsid w:val="00442845"/>
    <w:rsid w:val="00446D32"/>
    <w:rsid w:val="00450A84"/>
    <w:rsid w:val="004574C8"/>
    <w:rsid w:val="0045767E"/>
    <w:rsid w:val="00463371"/>
    <w:rsid w:val="00465DC6"/>
    <w:rsid w:val="00473741"/>
    <w:rsid w:val="00473A60"/>
    <w:rsid w:val="004747C4"/>
    <w:rsid w:val="004778D7"/>
    <w:rsid w:val="004805E1"/>
    <w:rsid w:val="00480869"/>
    <w:rsid w:val="00482495"/>
    <w:rsid w:val="0048249F"/>
    <w:rsid w:val="00482CFE"/>
    <w:rsid w:val="00483A23"/>
    <w:rsid w:val="00484C24"/>
    <w:rsid w:val="00490338"/>
    <w:rsid w:val="00490E7A"/>
    <w:rsid w:val="00491888"/>
    <w:rsid w:val="00491CB8"/>
    <w:rsid w:val="00491FBD"/>
    <w:rsid w:val="00494A10"/>
    <w:rsid w:val="00495D67"/>
    <w:rsid w:val="004A0458"/>
    <w:rsid w:val="004A0B55"/>
    <w:rsid w:val="004A2283"/>
    <w:rsid w:val="004A2D04"/>
    <w:rsid w:val="004A350D"/>
    <w:rsid w:val="004A75FF"/>
    <w:rsid w:val="004B0FD0"/>
    <w:rsid w:val="004B1DA0"/>
    <w:rsid w:val="004B2973"/>
    <w:rsid w:val="004B2C38"/>
    <w:rsid w:val="004B4833"/>
    <w:rsid w:val="004B538B"/>
    <w:rsid w:val="004C1CFF"/>
    <w:rsid w:val="004C26DF"/>
    <w:rsid w:val="004C335A"/>
    <w:rsid w:val="004C3E8C"/>
    <w:rsid w:val="004C610F"/>
    <w:rsid w:val="004C7A21"/>
    <w:rsid w:val="004C7BF9"/>
    <w:rsid w:val="004D58A0"/>
    <w:rsid w:val="004D6C1D"/>
    <w:rsid w:val="004F0EE6"/>
    <w:rsid w:val="004F1EC6"/>
    <w:rsid w:val="004F2086"/>
    <w:rsid w:val="004F2F22"/>
    <w:rsid w:val="004F4880"/>
    <w:rsid w:val="004F4F9C"/>
    <w:rsid w:val="004F549D"/>
    <w:rsid w:val="004F6695"/>
    <w:rsid w:val="00501DE4"/>
    <w:rsid w:val="00501F13"/>
    <w:rsid w:val="00502A9F"/>
    <w:rsid w:val="00504365"/>
    <w:rsid w:val="00506069"/>
    <w:rsid w:val="0051410A"/>
    <w:rsid w:val="005151D1"/>
    <w:rsid w:val="00520769"/>
    <w:rsid w:val="00520EA7"/>
    <w:rsid w:val="00520F7B"/>
    <w:rsid w:val="0052447A"/>
    <w:rsid w:val="005313AE"/>
    <w:rsid w:val="00531B48"/>
    <w:rsid w:val="005333D2"/>
    <w:rsid w:val="00533BBB"/>
    <w:rsid w:val="0053582C"/>
    <w:rsid w:val="00536132"/>
    <w:rsid w:val="0054029E"/>
    <w:rsid w:val="0054035C"/>
    <w:rsid w:val="005409C5"/>
    <w:rsid w:val="005415C4"/>
    <w:rsid w:val="005419C9"/>
    <w:rsid w:val="005420C6"/>
    <w:rsid w:val="0054347F"/>
    <w:rsid w:val="00544487"/>
    <w:rsid w:val="00544A10"/>
    <w:rsid w:val="00547FD7"/>
    <w:rsid w:val="00550770"/>
    <w:rsid w:val="005518AA"/>
    <w:rsid w:val="0055324B"/>
    <w:rsid w:val="00553939"/>
    <w:rsid w:val="00553FF5"/>
    <w:rsid w:val="00554665"/>
    <w:rsid w:val="00555468"/>
    <w:rsid w:val="005555B6"/>
    <w:rsid w:val="005566AE"/>
    <w:rsid w:val="00557370"/>
    <w:rsid w:val="00561480"/>
    <w:rsid w:val="00565327"/>
    <w:rsid w:val="0056570F"/>
    <w:rsid w:val="005677CB"/>
    <w:rsid w:val="005707AD"/>
    <w:rsid w:val="00571B6A"/>
    <w:rsid w:val="00571EED"/>
    <w:rsid w:val="0057367C"/>
    <w:rsid w:val="0057792E"/>
    <w:rsid w:val="00581622"/>
    <w:rsid w:val="0058181C"/>
    <w:rsid w:val="00583B35"/>
    <w:rsid w:val="005859CB"/>
    <w:rsid w:val="00585CE1"/>
    <w:rsid w:val="00587952"/>
    <w:rsid w:val="005924EB"/>
    <w:rsid w:val="0059287F"/>
    <w:rsid w:val="0059415F"/>
    <w:rsid w:val="00597B49"/>
    <w:rsid w:val="00597F7D"/>
    <w:rsid w:val="005B0BB1"/>
    <w:rsid w:val="005B45B1"/>
    <w:rsid w:val="005B71D0"/>
    <w:rsid w:val="005C3045"/>
    <w:rsid w:val="005D368B"/>
    <w:rsid w:val="005D6689"/>
    <w:rsid w:val="005D698B"/>
    <w:rsid w:val="005D710D"/>
    <w:rsid w:val="005D7675"/>
    <w:rsid w:val="005D77EF"/>
    <w:rsid w:val="005E02EF"/>
    <w:rsid w:val="005E0475"/>
    <w:rsid w:val="005E1364"/>
    <w:rsid w:val="005E5809"/>
    <w:rsid w:val="005E5D77"/>
    <w:rsid w:val="005E64CF"/>
    <w:rsid w:val="005F0B13"/>
    <w:rsid w:val="005F1882"/>
    <w:rsid w:val="005F1A3B"/>
    <w:rsid w:val="005F5587"/>
    <w:rsid w:val="005F5E6B"/>
    <w:rsid w:val="005F6F6A"/>
    <w:rsid w:val="005F7D8E"/>
    <w:rsid w:val="00600FEE"/>
    <w:rsid w:val="00603BCD"/>
    <w:rsid w:val="00604173"/>
    <w:rsid w:val="0060681C"/>
    <w:rsid w:val="0060777F"/>
    <w:rsid w:val="00613199"/>
    <w:rsid w:val="00614B53"/>
    <w:rsid w:val="00614E7C"/>
    <w:rsid w:val="006155E2"/>
    <w:rsid w:val="00620E92"/>
    <w:rsid w:val="0062388E"/>
    <w:rsid w:val="0062432A"/>
    <w:rsid w:val="006260A9"/>
    <w:rsid w:val="0062656A"/>
    <w:rsid w:val="00630D61"/>
    <w:rsid w:val="006326F9"/>
    <w:rsid w:val="00632DD8"/>
    <w:rsid w:val="006427DC"/>
    <w:rsid w:val="00644B23"/>
    <w:rsid w:val="00646CBC"/>
    <w:rsid w:val="00647070"/>
    <w:rsid w:val="00647312"/>
    <w:rsid w:val="00647CEB"/>
    <w:rsid w:val="00652957"/>
    <w:rsid w:val="00653009"/>
    <w:rsid w:val="00653D30"/>
    <w:rsid w:val="00655F53"/>
    <w:rsid w:val="006605A3"/>
    <w:rsid w:val="00660E3C"/>
    <w:rsid w:val="006620C7"/>
    <w:rsid w:val="00664AEA"/>
    <w:rsid w:val="006650BA"/>
    <w:rsid w:val="00670520"/>
    <w:rsid w:val="006717B1"/>
    <w:rsid w:val="00673830"/>
    <w:rsid w:val="006757FD"/>
    <w:rsid w:val="006767B7"/>
    <w:rsid w:val="00676AC5"/>
    <w:rsid w:val="00684463"/>
    <w:rsid w:val="00687750"/>
    <w:rsid w:val="00690C3A"/>
    <w:rsid w:val="00692C9C"/>
    <w:rsid w:val="00694598"/>
    <w:rsid w:val="006A1A7E"/>
    <w:rsid w:val="006A2826"/>
    <w:rsid w:val="006A32D2"/>
    <w:rsid w:val="006A36B6"/>
    <w:rsid w:val="006A77EE"/>
    <w:rsid w:val="006B055D"/>
    <w:rsid w:val="006B4F3B"/>
    <w:rsid w:val="006B56C2"/>
    <w:rsid w:val="006B62C7"/>
    <w:rsid w:val="006B6AC5"/>
    <w:rsid w:val="006C0791"/>
    <w:rsid w:val="006C11BB"/>
    <w:rsid w:val="006C13A0"/>
    <w:rsid w:val="006C21A2"/>
    <w:rsid w:val="006C27B4"/>
    <w:rsid w:val="006C398B"/>
    <w:rsid w:val="006C4784"/>
    <w:rsid w:val="006C55BB"/>
    <w:rsid w:val="006D0673"/>
    <w:rsid w:val="006D0B27"/>
    <w:rsid w:val="006D3B7B"/>
    <w:rsid w:val="006D467C"/>
    <w:rsid w:val="006D4C5E"/>
    <w:rsid w:val="006D4FFB"/>
    <w:rsid w:val="006D62AA"/>
    <w:rsid w:val="006D6CBD"/>
    <w:rsid w:val="006D6EB2"/>
    <w:rsid w:val="006E428F"/>
    <w:rsid w:val="006E5C53"/>
    <w:rsid w:val="006E5DD8"/>
    <w:rsid w:val="006F1B77"/>
    <w:rsid w:val="006F2578"/>
    <w:rsid w:val="006F3853"/>
    <w:rsid w:val="006F40F6"/>
    <w:rsid w:val="006F47EC"/>
    <w:rsid w:val="006F682E"/>
    <w:rsid w:val="00700FAF"/>
    <w:rsid w:val="007033D7"/>
    <w:rsid w:val="00704D39"/>
    <w:rsid w:val="0070509E"/>
    <w:rsid w:val="0071010F"/>
    <w:rsid w:val="00710B83"/>
    <w:rsid w:val="00714A6D"/>
    <w:rsid w:val="007173E7"/>
    <w:rsid w:val="00720173"/>
    <w:rsid w:val="0072153A"/>
    <w:rsid w:val="00722EFF"/>
    <w:rsid w:val="00722FA3"/>
    <w:rsid w:val="0072389B"/>
    <w:rsid w:val="00723E17"/>
    <w:rsid w:val="00734C56"/>
    <w:rsid w:val="00734F95"/>
    <w:rsid w:val="007359B4"/>
    <w:rsid w:val="00737D1A"/>
    <w:rsid w:val="0074023C"/>
    <w:rsid w:val="00740C31"/>
    <w:rsid w:val="00742569"/>
    <w:rsid w:val="00747A93"/>
    <w:rsid w:val="0075226D"/>
    <w:rsid w:val="00752D02"/>
    <w:rsid w:val="00752EF8"/>
    <w:rsid w:val="0075340B"/>
    <w:rsid w:val="00757479"/>
    <w:rsid w:val="00760A06"/>
    <w:rsid w:val="00764E8B"/>
    <w:rsid w:val="007655B1"/>
    <w:rsid w:val="007658CE"/>
    <w:rsid w:val="00765D67"/>
    <w:rsid w:val="0077135D"/>
    <w:rsid w:val="00771C9B"/>
    <w:rsid w:val="007749F8"/>
    <w:rsid w:val="00776011"/>
    <w:rsid w:val="00780D3B"/>
    <w:rsid w:val="00781BD1"/>
    <w:rsid w:val="00782A8C"/>
    <w:rsid w:val="00783CCA"/>
    <w:rsid w:val="007859B0"/>
    <w:rsid w:val="0078624C"/>
    <w:rsid w:val="0078650C"/>
    <w:rsid w:val="00786E16"/>
    <w:rsid w:val="0079099B"/>
    <w:rsid w:val="00791833"/>
    <w:rsid w:val="00792EDE"/>
    <w:rsid w:val="0079766F"/>
    <w:rsid w:val="00797EA4"/>
    <w:rsid w:val="007A0E7D"/>
    <w:rsid w:val="007A4E51"/>
    <w:rsid w:val="007A5B4B"/>
    <w:rsid w:val="007B100A"/>
    <w:rsid w:val="007B32A5"/>
    <w:rsid w:val="007B4F04"/>
    <w:rsid w:val="007B56B9"/>
    <w:rsid w:val="007B6D45"/>
    <w:rsid w:val="007B769E"/>
    <w:rsid w:val="007C03D7"/>
    <w:rsid w:val="007C0F1D"/>
    <w:rsid w:val="007C3AD7"/>
    <w:rsid w:val="007C4F8A"/>
    <w:rsid w:val="007C53C5"/>
    <w:rsid w:val="007D078B"/>
    <w:rsid w:val="007D2F10"/>
    <w:rsid w:val="007D2F91"/>
    <w:rsid w:val="007E066B"/>
    <w:rsid w:val="007E1B66"/>
    <w:rsid w:val="007E2CE8"/>
    <w:rsid w:val="007E7155"/>
    <w:rsid w:val="007E72BF"/>
    <w:rsid w:val="007E79E4"/>
    <w:rsid w:val="007E7AAF"/>
    <w:rsid w:val="007F128D"/>
    <w:rsid w:val="007F3046"/>
    <w:rsid w:val="007F749B"/>
    <w:rsid w:val="00800BD2"/>
    <w:rsid w:val="00801F68"/>
    <w:rsid w:val="00804326"/>
    <w:rsid w:val="00806DC2"/>
    <w:rsid w:val="008111E7"/>
    <w:rsid w:val="0081130F"/>
    <w:rsid w:val="00812363"/>
    <w:rsid w:val="00816214"/>
    <w:rsid w:val="00817A7D"/>
    <w:rsid w:val="00820C04"/>
    <w:rsid w:val="00821FF2"/>
    <w:rsid w:val="008230BF"/>
    <w:rsid w:val="008242E4"/>
    <w:rsid w:val="00825B7C"/>
    <w:rsid w:val="008273C5"/>
    <w:rsid w:val="00832284"/>
    <w:rsid w:val="00832809"/>
    <w:rsid w:val="00833E98"/>
    <w:rsid w:val="00842128"/>
    <w:rsid w:val="0084454C"/>
    <w:rsid w:val="00845FE5"/>
    <w:rsid w:val="008460C5"/>
    <w:rsid w:val="00846B1A"/>
    <w:rsid w:val="008473EB"/>
    <w:rsid w:val="008520AC"/>
    <w:rsid w:val="0085251F"/>
    <w:rsid w:val="00853874"/>
    <w:rsid w:val="0085404A"/>
    <w:rsid w:val="00856051"/>
    <w:rsid w:val="0085617A"/>
    <w:rsid w:val="00861128"/>
    <w:rsid w:val="008624BB"/>
    <w:rsid w:val="00862FAE"/>
    <w:rsid w:val="0086419C"/>
    <w:rsid w:val="008647E4"/>
    <w:rsid w:val="0086720A"/>
    <w:rsid w:val="0086723F"/>
    <w:rsid w:val="008740E2"/>
    <w:rsid w:val="008743FB"/>
    <w:rsid w:val="00876CA0"/>
    <w:rsid w:val="008803A9"/>
    <w:rsid w:val="00880D05"/>
    <w:rsid w:val="00881F3E"/>
    <w:rsid w:val="008839A7"/>
    <w:rsid w:val="00884056"/>
    <w:rsid w:val="00886CBA"/>
    <w:rsid w:val="008870AF"/>
    <w:rsid w:val="0088746C"/>
    <w:rsid w:val="008948F2"/>
    <w:rsid w:val="00894AAD"/>
    <w:rsid w:val="00894CC8"/>
    <w:rsid w:val="00894D09"/>
    <w:rsid w:val="00895B08"/>
    <w:rsid w:val="008A08EC"/>
    <w:rsid w:val="008A1DBF"/>
    <w:rsid w:val="008A2D1E"/>
    <w:rsid w:val="008A3DA6"/>
    <w:rsid w:val="008A7792"/>
    <w:rsid w:val="008B2BF3"/>
    <w:rsid w:val="008C10A9"/>
    <w:rsid w:val="008C603D"/>
    <w:rsid w:val="008D1726"/>
    <w:rsid w:val="008D1FDB"/>
    <w:rsid w:val="008D2878"/>
    <w:rsid w:val="008D610E"/>
    <w:rsid w:val="008E0375"/>
    <w:rsid w:val="008E1874"/>
    <w:rsid w:val="008F0467"/>
    <w:rsid w:val="008F05A5"/>
    <w:rsid w:val="008F0D13"/>
    <w:rsid w:val="008F1132"/>
    <w:rsid w:val="008F2004"/>
    <w:rsid w:val="008F328E"/>
    <w:rsid w:val="008F36C0"/>
    <w:rsid w:val="008F4340"/>
    <w:rsid w:val="008F589B"/>
    <w:rsid w:val="0090016F"/>
    <w:rsid w:val="00901CD8"/>
    <w:rsid w:val="009105E4"/>
    <w:rsid w:val="0091278C"/>
    <w:rsid w:val="00915009"/>
    <w:rsid w:val="00920178"/>
    <w:rsid w:val="00921690"/>
    <w:rsid w:val="00922427"/>
    <w:rsid w:val="00924215"/>
    <w:rsid w:val="00925B19"/>
    <w:rsid w:val="00931FA8"/>
    <w:rsid w:val="00940070"/>
    <w:rsid w:val="009412D6"/>
    <w:rsid w:val="00944CF0"/>
    <w:rsid w:val="009465A9"/>
    <w:rsid w:val="0095437D"/>
    <w:rsid w:val="009554BA"/>
    <w:rsid w:val="00955AE3"/>
    <w:rsid w:val="00956FB5"/>
    <w:rsid w:val="00957ED2"/>
    <w:rsid w:val="00960B66"/>
    <w:rsid w:val="00961500"/>
    <w:rsid w:val="009650AD"/>
    <w:rsid w:val="00965883"/>
    <w:rsid w:val="00965B3A"/>
    <w:rsid w:val="00966486"/>
    <w:rsid w:val="00966E95"/>
    <w:rsid w:val="009679FE"/>
    <w:rsid w:val="00970260"/>
    <w:rsid w:val="0097075D"/>
    <w:rsid w:val="00971C58"/>
    <w:rsid w:val="0097300E"/>
    <w:rsid w:val="0097301B"/>
    <w:rsid w:val="009801D0"/>
    <w:rsid w:val="009825A0"/>
    <w:rsid w:val="00984534"/>
    <w:rsid w:val="00984552"/>
    <w:rsid w:val="009848CF"/>
    <w:rsid w:val="009868CE"/>
    <w:rsid w:val="00991A53"/>
    <w:rsid w:val="00992D41"/>
    <w:rsid w:val="00993285"/>
    <w:rsid w:val="00993AC5"/>
    <w:rsid w:val="009A18D7"/>
    <w:rsid w:val="009A6424"/>
    <w:rsid w:val="009A7579"/>
    <w:rsid w:val="009B06B0"/>
    <w:rsid w:val="009B3165"/>
    <w:rsid w:val="009B4471"/>
    <w:rsid w:val="009B5822"/>
    <w:rsid w:val="009C06C2"/>
    <w:rsid w:val="009C2956"/>
    <w:rsid w:val="009C33E2"/>
    <w:rsid w:val="009C37C0"/>
    <w:rsid w:val="009C61FA"/>
    <w:rsid w:val="009D1517"/>
    <w:rsid w:val="009D770B"/>
    <w:rsid w:val="009E1D74"/>
    <w:rsid w:val="009E54AF"/>
    <w:rsid w:val="009E632A"/>
    <w:rsid w:val="009F0824"/>
    <w:rsid w:val="009F4E4F"/>
    <w:rsid w:val="009F54FD"/>
    <w:rsid w:val="009F5871"/>
    <w:rsid w:val="00A01AEB"/>
    <w:rsid w:val="00A0420D"/>
    <w:rsid w:val="00A050E3"/>
    <w:rsid w:val="00A05C21"/>
    <w:rsid w:val="00A11488"/>
    <w:rsid w:val="00A118E4"/>
    <w:rsid w:val="00A12C38"/>
    <w:rsid w:val="00A12E6D"/>
    <w:rsid w:val="00A13395"/>
    <w:rsid w:val="00A1446A"/>
    <w:rsid w:val="00A15A3A"/>
    <w:rsid w:val="00A24E6C"/>
    <w:rsid w:val="00A250D8"/>
    <w:rsid w:val="00A2561B"/>
    <w:rsid w:val="00A25F86"/>
    <w:rsid w:val="00A26DDD"/>
    <w:rsid w:val="00A30959"/>
    <w:rsid w:val="00A309D3"/>
    <w:rsid w:val="00A318A7"/>
    <w:rsid w:val="00A31F0D"/>
    <w:rsid w:val="00A34424"/>
    <w:rsid w:val="00A34E4F"/>
    <w:rsid w:val="00A35821"/>
    <w:rsid w:val="00A36B23"/>
    <w:rsid w:val="00A40EBE"/>
    <w:rsid w:val="00A438F5"/>
    <w:rsid w:val="00A43E80"/>
    <w:rsid w:val="00A470D3"/>
    <w:rsid w:val="00A4790E"/>
    <w:rsid w:val="00A50718"/>
    <w:rsid w:val="00A54D75"/>
    <w:rsid w:val="00A561DA"/>
    <w:rsid w:val="00A56470"/>
    <w:rsid w:val="00A6175E"/>
    <w:rsid w:val="00A62BAE"/>
    <w:rsid w:val="00A63B55"/>
    <w:rsid w:val="00A662C2"/>
    <w:rsid w:val="00A67712"/>
    <w:rsid w:val="00A70D25"/>
    <w:rsid w:val="00A8136C"/>
    <w:rsid w:val="00A814B1"/>
    <w:rsid w:val="00A81E11"/>
    <w:rsid w:val="00A841A4"/>
    <w:rsid w:val="00A87450"/>
    <w:rsid w:val="00A946A2"/>
    <w:rsid w:val="00A95B00"/>
    <w:rsid w:val="00AA1D4A"/>
    <w:rsid w:val="00AA34D1"/>
    <w:rsid w:val="00AA418A"/>
    <w:rsid w:val="00AA7663"/>
    <w:rsid w:val="00AB0481"/>
    <w:rsid w:val="00AB792C"/>
    <w:rsid w:val="00AC0737"/>
    <w:rsid w:val="00AC174B"/>
    <w:rsid w:val="00AC3D22"/>
    <w:rsid w:val="00AC434D"/>
    <w:rsid w:val="00AC6349"/>
    <w:rsid w:val="00AD0620"/>
    <w:rsid w:val="00AD0AA7"/>
    <w:rsid w:val="00AD26AE"/>
    <w:rsid w:val="00AD460E"/>
    <w:rsid w:val="00AE24B1"/>
    <w:rsid w:val="00AE3AF0"/>
    <w:rsid w:val="00AE4FBD"/>
    <w:rsid w:val="00AE63E1"/>
    <w:rsid w:val="00AF0B00"/>
    <w:rsid w:val="00AF2BCD"/>
    <w:rsid w:val="00AF4D86"/>
    <w:rsid w:val="00AF6C95"/>
    <w:rsid w:val="00AF6FA1"/>
    <w:rsid w:val="00B00781"/>
    <w:rsid w:val="00B01284"/>
    <w:rsid w:val="00B03D82"/>
    <w:rsid w:val="00B043E6"/>
    <w:rsid w:val="00B0571D"/>
    <w:rsid w:val="00B07E79"/>
    <w:rsid w:val="00B107F1"/>
    <w:rsid w:val="00B1215E"/>
    <w:rsid w:val="00B12DCD"/>
    <w:rsid w:val="00B136BE"/>
    <w:rsid w:val="00B146D5"/>
    <w:rsid w:val="00B16482"/>
    <w:rsid w:val="00B16519"/>
    <w:rsid w:val="00B17862"/>
    <w:rsid w:val="00B2709A"/>
    <w:rsid w:val="00B348E2"/>
    <w:rsid w:val="00B41706"/>
    <w:rsid w:val="00B44BD4"/>
    <w:rsid w:val="00B50B10"/>
    <w:rsid w:val="00B5481B"/>
    <w:rsid w:val="00B54DD6"/>
    <w:rsid w:val="00B56780"/>
    <w:rsid w:val="00B616D4"/>
    <w:rsid w:val="00B624CD"/>
    <w:rsid w:val="00B62A6C"/>
    <w:rsid w:val="00B65D80"/>
    <w:rsid w:val="00B66CA9"/>
    <w:rsid w:val="00B725C6"/>
    <w:rsid w:val="00B73740"/>
    <w:rsid w:val="00B7413E"/>
    <w:rsid w:val="00B75331"/>
    <w:rsid w:val="00B75A53"/>
    <w:rsid w:val="00B76D13"/>
    <w:rsid w:val="00B77C6F"/>
    <w:rsid w:val="00B77F91"/>
    <w:rsid w:val="00B80294"/>
    <w:rsid w:val="00B8070D"/>
    <w:rsid w:val="00B94536"/>
    <w:rsid w:val="00B94F69"/>
    <w:rsid w:val="00B95250"/>
    <w:rsid w:val="00B977DD"/>
    <w:rsid w:val="00BA0492"/>
    <w:rsid w:val="00BA110D"/>
    <w:rsid w:val="00BA5A57"/>
    <w:rsid w:val="00BA6827"/>
    <w:rsid w:val="00BB0378"/>
    <w:rsid w:val="00BB06D0"/>
    <w:rsid w:val="00BB08AC"/>
    <w:rsid w:val="00BB0ADB"/>
    <w:rsid w:val="00BB1392"/>
    <w:rsid w:val="00BB163E"/>
    <w:rsid w:val="00BB43D2"/>
    <w:rsid w:val="00BB60E9"/>
    <w:rsid w:val="00BB67E2"/>
    <w:rsid w:val="00BB7B0A"/>
    <w:rsid w:val="00BB7FF1"/>
    <w:rsid w:val="00BC00DC"/>
    <w:rsid w:val="00BC1419"/>
    <w:rsid w:val="00BC2876"/>
    <w:rsid w:val="00BC31C2"/>
    <w:rsid w:val="00BC76E3"/>
    <w:rsid w:val="00BD3949"/>
    <w:rsid w:val="00BD56B5"/>
    <w:rsid w:val="00BD759C"/>
    <w:rsid w:val="00BE0579"/>
    <w:rsid w:val="00BE06C9"/>
    <w:rsid w:val="00BE4103"/>
    <w:rsid w:val="00BE6812"/>
    <w:rsid w:val="00BE705D"/>
    <w:rsid w:val="00BF0CF9"/>
    <w:rsid w:val="00BF29BA"/>
    <w:rsid w:val="00BF3457"/>
    <w:rsid w:val="00BF5132"/>
    <w:rsid w:val="00BF566C"/>
    <w:rsid w:val="00BF6CA2"/>
    <w:rsid w:val="00BF729E"/>
    <w:rsid w:val="00C01FB6"/>
    <w:rsid w:val="00C05281"/>
    <w:rsid w:val="00C110C0"/>
    <w:rsid w:val="00C129D3"/>
    <w:rsid w:val="00C145DA"/>
    <w:rsid w:val="00C177FC"/>
    <w:rsid w:val="00C217C0"/>
    <w:rsid w:val="00C2597D"/>
    <w:rsid w:val="00C266BE"/>
    <w:rsid w:val="00C27D40"/>
    <w:rsid w:val="00C32EEF"/>
    <w:rsid w:val="00C3442B"/>
    <w:rsid w:val="00C3463E"/>
    <w:rsid w:val="00C34A56"/>
    <w:rsid w:val="00C35EFC"/>
    <w:rsid w:val="00C403BD"/>
    <w:rsid w:val="00C408E2"/>
    <w:rsid w:val="00C43C9E"/>
    <w:rsid w:val="00C51BB6"/>
    <w:rsid w:val="00C5657E"/>
    <w:rsid w:val="00C60920"/>
    <w:rsid w:val="00C652E8"/>
    <w:rsid w:val="00C7253F"/>
    <w:rsid w:val="00C72556"/>
    <w:rsid w:val="00C73036"/>
    <w:rsid w:val="00C738CF"/>
    <w:rsid w:val="00C81FBE"/>
    <w:rsid w:val="00C826D8"/>
    <w:rsid w:val="00C839A5"/>
    <w:rsid w:val="00C84853"/>
    <w:rsid w:val="00C84D2D"/>
    <w:rsid w:val="00C85019"/>
    <w:rsid w:val="00C86C7F"/>
    <w:rsid w:val="00C91F2E"/>
    <w:rsid w:val="00C9214B"/>
    <w:rsid w:val="00C93B43"/>
    <w:rsid w:val="00C9743D"/>
    <w:rsid w:val="00CA0A56"/>
    <w:rsid w:val="00CA2302"/>
    <w:rsid w:val="00CA3E4B"/>
    <w:rsid w:val="00CA60E9"/>
    <w:rsid w:val="00CA74C3"/>
    <w:rsid w:val="00CA7BC1"/>
    <w:rsid w:val="00CB37FD"/>
    <w:rsid w:val="00CC0BFE"/>
    <w:rsid w:val="00CC1F88"/>
    <w:rsid w:val="00CC77B4"/>
    <w:rsid w:val="00CD002A"/>
    <w:rsid w:val="00CD4D12"/>
    <w:rsid w:val="00CD588D"/>
    <w:rsid w:val="00CE117D"/>
    <w:rsid w:val="00CE1DA7"/>
    <w:rsid w:val="00CE3469"/>
    <w:rsid w:val="00CE49A1"/>
    <w:rsid w:val="00CF1F97"/>
    <w:rsid w:val="00CF309F"/>
    <w:rsid w:val="00CF4D10"/>
    <w:rsid w:val="00D02F1F"/>
    <w:rsid w:val="00D0335C"/>
    <w:rsid w:val="00D03A35"/>
    <w:rsid w:val="00D063E8"/>
    <w:rsid w:val="00D071FB"/>
    <w:rsid w:val="00D10F0B"/>
    <w:rsid w:val="00D1391D"/>
    <w:rsid w:val="00D14AAE"/>
    <w:rsid w:val="00D15C2D"/>
    <w:rsid w:val="00D15D32"/>
    <w:rsid w:val="00D21387"/>
    <w:rsid w:val="00D21615"/>
    <w:rsid w:val="00D2557B"/>
    <w:rsid w:val="00D25CF9"/>
    <w:rsid w:val="00D2628C"/>
    <w:rsid w:val="00D32466"/>
    <w:rsid w:val="00D36C84"/>
    <w:rsid w:val="00D40EDD"/>
    <w:rsid w:val="00D46031"/>
    <w:rsid w:val="00D46084"/>
    <w:rsid w:val="00D47A16"/>
    <w:rsid w:val="00D538AB"/>
    <w:rsid w:val="00D55591"/>
    <w:rsid w:val="00D61C76"/>
    <w:rsid w:val="00D65773"/>
    <w:rsid w:val="00D65970"/>
    <w:rsid w:val="00D66D13"/>
    <w:rsid w:val="00D6715A"/>
    <w:rsid w:val="00D6773D"/>
    <w:rsid w:val="00D7171F"/>
    <w:rsid w:val="00D717CD"/>
    <w:rsid w:val="00D73A38"/>
    <w:rsid w:val="00D73F5B"/>
    <w:rsid w:val="00D7608B"/>
    <w:rsid w:val="00D80BE6"/>
    <w:rsid w:val="00D821DF"/>
    <w:rsid w:val="00D83519"/>
    <w:rsid w:val="00D853F2"/>
    <w:rsid w:val="00D86841"/>
    <w:rsid w:val="00D86910"/>
    <w:rsid w:val="00D938EA"/>
    <w:rsid w:val="00D94B3F"/>
    <w:rsid w:val="00D96488"/>
    <w:rsid w:val="00DA12D8"/>
    <w:rsid w:val="00DA1AEA"/>
    <w:rsid w:val="00DA337F"/>
    <w:rsid w:val="00DA642B"/>
    <w:rsid w:val="00DA6C93"/>
    <w:rsid w:val="00DB3E84"/>
    <w:rsid w:val="00DB4624"/>
    <w:rsid w:val="00DB4DF5"/>
    <w:rsid w:val="00DB6B97"/>
    <w:rsid w:val="00DB6C77"/>
    <w:rsid w:val="00DC0194"/>
    <w:rsid w:val="00DC1597"/>
    <w:rsid w:val="00DC19C0"/>
    <w:rsid w:val="00DC288F"/>
    <w:rsid w:val="00DC5FFF"/>
    <w:rsid w:val="00DD2867"/>
    <w:rsid w:val="00DD3B3A"/>
    <w:rsid w:val="00DD3CE2"/>
    <w:rsid w:val="00DD6BF9"/>
    <w:rsid w:val="00DD7736"/>
    <w:rsid w:val="00DE025B"/>
    <w:rsid w:val="00DE09DE"/>
    <w:rsid w:val="00DE433B"/>
    <w:rsid w:val="00DE67EC"/>
    <w:rsid w:val="00DF1973"/>
    <w:rsid w:val="00DF2A2F"/>
    <w:rsid w:val="00DF3F75"/>
    <w:rsid w:val="00DF459E"/>
    <w:rsid w:val="00DF5824"/>
    <w:rsid w:val="00DF7077"/>
    <w:rsid w:val="00E03072"/>
    <w:rsid w:val="00E03C44"/>
    <w:rsid w:val="00E03D2A"/>
    <w:rsid w:val="00E064B0"/>
    <w:rsid w:val="00E11065"/>
    <w:rsid w:val="00E1222D"/>
    <w:rsid w:val="00E14BBB"/>
    <w:rsid w:val="00E14C6E"/>
    <w:rsid w:val="00E1574A"/>
    <w:rsid w:val="00E167F2"/>
    <w:rsid w:val="00E2091D"/>
    <w:rsid w:val="00E22237"/>
    <w:rsid w:val="00E247BB"/>
    <w:rsid w:val="00E24D16"/>
    <w:rsid w:val="00E25FB8"/>
    <w:rsid w:val="00E26D59"/>
    <w:rsid w:val="00E34596"/>
    <w:rsid w:val="00E35605"/>
    <w:rsid w:val="00E4272A"/>
    <w:rsid w:val="00E44F6C"/>
    <w:rsid w:val="00E45E12"/>
    <w:rsid w:val="00E50E4E"/>
    <w:rsid w:val="00E517D4"/>
    <w:rsid w:val="00E51EEF"/>
    <w:rsid w:val="00E532F8"/>
    <w:rsid w:val="00E572F3"/>
    <w:rsid w:val="00E62B3F"/>
    <w:rsid w:val="00E63F49"/>
    <w:rsid w:val="00E66870"/>
    <w:rsid w:val="00E70E8C"/>
    <w:rsid w:val="00E74691"/>
    <w:rsid w:val="00E754A7"/>
    <w:rsid w:val="00E76125"/>
    <w:rsid w:val="00E767DC"/>
    <w:rsid w:val="00E77E91"/>
    <w:rsid w:val="00E80E62"/>
    <w:rsid w:val="00E8222C"/>
    <w:rsid w:val="00E83829"/>
    <w:rsid w:val="00E92BFB"/>
    <w:rsid w:val="00E955E3"/>
    <w:rsid w:val="00EA0D2A"/>
    <w:rsid w:val="00EA0E98"/>
    <w:rsid w:val="00EA3286"/>
    <w:rsid w:val="00EA3FF3"/>
    <w:rsid w:val="00EA5671"/>
    <w:rsid w:val="00EA5DA6"/>
    <w:rsid w:val="00EA7A5E"/>
    <w:rsid w:val="00EB0E72"/>
    <w:rsid w:val="00EB22C1"/>
    <w:rsid w:val="00EB2F4B"/>
    <w:rsid w:val="00EB3981"/>
    <w:rsid w:val="00EB3F03"/>
    <w:rsid w:val="00EB4C85"/>
    <w:rsid w:val="00EB61EF"/>
    <w:rsid w:val="00EB6B47"/>
    <w:rsid w:val="00EB7662"/>
    <w:rsid w:val="00EB775E"/>
    <w:rsid w:val="00EB7C0A"/>
    <w:rsid w:val="00EC023A"/>
    <w:rsid w:val="00EC13D6"/>
    <w:rsid w:val="00EC4FC4"/>
    <w:rsid w:val="00EC65BE"/>
    <w:rsid w:val="00EC7570"/>
    <w:rsid w:val="00ED13DC"/>
    <w:rsid w:val="00ED2717"/>
    <w:rsid w:val="00ED2F37"/>
    <w:rsid w:val="00ED3FE0"/>
    <w:rsid w:val="00ED7CA9"/>
    <w:rsid w:val="00EE197F"/>
    <w:rsid w:val="00EE24B0"/>
    <w:rsid w:val="00EE2555"/>
    <w:rsid w:val="00EF0BCD"/>
    <w:rsid w:val="00EF3511"/>
    <w:rsid w:val="00EF4CD6"/>
    <w:rsid w:val="00EF568E"/>
    <w:rsid w:val="00EF7E06"/>
    <w:rsid w:val="00F007B5"/>
    <w:rsid w:val="00F0158E"/>
    <w:rsid w:val="00F01F71"/>
    <w:rsid w:val="00F0225E"/>
    <w:rsid w:val="00F056BF"/>
    <w:rsid w:val="00F1007F"/>
    <w:rsid w:val="00F10945"/>
    <w:rsid w:val="00F11EA4"/>
    <w:rsid w:val="00F132FF"/>
    <w:rsid w:val="00F13337"/>
    <w:rsid w:val="00F1365A"/>
    <w:rsid w:val="00F147BD"/>
    <w:rsid w:val="00F15804"/>
    <w:rsid w:val="00F15F0D"/>
    <w:rsid w:val="00F16136"/>
    <w:rsid w:val="00F1721C"/>
    <w:rsid w:val="00F212BD"/>
    <w:rsid w:val="00F214A6"/>
    <w:rsid w:val="00F25A83"/>
    <w:rsid w:val="00F25B66"/>
    <w:rsid w:val="00F273AA"/>
    <w:rsid w:val="00F274CC"/>
    <w:rsid w:val="00F2774E"/>
    <w:rsid w:val="00F27D25"/>
    <w:rsid w:val="00F3096F"/>
    <w:rsid w:val="00F318A5"/>
    <w:rsid w:val="00F31F1A"/>
    <w:rsid w:val="00F332CE"/>
    <w:rsid w:val="00F35284"/>
    <w:rsid w:val="00F3792A"/>
    <w:rsid w:val="00F40546"/>
    <w:rsid w:val="00F41B73"/>
    <w:rsid w:val="00F41CF6"/>
    <w:rsid w:val="00F4253D"/>
    <w:rsid w:val="00F47318"/>
    <w:rsid w:val="00F501BE"/>
    <w:rsid w:val="00F51232"/>
    <w:rsid w:val="00F527A3"/>
    <w:rsid w:val="00F537E7"/>
    <w:rsid w:val="00F55883"/>
    <w:rsid w:val="00F56FF1"/>
    <w:rsid w:val="00F61721"/>
    <w:rsid w:val="00F626DE"/>
    <w:rsid w:val="00F62AF5"/>
    <w:rsid w:val="00F6594A"/>
    <w:rsid w:val="00F65FC9"/>
    <w:rsid w:val="00F71A46"/>
    <w:rsid w:val="00F71DF6"/>
    <w:rsid w:val="00F75A2E"/>
    <w:rsid w:val="00F75C0D"/>
    <w:rsid w:val="00F763CE"/>
    <w:rsid w:val="00F84310"/>
    <w:rsid w:val="00F85EE2"/>
    <w:rsid w:val="00F86837"/>
    <w:rsid w:val="00F871EF"/>
    <w:rsid w:val="00F937C0"/>
    <w:rsid w:val="00F94828"/>
    <w:rsid w:val="00F96BC8"/>
    <w:rsid w:val="00F97B6F"/>
    <w:rsid w:val="00FA0548"/>
    <w:rsid w:val="00FA07F0"/>
    <w:rsid w:val="00FA373A"/>
    <w:rsid w:val="00FA5632"/>
    <w:rsid w:val="00FA75E5"/>
    <w:rsid w:val="00FB0A7B"/>
    <w:rsid w:val="00FB2008"/>
    <w:rsid w:val="00FB3786"/>
    <w:rsid w:val="00FB3A41"/>
    <w:rsid w:val="00FB46D8"/>
    <w:rsid w:val="00FB51C7"/>
    <w:rsid w:val="00FB664F"/>
    <w:rsid w:val="00FC1375"/>
    <w:rsid w:val="00FC3B6D"/>
    <w:rsid w:val="00FD08AC"/>
    <w:rsid w:val="00FD17FC"/>
    <w:rsid w:val="00FD5177"/>
    <w:rsid w:val="00FD71CD"/>
    <w:rsid w:val="00FD7B1E"/>
    <w:rsid w:val="00FE177B"/>
    <w:rsid w:val="00FE342F"/>
    <w:rsid w:val="00FF08D1"/>
    <w:rsid w:val="00FF1CBD"/>
    <w:rsid w:val="00FF20CB"/>
    <w:rsid w:val="00FF2824"/>
    <w:rsid w:val="00FF2F45"/>
    <w:rsid w:val="00FF31F7"/>
    <w:rsid w:val="00FF42FA"/>
    <w:rsid w:val="00FF45E4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DB3B6"/>
  <w15:docId w15:val="{185660DB-0EF1-4753-9873-9846DEC9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2AA"/>
  </w:style>
  <w:style w:type="paragraph" w:styleId="Heading1">
    <w:name w:val="heading 1"/>
    <w:basedOn w:val="Normal"/>
    <w:next w:val="Normal"/>
    <w:link w:val="Heading1Char"/>
    <w:uiPriority w:val="9"/>
    <w:qFormat/>
    <w:rsid w:val="000C4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F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61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61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2237"/>
    <w:rPr>
      <w:b/>
      <w:bCs/>
    </w:rPr>
  </w:style>
  <w:style w:type="table" w:styleId="TableGrid">
    <w:name w:val="Table Grid"/>
    <w:basedOn w:val="TableNormal"/>
    <w:uiPriority w:val="39"/>
    <w:rsid w:val="00DF4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13E"/>
  </w:style>
  <w:style w:type="paragraph" w:styleId="Footer">
    <w:name w:val="footer"/>
    <w:basedOn w:val="Normal"/>
    <w:link w:val="FooterChar"/>
    <w:uiPriority w:val="99"/>
    <w:unhideWhenUsed/>
    <w:rsid w:val="002B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13E"/>
  </w:style>
  <w:style w:type="character" w:styleId="CommentReference">
    <w:name w:val="annotation reference"/>
    <w:basedOn w:val="DefaultParagraphFont"/>
    <w:uiPriority w:val="99"/>
    <w:semiHidden/>
    <w:unhideWhenUsed/>
    <w:rsid w:val="006D4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72556"/>
    <w:pPr>
      <w:ind w:left="720"/>
      <w:contextualSpacing/>
    </w:pPr>
  </w:style>
  <w:style w:type="character" w:customStyle="1" w:styleId="defaultparagraphfont-000091">
    <w:name w:val="defaultparagraphfont-000091"/>
    <w:basedOn w:val="DefaultParagraphFont"/>
    <w:rsid w:val="0075340B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801D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E6812"/>
    <w:rPr>
      <w:i/>
      <w:iCs/>
    </w:rPr>
  </w:style>
  <w:style w:type="paragraph" w:styleId="TOC2">
    <w:name w:val="toc 2"/>
    <w:basedOn w:val="Normal"/>
    <w:next w:val="Normal"/>
    <w:uiPriority w:val="39"/>
    <w:qFormat/>
    <w:rsid w:val="009D770B"/>
    <w:pPr>
      <w:tabs>
        <w:tab w:val="right" w:leader="underscore" w:pos="9497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en-GB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A10"/>
    <w:rPr>
      <w:vertAlign w:val="superscript"/>
    </w:rPr>
  </w:style>
  <w:style w:type="character" w:customStyle="1" w:styleId="defaultparagraphfont-000006">
    <w:name w:val="defaultparagraphfont-000006"/>
    <w:basedOn w:val="DefaultParagraphFont"/>
    <w:rsid w:val="006427D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rsid w:val="00087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4FA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4F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FA7"/>
    <w:pPr>
      <w:spacing w:line="276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4FA7"/>
    <w:pPr>
      <w:spacing w:after="100" w:line="276" w:lineRule="auto"/>
    </w:pPr>
    <w:rPr>
      <w:rFonts w:eastAsiaTheme="minorEastAsia"/>
      <w:lang w:eastAsia="hr-HR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4FA7"/>
    <w:pPr>
      <w:spacing w:after="100" w:line="276" w:lineRule="auto"/>
      <w:ind w:left="440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0C4F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60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slov">
    <w:name w:val="naslov"/>
    <w:basedOn w:val="Normal"/>
    <w:rsid w:val="005B45B1"/>
    <w:pPr>
      <w:spacing w:after="0" w:line="240" w:lineRule="auto"/>
    </w:pPr>
    <w:rPr>
      <w:rFonts w:ascii="Calibri Light" w:eastAsiaTheme="minorEastAsia" w:hAnsi="Calibri Light" w:cs="Calibri Light"/>
      <w:sz w:val="56"/>
      <w:szCs w:val="56"/>
      <w:lang w:eastAsia="hr-HR"/>
    </w:rPr>
  </w:style>
  <w:style w:type="character" w:customStyle="1" w:styleId="zadanifontodlomka">
    <w:name w:val="zadanifontodlomka"/>
    <w:basedOn w:val="DefaultParagraphFont"/>
    <w:rsid w:val="005B45B1"/>
    <w:rPr>
      <w:rFonts w:ascii="Calibri Light" w:hAnsi="Calibri Light" w:cs="Calibri Light" w:hint="default"/>
      <w:b w:val="0"/>
      <w:bCs w:val="0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C61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C616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7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cid:image001.png@01D51235.05792610" TargetMode="External"/><Relationship Id="rId20" Type="http://schemas.openxmlformats.org/officeDocument/2006/relationships/chart" Target="charts/chart9.xm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hart" Target="charts/chart12.xml"/><Relationship Id="rId28" Type="http://schemas.openxmlformats.org/officeDocument/2006/relationships/image" Target="media/image6.jpeg"/><Relationship Id="rId10" Type="http://schemas.openxmlformats.org/officeDocument/2006/relationships/chart" Target="charts/chart1.xml"/><Relationship Id="rId19" Type="http://schemas.openxmlformats.org/officeDocument/2006/relationships/chart" Target="charts/chart8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image" Target="media/image5.jpeg"/><Relationship Id="rId30" Type="http://schemas.openxmlformats.org/officeDocument/2006/relationships/image" Target="media/image8.jpeg"/><Relationship Id="rId8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OP\PROGRAM%20I%20PRAVILNIK%20HOP\PROGRAM\dajana\Copy%20of%20HOP_Grafikoni%20sa%20LS&#381;_170720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OP\PROGRAM%20I%20PRAVILNIK%20HOP\PROGRAM\dajana\HOP_kompletna%20analitika_skra&#263;eno_20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OP\PROGRAM%20I%20PRAVILNIK%20HOP\PROGRAM\dajana\Copy%20of%20HOP_Grafikoni%20sa%20LS&#381;_1707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OP\PROGRAM%20I%20PRAVILNIK%20HOP\PROGRAM\dajana\Copy%20of%20HOP_Grafikoni%20sa%20LS&#381;_1707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OP\PROGRAM%20I%20PRAVILNIK%20HOP\PROGRAM\dajana\Copy%20of%20HOP_Grafikoni%20sa%20LS&#381;_1707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HOP\PROGRAM%20I%20PRAVILNIK%20HOP\PROGRAM\dajana\Copy%20of%20HOP_Grafikoni%20sa%20LS&#381;_1707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6C1-434E-B86F-2FAC00C380A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6C1-434E-B86F-2FAC00C380A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6C1-434E-B86F-2FAC00C380A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6C1-434E-B86F-2FAC00C380A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6C1-434E-B86F-2FAC00C380A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6C1-434E-B86F-2FAC00C380AB}"/>
              </c:ext>
            </c:extLst>
          </c:dPt>
          <c:dLbls>
            <c:dLbl>
              <c:idx val="0"/>
              <c:layout>
                <c:manualLayout>
                  <c:x val="4.1673775153105858E-2"/>
                  <c:y val="3.48833479148440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DNŽ; </a:t>
                    </a:r>
                    <a:fld id="{65791A0A-5DC5-4AF9-8A21-42496F32A7E2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C1-434E-B86F-2FAC00C380A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1.9793307086614208E-3"/>
                  <c:y val="-1.10247156605424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SDŽ; </a:t>
                    </a:r>
                    <a:fld id="{E905B699-8274-493E-AC6A-03EC3C0A39AF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C1-434E-B86F-2FAC00C380A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3.3856955380577446E-2"/>
                  <c:y val="1.6331291921843109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ŠKŽ; </a:t>
                    </a:r>
                    <a:fld id="{194DDE7D-C5E7-4979-AF6A-BCD82F0D5E0E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6C1-434E-B86F-2FAC00C380A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3.958880139982509E-5"/>
                  <c:y val="-0.1173614756488772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ZŽ; </a:t>
                    </a:r>
                    <a:fld id="{CE4CDE0C-9F91-4630-A412-CD3BA4C641AF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6C1-434E-B86F-2FAC00C380A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LSŽ; </a:t>
                    </a:r>
                    <a:fld id="{42557099-CF83-41CF-BE3F-F23CB273D509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6C1-434E-B86F-2FAC00C380A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6.5098425196850412E-2"/>
                  <c:y val="-1.44236657917760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PGŽ; </a:t>
                    </a:r>
                    <a:fld id="{37A52BB4-F794-4EF4-BE16-5448D674E37B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6C1-434E-B86F-2FAC00C380A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'C:\Users\dstrbic\Desktop\Razno\Andreja Baraba\HOP_analitika_2019\HOP KONAČNO\[HOP_kompletna analitika_skraćeno_2019.xlsx]Kumulativno_županije'!$B$3:$B$8</c:f>
              <c:strCache>
                <c:ptCount val="6"/>
                <c:pt idx="0">
                  <c:v>DNŽ</c:v>
                </c:pt>
                <c:pt idx="1">
                  <c:v>SDŽ</c:v>
                </c:pt>
                <c:pt idx="2">
                  <c:v>ŠKŽ</c:v>
                </c:pt>
                <c:pt idx="3">
                  <c:v>ZŽ</c:v>
                </c:pt>
                <c:pt idx="4">
                  <c:v>LSŽ</c:v>
                </c:pt>
                <c:pt idx="5">
                  <c:v>PGŽ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analitika_skraćeno_2019.xlsx]Kumulativno_županije'!$C$3:$C$8</c:f>
              <c:numCache>
                <c:formatCode>General</c:formatCode>
                <c:ptCount val="6"/>
                <c:pt idx="0">
                  <c:v>63</c:v>
                </c:pt>
                <c:pt idx="1">
                  <c:v>91</c:v>
                </c:pt>
                <c:pt idx="2">
                  <c:v>17</c:v>
                </c:pt>
                <c:pt idx="3">
                  <c:v>65</c:v>
                </c:pt>
                <c:pt idx="4">
                  <c:v>5</c:v>
                </c:pt>
                <c:pt idx="5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6C1-434E-B86F-2FAC00C380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'Pravna osobnost_županije'!$B$17:$B$25</c:f>
              <c:strCache>
                <c:ptCount val="9"/>
                <c:pt idx="0">
                  <c:v>Obrt</c:v>
                </c:pt>
                <c:pt idx="1">
                  <c:v>d.d.</c:v>
                </c:pt>
                <c:pt idx="2">
                  <c:v>Zadruga</c:v>
                </c:pt>
                <c:pt idx="3">
                  <c:v>Domaća radinost</c:v>
                </c:pt>
                <c:pt idx="4">
                  <c:v>OPG</c:v>
                </c:pt>
                <c:pt idx="5">
                  <c:v>d.o.o.</c:v>
                </c:pt>
                <c:pt idx="6">
                  <c:v>Fizička osoba</c:v>
                </c:pt>
                <c:pt idx="7">
                  <c:v>Udruge</c:v>
                </c:pt>
                <c:pt idx="8">
                  <c:v>Ostalo </c:v>
                </c:pt>
              </c:strCache>
            </c:strRef>
          </c:cat>
          <c:val>
            <c:numRef>
              <c:f>'Pravna osobnost_županije'!$H$17:$H$25</c:f>
              <c:numCache>
                <c:formatCode>General</c:formatCode>
                <c:ptCount val="9"/>
                <c:pt idx="0">
                  <c:v>50</c:v>
                </c:pt>
                <c:pt idx="1">
                  <c:v>3</c:v>
                </c:pt>
                <c:pt idx="2">
                  <c:v>19</c:v>
                </c:pt>
                <c:pt idx="3">
                  <c:v>10</c:v>
                </c:pt>
                <c:pt idx="4">
                  <c:v>129</c:v>
                </c:pt>
                <c:pt idx="5">
                  <c:v>38</c:v>
                </c:pt>
                <c:pt idx="6">
                  <c:v>22</c:v>
                </c:pt>
                <c:pt idx="7">
                  <c:v>20</c:v>
                </c:pt>
                <c:pt idx="8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FD-4293-900D-5C3FB2293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8314304"/>
        <c:axId val="1867172608"/>
        <c:axId val="0"/>
      </c:bar3DChart>
      <c:catAx>
        <c:axId val="191831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867172608"/>
        <c:crosses val="autoZero"/>
        <c:auto val="1"/>
        <c:lblAlgn val="ctr"/>
        <c:lblOffset val="100"/>
        <c:noMultiLvlLbl val="0"/>
      </c:catAx>
      <c:valAx>
        <c:axId val="186717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1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'Financijska sredstva'!$C$2</c:f>
              <c:strCache>
                <c:ptCount val="1"/>
                <c:pt idx="0">
                  <c:v>Plaćena financijska sredstva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'Financijska sredstva'!$B$3:$B$13</c:f>
              <c:strCache>
                <c:ptCount val="11"/>
                <c:pt idx="0">
                  <c:v>2008.</c:v>
                </c:pt>
                <c:pt idx="1">
                  <c:v>2009.</c:v>
                </c:pt>
                <c:pt idx="2">
                  <c:v>2010.</c:v>
                </c:pt>
                <c:pt idx="3">
                  <c:v>2011.</c:v>
                </c:pt>
                <c:pt idx="4">
                  <c:v>2012.</c:v>
                </c:pt>
                <c:pt idx="5">
                  <c:v>2013.</c:v>
                </c:pt>
                <c:pt idx="6">
                  <c:v>2014.</c:v>
                </c:pt>
                <c:pt idx="7">
                  <c:v>2015.</c:v>
                </c:pt>
                <c:pt idx="8">
                  <c:v>2016.</c:v>
                </c:pt>
                <c:pt idx="9">
                  <c:v>2017.</c:v>
                </c:pt>
                <c:pt idx="10">
                  <c:v>2018.</c:v>
                </c:pt>
              </c:strCache>
            </c:strRef>
          </c:cat>
          <c:val>
            <c:numRef>
              <c:f>'Financijska sredstva'!$C$3:$C$13</c:f>
              <c:numCache>
                <c:formatCode>#,##0.00\ "kn"</c:formatCode>
                <c:ptCount val="11"/>
                <c:pt idx="0">
                  <c:v>71141.11</c:v>
                </c:pt>
                <c:pt idx="1">
                  <c:v>304169.99000000022</c:v>
                </c:pt>
                <c:pt idx="2">
                  <c:v>208347.24000000011</c:v>
                </c:pt>
                <c:pt idx="3">
                  <c:v>134860.28</c:v>
                </c:pt>
                <c:pt idx="4">
                  <c:v>127585.55</c:v>
                </c:pt>
                <c:pt idx="5">
                  <c:v>109592.78</c:v>
                </c:pt>
                <c:pt idx="6">
                  <c:v>226216.87999999998</c:v>
                </c:pt>
                <c:pt idx="7">
                  <c:v>253421.16</c:v>
                </c:pt>
                <c:pt idx="8">
                  <c:v>312678</c:v>
                </c:pt>
                <c:pt idx="9">
                  <c:v>455961.91000000021</c:v>
                </c:pt>
                <c:pt idx="10">
                  <c:v>563777.9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AF-4F27-AC48-C80C40812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67162272"/>
        <c:axId val="1867173696"/>
        <c:axId val="0"/>
      </c:bar3DChart>
      <c:catAx>
        <c:axId val="186716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867173696"/>
        <c:crosses val="autoZero"/>
        <c:auto val="1"/>
        <c:lblAlgn val="ctr"/>
        <c:lblOffset val="100"/>
        <c:noMultiLvlLbl val="0"/>
      </c:catAx>
      <c:valAx>
        <c:axId val="186717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&quot;kn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86716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Broj održanih manifestacija 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Sheet2!$A$2:$A$7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Sheet2!$B$2:$B$7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3</c:v>
                </c:pt>
                <c:pt idx="3">
                  <c:v>13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FF-4FF1-B171-373E920AA9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67175328"/>
        <c:axId val="1867169344"/>
      </c:lineChart>
      <c:catAx>
        <c:axId val="186717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867169344"/>
        <c:crosses val="autoZero"/>
        <c:auto val="1"/>
        <c:lblAlgn val="ctr"/>
        <c:lblOffset val="100"/>
        <c:noMultiLvlLbl val="0"/>
      </c:catAx>
      <c:valAx>
        <c:axId val="18671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867175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Sheet3!$C$14</c:f>
              <c:strCache>
                <c:ptCount val="1"/>
                <c:pt idx="0">
                  <c:v>DNŽ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Sheet3!$E$14:$J$14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0D-444A-A9B8-B0BBB1183BD0}"/>
            </c:ext>
          </c:extLst>
        </c:ser>
        <c:ser>
          <c:idx val="1"/>
          <c:order val="1"/>
          <c:tx>
            <c:strRef>
              <c:f>Sheet3!$C$15</c:f>
              <c:strCache>
                <c:ptCount val="1"/>
                <c:pt idx="0">
                  <c:v>SDŽ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Sheet3!$E$15:$J$15</c:f>
              <c:numCache>
                <c:formatCode>General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0D-444A-A9B8-B0BBB1183BD0}"/>
            </c:ext>
          </c:extLst>
        </c:ser>
        <c:ser>
          <c:idx val="2"/>
          <c:order val="2"/>
          <c:tx>
            <c:strRef>
              <c:f>Sheet3!$C$16</c:f>
              <c:strCache>
                <c:ptCount val="1"/>
                <c:pt idx="0">
                  <c:v>ŠKŽ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Sheet3!$E$16:$J$16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0D-444A-A9B8-B0BBB1183BD0}"/>
            </c:ext>
          </c:extLst>
        </c:ser>
        <c:ser>
          <c:idx val="3"/>
          <c:order val="3"/>
          <c:tx>
            <c:strRef>
              <c:f>Sheet3!$C$17</c:f>
              <c:strCache>
                <c:ptCount val="1"/>
                <c:pt idx="0">
                  <c:v>ZŽ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Sheet3!$E$17:$J$17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40D-444A-A9B8-B0BBB1183BD0}"/>
            </c:ext>
          </c:extLst>
        </c:ser>
        <c:ser>
          <c:idx val="4"/>
          <c:order val="4"/>
          <c:tx>
            <c:strRef>
              <c:f>Sheet3!$C$18</c:f>
              <c:strCache>
                <c:ptCount val="1"/>
                <c:pt idx="0">
                  <c:v>PGŽ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Sheet3!$E$18:$J$18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40D-444A-A9B8-B0BBB1183BD0}"/>
            </c:ext>
          </c:extLst>
        </c:ser>
        <c:ser>
          <c:idx val="5"/>
          <c:order val="5"/>
          <c:tx>
            <c:strRef>
              <c:f>Sheet3!$C$19</c:f>
              <c:strCache>
                <c:ptCount val="1"/>
                <c:pt idx="0">
                  <c:v>Grad Zagreb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Sheet3!$E$19:$J$19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40D-444A-A9B8-B0BBB1183BD0}"/>
            </c:ext>
          </c:extLst>
        </c:ser>
        <c:ser>
          <c:idx val="6"/>
          <c:order val="6"/>
          <c:tx>
            <c:strRef>
              <c:f>Sheet3!$C$20</c:f>
              <c:strCache>
                <c:ptCount val="1"/>
                <c:pt idx="0">
                  <c:v>BiH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Sheet3!$E$20:$J$20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40D-444A-A9B8-B0BBB1183BD0}"/>
            </c:ext>
          </c:extLst>
        </c:ser>
        <c:ser>
          <c:idx val="7"/>
          <c:order val="7"/>
          <c:tx>
            <c:strRef>
              <c:f>Sheet3!$C$21</c:f>
              <c:strCache>
                <c:ptCount val="1"/>
                <c:pt idx="0">
                  <c:v>München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cat>
            <c:strRef>
              <c:f>Sheet3!$E$13:$J$13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Sheet3!$E$21:$J$21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40D-444A-A9B8-B0BBB1183B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67174784"/>
        <c:axId val="1867171520"/>
      </c:barChart>
      <c:catAx>
        <c:axId val="186717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67171520"/>
        <c:crosses val="autoZero"/>
        <c:auto val="1"/>
        <c:lblAlgn val="ctr"/>
        <c:lblOffset val="100"/>
        <c:noMultiLvlLbl val="0"/>
      </c:catAx>
      <c:valAx>
        <c:axId val="186717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67174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Sheet2!$B$10</c:f>
              <c:strCache>
                <c:ptCount val="1"/>
                <c:pt idx="0">
                  <c:v>Dodijeljena sredstva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3"/>
              <c:layout>
                <c:manualLayout>
                  <c:x val="-9.0173665791776228E-2"/>
                  <c:y val="-6.2465368912219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370-42E3-AC65-53053151752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0484033245844268"/>
                  <c:y val="-6.7094998541849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370-42E3-AC65-53053151752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Sheet2!$A$11:$A$16</c:f>
              <c:strCache>
                <c:ptCount val="6"/>
                <c:pt idx="0">
                  <c:v>2013.</c:v>
                </c:pt>
                <c:pt idx="1">
                  <c:v>2014.</c:v>
                </c:pt>
                <c:pt idx="2">
                  <c:v>2015.</c:v>
                </c:pt>
                <c:pt idx="3">
                  <c:v>2016.</c:v>
                </c:pt>
                <c:pt idx="4">
                  <c:v>2017.</c:v>
                </c:pt>
                <c:pt idx="5">
                  <c:v>2018.</c:v>
                </c:pt>
              </c:strCache>
            </c:strRef>
          </c:cat>
          <c:val>
            <c:numRef>
              <c:f>Sheet2!$B$11:$B$16</c:f>
              <c:numCache>
                <c:formatCode>#,##0\ "kn"</c:formatCode>
                <c:ptCount val="6"/>
                <c:pt idx="0">
                  <c:v>28000</c:v>
                </c:pt>
                <c:pt idx="1">
                  <c:v>30000</c:v>
                </c:pt>
                <c:pt idx="2">
                  <c:v>50000</c:v>
                </c:pt>
                <c:pt idx="3">
                  <c:v>96554.97</c:v>
                </c:pt>
                <c:pt idx="4">
                  <c:v>150000</c:v>
                </c:pt>
                <c:pt idx="5">
                  <c:v>241192.21000000011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370-42E3-AC65-5305315175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67174240"/>
        <c:axId val="1867175872"/>
      </c:lineChart>
      <c:catAx>
        <c:axId val="186717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867175872"/>
        <c:crosses val="autoZero"/>
        <c:auto val="1"/>
        <c:lblAlgn val="ctr"/>
        <c:lblOffset val="100"/>
        <c:noMultiLvlLbl val="0"/>
      </c:catAx>
      <c:valAx>
        <c:axId val="186717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kn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867174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713-4107-99C9-5CFD941151E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713-4107-99C9-5CFD941151E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713-4107-99C9-5CFD941151E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713-4107-99C9-5CFD941151E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713-4107-99C9-5CFD941151E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713-4107-99C9-5CFD941151E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DNŽ;</a:t>
                    </a:r>
                    <a:r>
                      <a:rPr lang="en-US" baseline="0"/>
                      <a:t> </a:t>
                    </a:r>
                    <a:fld id="{A3FDEC8F-FDFA-4DB2-829C-5878B91FD05F}" type="VALUE">
                      <a:rPr lang="en-US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13-4107-99C9-5CFD941151E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SDŽ; </a:t>
                    </a:r>
                    <a:fld id="{D33F8ABB-78BC-4E3B-B406-FF55616C7B9C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13-4107-99C9-5CFD941151E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ŠKŽ; </a:t>
                    </a:r>
                    <a:fld id="{AE1D87F3-9C4E-4636-BF40-2F54C0A81EFE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13-4107-99C9-5CFD941151E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ZŽ; </a:t>
                    </a:r>
                    <a:fld id="{0013B8D1-0C92-49CF-9A77-690B383D630A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13-4107-99C9-5CFD941151E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LSŽ; </a:t>
                    </a:r>
                    <a:fld id="{9F500794-2335-4D05-B2FB-744F664F46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713-4107-99C9-5CFD941151E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PGŽ;</a:t>
                    </a:r>
                    <a:r>
                      <a:rPr lang="en-US" baseline="0"/>
                      <a:t> </a:t>
                    </a:r>
                    <a:fld id="{956A28F3-D5AD-459B-AD39-C6CD606076CF}" type="VALUE">
                      <a:rPr lang="en-US"/>
                      <a:pPr/>
                      <a:t>[VALUE]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713-4107-99C9-5CFD941151E1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'C:\Users\dstrbic\Desktop\Razno\Andreja Baraba\HOP_analitika_2019\HOP KONAČNO\[HOP_kompletna analitika_skraćeno_2019.xlsx]Kumulativno_županije'!$B$24:$B$29</c:f>
              <c:strCache>
                <c:ptCount val="6"/>
                <c:pt idx="0">
                  <c:v>DNŽ</c:v>
                </c:pt>
                <c:pt idx="1">
                  <c:v>SDŽ</c:v>
                </c:pt>
                <c:pt idx="2">
                  <c:v>ŠKŽ</c:v>
                </c:pt>
                <c:pt idx="3">
                  <c:v>ZŽ</c:v>
                </c:pt>
                <c:pt idx="4">
                  <c:v>LSŽ</c:v>
                </c:pt>
                <c:pt idx="5">
                  <c:v>PGŽ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analitika_skraćeno_2019.xlsx]Kumulativno_županije'!$C$24:$C$29</c:f>
              <c:numCache>
                <c:formatCode>General</c:formatCode>
                <c:ptCount val="6"/>
                <c:pt idx="0">
                  <c:v>182</c:v>
                </c:pt>
                <c:pt idx="1">
                  <c:v>368</c:v>
                </c:pt>
                <c:pt idx="2">
                  <c:v>65</c:v>
                </c:pt>
                <c:pt idx="3">
                  <c:v>167</c:v>
                </c:pt>
                <c:pt idx="4">
                  <c:v>15</c:v>
                </c:pt>
                <c:pt idx="5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713-4107-99C9-5CFD941151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'C:\Users\dstrbic\Desktop\Razno\Andreja Baraba\HOP_analitika_2019\HOP KONAČNO\[HOP_kompletna analitika_skraćeno_2019.xlsx]Broj otoka po županijama'!$B$3:$B$8</c:f>
              <c:strCache>
                <c:ptCount val="6"/>
                <c:pt idx="0">
                  <c:v>DNŽ</c:v>
                </c:pt>
                <c:pt idx="1">
                  <c:v>SDŽ</c:v>
                </c:pt>
                <c:pt idx="2">
                  <c:v>ŠKŽ</c:v>
                </c:pt>
                <c:pt idx="3">
                  <c:v>ZŽ</c:v>
                </c:pt>
                <c:pt idx="4">
                  <c:v>LSŽ</c:v>
                </c:pt>
                <c:pt idx="5">
                  <c:v>PGŽ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analitika_skraćeno_2019.xlsx]Broj otoka po županijama'!$C$3:$C$8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75-47EA-81BC-7C16A84543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8309952"/>
        <c:axId val="1918319744"/>
        <c:axId val="0"/>
      </c:bar3DChart>
      <c:catAx>
        <c:axId val="191830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19744"/>
        <c:crosses val="autoZero"/>
        <c:auto val="1"/>
        <c:lblAlgn val="ctr"/>
        <c:lblOffset val="100"/>
        <c:noMultiLvlLbl val="0"/>
      </c:catAx>
      <c:valAx>
        <c:axId val="1918319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0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'C:\Users\dstrbic\Desktop\HOP_analitik_2019\[Book1.xlsx]Sheet1'!$C$10</c:f>
              <c:strCache>
                <c:ptCount val="1"/>
                <c:pt idx="0">
                  <c:v>Broj novih dobitnika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[2]Sheet1!$B$11:$B$14</c:f>
              <c:strCache>
                <c:ptCount val="4"/>
                <c:pt idx="0">
                  <c:v>Korčula</c:v>
                </c:pt>
                <c:pt idx="1">
                  <c:v>Pelješac</c:v>
                </c:pt>
                <c:pt idx="2">
                  <c:v>Lastovo</c:v>
                </c:pt>
                <c:pt idx="3">
                  <c:v>Mljet</c:v>
                </c:pt>
              </c:strCache>
            </c:strRef>
          </c:cat>
          <c:val>
            <c:numRef>
              <c:f>[2]Sheet1!$C$11:$C$14</c:f>
              <c:numCache>
                <c:formatCode>General</c:formatCode>
                <c:ptCount val="4"/>
                <c:pt idx="0">
                  <c:v>28</c:v>
                </c:pt>
                <c:pt idx="1">
                  <c:v>23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79-439D-B53F-173BCCED8CE9}"/>
            </c:ext>
          </c:extLst>
        </c:ser>
        <c:ser>
          <c:idx val="1"/>
          <c:order val="1"/>
          <c:tx>
            <c:strRef>
              <c:f>'C:\Users\dstrbic\Desktop\HOP_analitik_2019\[Book1.xlsx]Sheet1'!$D$10</c:f>
              <c:strCache>
                <c:ptCount val="1"/>
                <c:pt idx="0">
                  <c:v>Broj proizvoda/linija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[2]Sheet1!$B$11:$B$14</c:f>
              <c:strCache>
                <c:ptCount val="4"/>
                <c:pt idx="0">
                  <c:v>Korčula</c:v>
                </c:pt>
                <c:pt idx="1">
                  <c:v>Pelješac</c:v>
                </c:pt>
                <c:pt idx="2">
                  <c:v>Lastovo</c:v>
                </c:pt>
                <c:pt idx="3">
                  <c:v>Mljet</c:v>
                </c:pt>
              </c:strCache>
            </c:strRef>
          </c:cat>
          <c:val>
            <c:numRef>
              <c:f>[2]Sheet1!$D$11:$D$14</c:f>
              <c:numCache>
                <c:formatCode>General</c:formatCode>
                <c:ptCount val="4"/>
                <c:pt idx="0">
                  <c:v>75</c:v>
                </c:pt>
                <c:pt idx="1">
                  <c:v>78</c:v>
                </c:pt>
                <c:pt idx="2">
                  <c:v>20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79-439D-B53F-173BCCED8C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18337152"/>
        <c:axId val="1918317568"/>
        <c:axId val="0"/>
      </c:bar3DChart>
      <c:catAx>
        <c:axId val="191833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17568"/>
        <c:crosses val="autoZero"/>
        <c:auto val="1"/>
        <c:lblAlgn val="ctr"/>
        <c:lblOffset val="100"/>
        <c:noMultiLvlLbl val="0"/>
      </c:catAx>
      <c:valAx>
        <c:axId val="191831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3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'C:\Users\dstrbic\Desktop\HOP_analitik_2019\[Book1.xlsx]Sheet1'!$C$3</c:f>
              <c:strCache>
                <c:ptCount val="1"/>
                <c:pt idx="0">
                  <c:v>Broj novih dobitnika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[2]Sheet1!$B$4:$B$7</c:f>
              <c:strCache>
                <c:ptCount val="4"/>
                <c:pt idx="0">
                  <c:v>Vis</c:v>
                </c:pt>
                <c:pt idx="1">
                  <c:v>Hvar</c:v>
                </c:pt>
                <c:pt idx="2">
                  <c:v>Brač</c:v>
                </c:pt>
                <c:pt idx="3">
                  <c:v>Šolta</c:v>
                </c:pt>
              </c:strCache>
            </c:strRef>
          </c:cat>
          <c:val>
            <c:numRef>
              <c:f>[2]Sheet1!$C$4:$C$7</c:f>
              <c:numCache>
                <c:formatCode>General</c:formatCode>
                <c:ptCount val="4"/>
                <c:pt idx="0">
                  <c:v>18</c:v>
                </c:pt>
                <c:pt idx="1">
                  <c:v>32</c:v>
                </c:pt>
                <c:pt idx="2">
                  <c:v>33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83-4159-9C79-E6DDF6DA4D47}"/>
            </c:ext>
          </c:extLst>
        </c:ser>
        <c:ser>
          <c:idx val="1"/>
          <c:order val="1"/>
          <c:tx>
            <c:strRef>
              <c:f>'C:\Users\dstrbic\Desktop\HOP_analitik_2019\[Book1.xlsx]Sheet1'!$D$3</c:f>
              <c:strCache>
                <c:ptCount val="1"/>
                <c:pt idx="0">
                  <c:v>Broj proizvoda/linija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[2]Sheet1!$B$4:$B$7</c:f>
              <c:strCache>
                <c:ptCount val="4"/>
                <c:pt idx="0">
                  <c:v>Vis</c:v>
                </c:pt>
                <c:pt idx="1">
                  <c:v>Hvar</c:v>
                </c:pt>
                <c:pt idx="2">
                  <c:v>Brač</c:v>
                </c:pt>
                <c:pt idx="3">
                  <c:v>Šolta</c:v>
                </c:pt>
              </c:strCache>
            </c:strRef>
          </c:cat>
          <c:val>
            <c:numRef>
              <c:f>[2]Sheet1!$D$4:$D$7</c:f>
              <c:numCache>
                <c:formatCode>General</c:formatCode>
                <c:ptCount val="4"/>
                <c:pt idx="0">
                  <c:v>63</c:v>
                </c:pt>
                <c:pt idx="1">
                  <c:v>180</c:v>
                </c:pt>
                <c:pt idx="2">
                  <c:v>88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83-4159-9C79-E6DDF6DA4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8331712"/>
        <c:axId val="1918323008"/>
        <c:axId val="0"/>
      </c:bar3DChart>
      <c:catAx>
        <c:axId val="191833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23008"/>
        <c:crosses val="autoZero"/>
        <c:auto val="1"/>
        <c:lblAlgn val="ctr"/>
        <c:lblOffset val="100"/>
        <c:noMultiLvlLbl val="0"/>
      </c:catAx>
      <c:valAx>
        <c:axId val="191832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3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'C:\Users\dstrbic\Desktop\HOP_analitik_2019\[Book1.xlsx]Sheet1'!$C$25</c:f>
              <c:strCache>
                <c:ptCount val="1"/>
                <c:pt idx="0">
                  <c:v>Broj novih dobitnika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[2]Sheet1!$B$26:$B$33</c:f>
              <c:strCache>
                <c:ptCount val="8"/>
                <c:pt idx="0">
                  <c:v>Pag</c:v>
                </c:pt>
                <c:pt idx="1">
                  <c:v>Dugi otok</c:v>
                </c:pt>
                <c:pt idx="2">
                  <c:v>Pašman</c:v>
                </c:pt>
                <c:pt idx="3">
                  <c:v>Rava</c:v>
                </c:pt>
                <c:pt idx="4">
                  <c:v>Silba</c:v>
                </c:pt>
                <c:pt idx="5">
                  <c:v>Ugljan</c:v>
                </c:pt>
                <c:pt idx="6">
                  <c:v>Iž</c:v>
                </c:pt>
                <c:pt idx="7">
                  <c:v>Olib</c:v>
                </c:pt>
              </c:strCache>
            </c:strRef>
          </c:cat>
          <c:val>
            <c:numRef>
              <c:f>[2]Sheet1!$C$26:$C$33</c:f>
              <c:numCache>
                <c:formatCode>General</c:formatCode>
                <c:ptCount val="8"/>
                <c:pt idx="0">
                  <c:v>13</c:v>
                </c:pt>
                <c:pt idx="1">
                  <c:v>7</c:v>
                </c:pt>
                <c:pt idx="2">
                  <c:v>29</c:v>
                </c:pt>
                <c:pt idx="3">
                  <c:v>1</c:v>
                </c:pt>
                <c:pt idx="4">
                  <c:v>3</c:v>
                </c:pt>
                <c:pt idx="5">
                  <c:v>12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83-45B1-BC89-21CF3F4BAF7B}"/>
            </c:ext>
          </c:extLst>
        </c:ser>
        <c:ser>
          <c:idx val="1"/>
          <c:order val="1"/>
          <c:tx>
            <c:strRef>
              <c:f>'C:\Users\dstrbic\Desktop\HOP_analitik_2019\[Book1.xlsx]Sheet1'!$D$25</c:f>
              <c:strCache>
                <c:ptCount val="1"/>
                <c:pt idx="0">
                  <c:v>Broj proizvoda/linija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[2]Sheet1!$B$26:$B$33</c:f>
              <c:strCache>
                <c:ptCount val="8"/>
                <c:pt idx="0">
                  <c:v>Pag</c:v>
                </c:pt>
                <c:pt idx="1">
                  <c:v>Dugi otok</c:v>
                </c:pt>
                <c:pt idx="2">
                  <c:v>Pašman</c:v>
                </c:pt>
                <c:pt idx="3">
                  <c:v>Rava</c:v>
                </c:pt>
                <c:pt idx="4">
                  <c:v>Silba</c:v>
                </c:pt>
                <c:pt idx="5">
                  <c:v>Ugljan</c:v>
                </c:pt>
                <c:pt idx="6">
                  <c:v>Iž</c:v>
                </c:pt>
                <c:pt idx="7">
                  <c:v>Olib</c:v>
                </c:pt>
              </c:strCache>
            </c:strRef>
          </c:cat>
          <c:val>
            <c:numRef>
              <c:f>[2]Sheet1!$D$26:$D$33</c:f>
              <c:numCache>
                <c:formatCode>General</c:formatCode>
                <c:ptCount val="8"/>
                <c:pt idx="0">
                  <c:v>36</c:v>
                </c:pt>
                <c:pt idx="1">
                  <c:v>20</c:v>
                </c:pt>
                <c:pt idx="2">
                  <c:v>86</c:v>
                </c:pt>
                <c:pt idx="3">
                  <c:v>4</c:v>
                </c:pt>
                <c:pt idx="4">
                  <c:v>7</c:v>
                </c:pt>
                <c:pt idx="5">
                  <c:v>21</c:v>
                </c:pt>
                <c:pt idx="6">
                  <c:v>6</c:v>
                </c:pt>
                <c:pt idx="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83-45B1-BC89-21CF3F4BA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18326272"/>
        <c:axId val="1918314848"/>
        <c:axId val="0"/>
      </c:bar3DChart>
      <c:catAx>
        <c:axId val="191832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14848"/>
        <c:crosses val="autoZero"/>
        <c:auto val="1"/>
        <c:lblAlgn val="ctr"/>
        <c:lblOffset val="100"/>
        <c:noMultiLvlLbl val="0"/>
      </c:catAx>
      <c:valAx>
        <c:axId val="191831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2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'C:\Users\dstrbic\Desktop\D\[Copy of POPIS DOBITNIKA_HOP 2007-2018_KONAČNO.xlsx]Sheet1'!$C$41</c:f>
              <c:strCache>
                <c:ptCount val="1"/>
                <c:pt idx="0">
                  <c:v>Broj novih dobitnika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[3]Sheet1!$B$42:$B$45</c:f>
              <c:strCache>
                <c:ptCount val="4"/>
                <c:pt idx="0">
                  <c:v>Rab</c:v>
                </c:pt>
                <c:pt idx="1">
                  <c:v>Krk</c:v>
                </c:pt>
                <c:pt idx="2">
                  <c:v>Lošinj</c:v>
                </c:pt>
                <c:pt idx="3">
                  <c:v>Cres</c:v>
                </c:pt>
              </c:strCache>
            </c:strRef>
          </c:cat>
          <c:val>
            <c:numRef>
              <c:f>[3]Sheet1!$C$42:$C$45</c:f>
              <c:numCache>
                <c:formatCode>General</c:formatCode>
                <c:ptCount val="4"/>
                <c:pt idx="0">
                  <c:v>20</c:v>
                </c:pt>
                <c:pt idx="1">
                  <c:v>17</c:v>
                </c:pt>
                <c:pt idx="2">
                  <c:v>5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9F-4D15-82FB-128F37E213F9}"/>
            </c:ext>
          </c:extLst>
        </c:ser>
        <c:ser>
          <c:idx val="1"/>
          <c:order val="1"/>
          <c:tx>
            <c:strRef>
              <c:f>'C:\Users\dstrbic\Desktop\D\[Copy of POPIS DOBITNIKA_HOP 2007-2018_KONAČNO.xlsx]Sheet1'!$D$41</c:f>
              <c:strCache>
                <c:ptCount val="1"/>
                <c:pt idx="0">
                  <c:v>Broj proizvoda/linija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[3]Sheet1!$B$42:$B$45</c:f>
              <c:strCache>
                <c:ptCount val="4"/>
                <c:pt idx="0">
                  <c:v>Rab</c:v>
                </c:pt>
                <c:pt idx="1">
                  <c:v>Krk</c:v>
                </c:pt>
                <c:pt idx="2">
                  <c:v>Lošinj</c:v>
                </c:pt>
                <c:pt idx="3">
                  <c:v>Cres</c:v>
                </c:pt>
              </c:strCache>
            </c:strRef>
          </c:cat>
          <c:val>
            <c:numRef>
              <c:f>[3]Sheet1!$D$42:$D$45</c:f>
              <c:numCache>
                <c:formatCode>General</c:formatCode>
                <c:ptCount val="4"/>
                <c:pt idx="0">
                  <c:v>79</c:v>
                </c:pt>
                <c:pt idx="1">
                  <c:v>45</c:v>
                </c:pt>
                <c:pt idx="2">
                  <c:v>13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9F-4D15-82FB-128F37E213F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18327904"/>
        <c:axId val="1918332256"/>
        <c:axId val="0"/>
      </c:bar3DChart>
      <c:catAx>
        <c:axId val="191832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32256"/>
        <c:crosses val="autoZero"/>
        <c:auto val="1"/>
        <c:lblAlgn val="ctr"/>
        <c:lblOffset val="100"/>
        <c:noMultiLvlLbl val="0"/>
      </c:catAx>
      <c:valAx>
        <c:axId val="19183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91832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'C:\Users\dstrbic\Desktop\Razno\Andreja Baraba\HOP_analitika_2019\HOP KONAČNO\[HOP_kompletna analitika_skraćeno_2019.xlsx]Kretanje dobitnika i proizvoda'!$C$20</c:f>
              <c:strCache>
                <c:ptCount val="1"/>
                <c:pt idx="0">
                  <c:v>DNŽ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proizvoda'!$B$21:$B$32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proizvoda'!$C$21:$C$32</c:f>
              <c:numCache>
                <c:formatCode>General</c:formatCode>
                <c:ptCount val="12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14</c:v>
                </c:pt>
                <c:pt idx="9">
                  <c:v>5</c:v>
                </c:pt>
                <c:pt idx="10">
                  <c:v>7</c:v>
                </c:pt>
                <c:pt idx="1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E4-426D-B39C-359744F7C120}"/>
            </c:ext>
          </c:extLst>
        </c:ser>
        <c:ser>
          <c:idx val="1"/>
          <c:order val="1"/>
          <c:tx>
            <c:strRef>
              <c:f>'C:\Users\dstrbic\Desktop\Razno\Andreja Baraba\HOP_analitika_2019\HOP KONAČNO\[HOP_kompletna analitika_skraćeno_2019.xlsx]Kretanje dobitnika i proizvoda'!$D$20</c:f>
              <c:strCache>
                <c:ptCount val="1"/>
                <c:pt idx="0">
                  <c:v>SDŽ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proizvoda'!$B$21:$B$32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proizvoda'!$D$21:$D$32</c:f>
              <c:numCache>
                <c:formatCode>General</c:formatCode>
                <c:ptCount val="12"/>
                <c:pt idx="0">
                  <c:v>3</c:v>
                </c:pt>
                <c:pt idx="1">
                  <c:v>7</c:v>
                </c:pt>
                <c:pt idx="2">
                  <c:v>8</c:v>
                </c:pt>
                <c:pt idx="3">
                  <c:v>6</c:v>
                </c:pt>
                <c:pt idx="4">
                  <c:v>10</c:v>
                </c:pt>
                <c:pt idx="5">
                  <c:v>10</c:v>
                </c:pt>
                <c:pt idx="6">
                  <c:v>12</c:v>
                </c:pt>
                <c:pt idx="7">
                  <c:v>12</c:v>
                </c:pt>
                <c:pt idx="8">
                  <c:v>7</c:v>
                </c:pt>
                <c:pt idx="9">
                  <c:v>5</c:v>
                </c:pt>
                <c:pt idx="10">
                  <c:v>10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E4-426D-B39C-359744F7C120}"/>
            </c:ext>
          </c:extLst>
        </c:ser>
        <c:ser>
          <c:idx val="2"/>
          <c:order val="2"/>
          <c:tx>
            <c:strRef>
              <c:f>'C:\Users\dstrbic\Desktop\Razno\Andreja Baraba\HOP_analitika_2019\HOP KONAČNO\[HOP_kompletna analitika_skraćeno_2019.xlsx]Kretanje dobitnika i proizvoda'!$E$20</c:f>
              <c:strCache>
                <c:ptCount val="1"/>
                <c:pt idx="0">
                  <c:v>ŠKŽ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proizvoda'!$B$21:$B$32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proizvoda'!$E$21:$E$32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3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E4-426D-B39C-359744F7C120}"/>
            </c:ext>
          </c:extLst>
        </c:ser>
        <c:ser>
          <c:idx val="3"/>
          <c:order val="3"/>
          <c:tx>
            <c:strRef>
              <c:f>'C:\Users\dstrbic\Desktop\Razno\Andreja Baraba\HOP_analitika_2019\HOP KONAČNO\[HOP_kompletna analitika_skraćeno_2019.xlsx]Kretanje dobitnika i proizvoda'!$F$20</c:f>
              <c:strCache>
                <c:ptCount val="1"/>
                <c:pt idx="0">
                  <c:v>ZŽ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proizvoda'!$B$21:$B$32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proizvoda'!$F$21:$F$32</c:f>
              <c:numCache>
                <c:formatCode>General</c:formatCode>
                <c:ptCount val="12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  <c:pt idx="7">
                  <c:v>17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BE4-426D-B39C-359744F7C120}"/>
            </c:ext>
          </c:extLst>
        </c:ser>
        <c:ser>
          <c:idx val="4"/>
          <c:order val="4"/>
          <c:tx>
            <c:strRef>
              <c:f>'C:\Users\dstrbic\Desktop\Razno\Andreja Baraba\HOP_analitika_2019\HOP KONAČNO\[HOP_kompletna analitika_skraćeno_2019.xlsx]Kretanje dobitnika i proizvoda'!$G$20</c:f>
              <c:strCache>
                <c:ptCount val="1"/>
                <c:pt idx="0">
                  <c:v>LSŽ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proizvoda'!$B$21:$B$32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proizvoda'!$G$21:$G$32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BE4-426D-B39C-359744F7C120}"/>
            </c:ext>
          </c:extLst>
        </c:ser>
        <c:ser>
          <c:idx val="5"/>
          <c:order val="5"/>
          <c:tx>
            <c:strRef>
              <c:f>'C:\Users\dstrbic\Desktop\Razno\Andreja Baraba\HOP_analitika_2019\HOP KONAČNO\[HOP_kompletna analitika_skraćeno_2019.xlsx]Kretanje dobitnika i proizvoda'!$H$20</c:f>
              <c:strCache>
                <c:ptCount val="1"/>
                <c:pt idx="0">
                  <c:v>PGŽ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proizvoda'!$B$21:$B$32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proizvoda'!$H$21:$H$32</c:f>
              <c:numCache>
                <c:formatCode>General</c:formatCode>
                <c:ptCount val="12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3">
                  <c:v>12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  <c:pt idx="7">
                  <c:v>2</c:v>
                </c:pt>
                <c:pt idx="8">
                  <c:v>8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BE4-426D-B39C-359744F7C1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8334432"/>
        <c:axId val="1918318656"/>
      </c:barChart>
      <c:catAx>
        <c:axId val="191833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18656"/>
        <c:crosses val="autoZero"/>
        <c:auto val="1"/>
        <c:lblAlgn val="ctr"/>
        <c:lblOffset val="100"/>
        <c:noMultiLvlLbl val="0"/>
      </c:catAx>
      <c:valAx>
        <c:axId val="19183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3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'C:\Users\dstrbic\Desktop\Razno\Andreja Baraba\HOP_analitika_2019\HOP KONAČNO\[HOP_kompletna analitika_skraćeno_2019.xlsx]Kretanje dobitnika i proizvoda'!$C$2</c:f>
              <c:strCache>
                <c:ptCount val="1"/>
                <c:pt idx="0">
                  <c:v>DNŽ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proizvoda'!$B$3:$B$14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proizvoda'!$C$3:$C$14</c:f>
              <c:numCache>
                <c:formatCode>General</c:formatCode>
                <c:ptCount val="12"/>
                <c:pt idx="0">
                  <c:v>12</c:v>
                </c:pt>
                <c:pt idx="1">
                  <c:v>5</c:v>
                </c:pt>
                <c:pt idx="2">
                  <c:v>12</c:v>
                </c:pt>
                <c:pt idx="3">
                  <c:v>14</c:v>
                </c:pt>
                <c:pt idx="4">
                  <c:v>9</c:v>
                </c:pt>
                <c:pt idx="5">
                  <c:v>15</c:v>
                </c:pt>
                <c:pt idx="6">
                  <c:v>11</c:v>
                </c:pt>
                <c:pt idx="7">
                  <c:v>14</c:v>
                </c:pt>
                <c:pt idx="8">
                  <c:v>26</c:v>
                </c:pt>
                <c:pt idx="9">
                  <c:v>19</c:v>
                </c:pt>
                <c:pt idx="10">
                  <c:v>26</c:v>
                </c:pt>
                <c:pt idx="1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92-419D-9528-5B0B4B414F24}"/>
            </c:ext>
          </c:extLst>
        </c:ser>
        <c:ser>
          <c:idx val="1"/>
          <c:order val="1"/>
          <c:tx>
            <c:strRef>
              <c:f>'C:\Users\dstrbic\Desktop\Razno\Andreja Baraba\HOP_analitika_2019\HOP KONAČNO\[HOP_kompletna analitika_skraćeno_2019.xlsx]Kretanje dobitnika i proizvoda'!$D$2</c:f>
              <c:strCache>
                <c:ptCount val="1"/>
                <c:pt idx="0">
                  <c:v>SDŽ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proizvoda'!$B$3:$B$14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proizvoda'!$D$3:$D$14</c:f>
              <c:numCache>
                <c:formatCode>General</c:formatCode>
                <c:ptCount val="12"/>
                <c:pt idx="0">
                  <c:v>4</c:v>
                </c:pt>
                <c:pt idx="1">
                  <c:v>13</c:v>
                </c:pt>
                <c:pt idx="2">
                  <c:v>17</c:v>
                </c:pt>
                <c:pt idx="3">
                  <c:v>20</c:v>
                </c:pt>
                <c:pt idx="4">
                  <c:v>31</c:v>
                </c:pt>
                <c:pt idx="5">
                  <c:v>29</c:v>
                </c:pt>
                <c:pt idx="6">
                  <c:v>38</c:v>
                </c:pt>
                <c:pt idx="7">
                  <c:v>47</c:v>
                </c:pt>
                <c:pt idx="8">
                  <c:v>37</c:v>
                </c:pt>
                <c:pt idx="9">
                  <c:v>42</c:v>
                </c:pt>
                <c:pt idx="10">
                  <c:v>58</c:v>
                </c:pt>
                <c:pt idx="11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92-419D-9528-5B0B4B414F24}"/>
            </c:ext>
          </c:extLst>
        </c:ser>
        <c:ser>
          <c:idx val="2"/>
          <c:order val="2"/>
          <c:tx>
            <c:strRef>
              <c:f>'C:\Users\dstrbic\Desktop\Razno\Andreja Baraba\HOP_analitika_2019\HOP KONAČNO\[HOP_kompletna analitika_skraćeno_2019.xlsx]Kretanje dobitnika i proizvoda'!$E$2</c:f>
              <c:strCache>
                <c:ptCount val="1"/>
                <c:pt idx="0">
                  <c:v>ŠKŽ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proizvoda'!$B$3:$B$14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proizvoda'!$E$3:$E$14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12</c:v>
                </c:pt>
                <c:pt idx="5">
                  <c:v>3</c:v>
                </c:pt>
                <c:pt idx="6">
                  <c:v>4</c:v>
                </c:pt>
                <c:pt idx="7">
                  <c:v>7</c:v>
                </c:pt>
                <c:pt idx="8">
                  <c:v>7</c:v>
                </c:pt>
                <c:pt idx="9">
                  <c:v>10</c:v>
                </c:pt>
                <c:pt idx="10">
                  <c:v>12</c:v>
                </c:pt>
                <c:pt idx="1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92-419D-9528-5B0B4B414F24}"/>
            </c:ext>
          </c:extLst>
        </c:ser>
        <c:ser>
          <c:idx val="3"/>
          <c:order val="3"/>
          <c:tx>
            <c:strRef>
              <c:f>'C:\Users\dstrbic\Desktop\Razno\Andreja Baraba\HOP_analitika_2019\HOP KONAČNO\[HOP_kompletna analitika_skraćeno_2019.xlsx]Kretanje dobitnika i proizvoda'!$F$2</c:f>
              <c:strCache>
                <c:ptCount val="1"/>
                <c:pt idx="0">
                  <c:v>ZŽ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proizvoda'!$B$3:$B$14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proizvoda'!$F$3:$F$14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  <c:pt idx="4">
                  <c:v>9</c:v>
                </c:pt>
                <c:pt idx="5">
                  <c:v>5</c:v>
                </c:pt>
                <c:pt idx="6">
                  <c:v>2</c:v>
                </c:pt>
                <c:pt idx="7">
                  <c:v>26</c:v>
                </c:pt>
                <c:pt idx="8">
                  <c:v>22</c:v>
                </c:pt>
                <c:pt idx="9">
                  <c:v>25</c:v>
                </c:pt>
                <c:pt idx="10">
                  <c:v>33</c:v>
                </c:pt>
                <c:pt idx="1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F92-419D-9528-5B0B4B414F24}"/>
            </c:ext>
          </c:extLst>
        </c:ser>
        <c:ser>
          <c:idx val="4"/>
          <c:order val="4"/>
          <c:tx>
            <c:strRef>
              <c:f>'C:\Users\dstrbic\Desktop\Razno\Andreja Baraba\HOP_analitika_2019\HOP KONAČNO\[HOP_kompletna analitika_skraćeno_2019.xlsx]Kretanje dobitnika i proizvoda'!$G$2</c:f>
              <c:strCache>
                <c:ptCount val="1"/>
                <c:pt idx="0">
                  <c:v>LSŽ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proizvoda'!$B$3:$B$14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proizvoda'!$G$3:$G$14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5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F92-419D-9528-5B0B4B414F24}"/>
            </c:ext>
          </c:extLst>
        </c:ser>
        <c:ser>
          <c:idx val="5"/>
          <c:order val="5"/>
          <c:tx>
            <c:strRef>
              <c:f>'C:\Users\dstrbic\Desktop\Razno\Andreja Baraba\HOP_analitika_2019\HOP KONAČNO\[HOP_kompletna analitika_skraćeno_2019.xlsx]Kretanje dobitnika i proizvoda'!$H$2</c:f>
              <c:strCache>
                <c:ptCount val="1"/>
                <c:pt idx="0">
                  <c:v>PGŽ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'C:\Users\dstrbic\Desktop\Razno\Andreja Baraba\HOP_analitika_2019\HOP KONAČNO\[HOP_kompletna analitika_skraćeno_2019.xlsx]Kretanje dobitnika i proizvoda'!$B$3:$B$14</c:f>
              <c:strCache>
                <c:ptCount val="12"/>
                <c:pt idx="0">
                  <c:v>2007.</c:v>
                </c:pt>
                <c:pt idx="1">
                  <c:v>2008.</c:v>
                </c:pt>
                <c:pt idx="2">
                  <c:v>2009.</c:v>
                </c:pt>
                <c:pt idx="3">
                  <c:v>2010.</c:v>
                </c:pt>
                <c:pt idx="4">
                  <c:v>2011.</c:v>
                </c:pt>
                <c:pt idx="5">
                  <c:v>2012.</c:v>
                </c:pt>
                <c:pt idx="6">
                  <c:v>2013.</c:v>
                </c:pt>
                <c:pt idx="7">
                  <c:v>2014.</c:v>
                </c:pt>
                <c:pt idx="8">
                  <c:v>2015.</c:v>
                </c:pt>
                <c:pt idx="9">
                  <c:v>2016.</c:v>
                </c:pt>
                <c:pt idx="10">
                  <c:v>2017.</c:v>
                </c:pt>
                <c:pt idx="11">
                  <c:v>2018.</c:v>
                </c:pt>
              </c:strCache>
            </c:strRef>
          </c:cat>
          <c:val>
            <c:numRef>
              <c:f>'C:\Users\dstrbic\Desktop\Razno\Andreja Baraba\HOP_analitika_2019\HOP KONAČNO\[HOP_kompletna analitika_skraćeno_2019.xlsx]Kretanje dobitnika i proizvoda'!$H$3:$H$14</c:f>
              <c:numCache>
                <c:formatCode>General</c:formatCode>
                <c:ptCount val="12"/>
                <c:pt idx="0">
                  <c:v>2</c:v>
                </c:pt>
                <c:pt idx="1">
                  <c:v>9</c:v>
                </c:pt>
                <c:pt idx="2">
                  <c:v>4</c:v>
                </c:pt>
                <c:pt idx="3">
                  <c:v>31</c:v>
                </c:pt>
                <c:pt idx="4">
                  <c:v>22</c:v>
                </c:pt>
                <c:pt idx="5">
                  <c:v>22</c:v>
                </c:pt>
                <c:pt idx="6">
                  <c:v>19</c:v>
                </c:pt>
                <c:pt idx="7">
                  <c:v>13</c:v>
                </c:pt>
                <c:pt idx="8">
                  <c:v>18</c:v>
                </c:pt>
                <c:pt idx="9">
                  <c:v>13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F92-419D-9528-5B0B4B414F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18308320"/>
        <c:axId val="1918318112"/>
      </c:barChart>
      <c:catAx>
        <c:axId val="1918308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18112"/>
        <c:crosses val="autoZero"/>
        <c:auto val="1"/>
        <c:lblAlgn val="ctr"/>
        <c:lblOffset val="100"/>
        <c:noMultiLvlLbl val="0"/>
      </c:catAx>
      <c:valAx>
        <c:axId val="1918318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91830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25F3-E441-4738-AB9C-04C82411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5789</Words>
  <Characters>33002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Baraba</dc:creator>
  <cp:lastModifiedBy>Sanka Vučić</cp:lastModifiedBy>
  <cp:revision>3</cp:revision>
  <cp:lastPrinted>2019-08-28T10:04:00Z</cp:lastPrinted>
  <dcterms:created xsi:type="dcterms:W3CDTF">2019-10-18T10:20:00Z</dcterms:created>
  <dcterms:modified xsi:type="dcterms:W3CDTF">2019-10-18T10:20:00Z</dcterms:modified>
</cp:coreProperties>
</file>