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11" w:rsidRPr="000471D3" w:rsidRDefault="00192611" w:rsidP="00192611">
      <w:pPr>
        <w:pStyle w:val="Naslov"/>
        <w:tabs>
          <w:tab w:val="left" w:pos="7655"/>
        </w:tabs>
        <w:jc w:val="center"/>
        <w:rPr>
          <w:rFonts w:ascii="Times New Roman" w:hAnsi="Times New Roman"/>
          <w:b/>
          <w:color w:val="auto"/>
          <w:sz w:val="24"/>
          <w:szCs w:val="24"/>
          <w:lang w:eastAsia="hr-HR"/>
        </w:rPr>
      </w:pPr>
      <w:r w:rsidRPr="000471D3">
        <w:rPr>
          <w:rFonts w:ascii="Times New Roman" w:hAnsi="Times New Roman"/>
          <w:b/>
          <w:color w:val="auto"/>
          <w:sz w:val="24"/>
          <w:szCs w:val="24"/>
          <w:lang w:eastAsia="hr-HR"/>
        </w:rPr>
        <w:t>REPUBLIKA HRVATSKA</w:t>
      </w:r>
    </w:p>
    <w:p w:rsidR="00192611" w:rsidRPr="000471D3" w:rsidRDefault="00192611" w:rsidP="00192611">
      <w:pPr>
        <w:rPr>
          <w:rFonts w:ascii="Times New Roman" w:hAnsi="Times New Roman"/>
          <w:sz w:val="24"/>
          <w:szCs w:val="24"/>
          <w:lang w:eastAsia="hr-HR"/>
        </w:rPr>
      </w:pPr>
    </w:p>
    <w:p w:rsidR="00192611" w:rsidRPr="000471D3" w:rsidRDefault="00192611" w:rsidP="00192611">
      <w:pPr>
        <w:pStyle w:val="Naslov"/>
        <w:jc w:val="center"/>
        <w:rPr>
          <w:rFonts w:ascii="Times New Roman" w:hAnsi="Times New Roman"/>
          <w:b/>
          <w:color w:val="auto"/>
          <w:sz w:val="24"/>
          <w:szCs w:val="24"/>
          <w:lang w:eastAsia="hr-HR"/>
        </w:rPr>
      </w:pPr>
      <w:r w:rsidRPr="000471D3">
        <w:rPr>
          <w:rFonts w:ascii="Times New Roman" w:hAnsi="Times New Roman"/>
          <w:b/>
          <w:color w:val="auto"/>
          <w:sz w:val="24"/>
          <w:szCs w:val="24"/>
          <w:lang w:eastAsia="hr-HR"/>
        </w:rPr>
        <w:t>MINISTARSTVO ZAŠTITE OKOLIŠA I ENERGTIKE</w:t>
      </w:r>
    </w:p>
    <w:p w:rsidR="00192611" w:rsidRPr="000471D3" w:rsidRDefault="00192611" w:rsidP="00192611">
      <w:pPr>
        <w:rPr>
          <w:rFonts w:ascii="Times New Roman" w:hAnsi="Times New Roman"/>
          <w:b/>
          <w:sz w:val="24"/>
          <w:szCs w:val="24"/>
          <w:u w:val="single"/>
          <w:lang w:eastAsia="hr-HR"/>
        </w:rPr>
      </w:pPr>
      <w:r w:rsidRPr="000471D3">
        <w:rPr>
          <w:rFonts w:ascii="Times New Roman" w:hAnsi="Times New Roman"/>
          <w:b/>
          <w:sz w:val="24"/>
          <w:szCs w:val="24"/>
          <w:u w:val="single"/>
          <w:lang w:eastAsia="hr-HR"/>
        </w:rPr>
        <w:t>___________________________________________________________________________</w:t>
      </w: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jc w:val="right"/>
        <w:rPr>
          <w:rFonts w:ascii="Times New Roman" w:eastAsia="Times New Roman" w:hAnsi="Times New Roman"/>
          <w:b/>
          <w:sz w:val="24"/>
          <w:szCs w:val="24"/>
          <w:lang w:eastAsia="hr-HR"/>
        </w:rPr>
      </w:pPr>
      <w:r w:rsidRPr="000471D3">
        <w:rPr>
          <w:rFonts w:ascii="Times New Roman" w:eastAsia="Times New Roman" w:hAnsi="Times New Roman"/>
          <w:b/>
          <w:sz w:val="24"/>
          <w:szCs w:val="24"/>
          <w:lang w:eastAsia="hr-HR"/>
        </w:rPr>
        <w:t>NACRT</w:t>
      </w: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Default="00192611" w:rsidP="00192611">
      <w:pPr>
        <w:spacing w:after="0" w:line="240" w:lineRule="auto"/>
        <w:rPr>
          <w:rFonts w:ascii="Times New Roman" w:eastAsia="Times New Roman" w:hAnsi="Times New Roman"/>
          <w:b/>
          <w:sz w:val="24"/>
          <w:szCs w:val="24"/>
          <w:lang w:eastAsia="hr-HR"/>
        </w:rPr>
      </w:pPr>
    </w:p>
    <w:p w:rsidR="0054272A" w:rsidRDefault="0054272A" w:rsidP="00192611">
      <w:pPr>
        <w:spacing w:after="0" w:line="240" w:lineRule="auto"/>
        <w:rPr>
          <w:rFonts w:ascii="Times New Roman" w:eastAsia="Times New Roman" w:hAnsi="Times New Roman"/>
          <w:b/>
          <w:sz w:val="24"/>
          <w:szCs w:val="24"/>
          <w:lang w:eastAsia="hr-HR"/>
        </w:rPr>
      </w:pPr>
    </w:p>
    <w:p w:rsidR="0054272A" w:rsidRDefault="0054272A" w:rsidP="00192611">
      <w:pPr>
        <w:spacing w:after="0" w:line="240" w:lineRule="auto"/>
        <w:rPr>
          <w:rFonts w:ascii="Times New Roman" w:eastAsia="Times New Roman" w:hAnsi="Times New Roman"/>
          <w:b/>
          <w:sz w:val="24"/>
          <w:szCs w:val="24"/>
          <w:lang w:eastAsia="hr-HR"/>
        </w:rPr>
      </w:pPr>
    </w:p>
    <w:p w:rsidR="0054272A" w:rsidRPr="000471D3" w:rsidRDefault="0054272A"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rPr>
          <w:rFonts w:ascii="Times New Roman" w:eastAsia="Times New Roman" w:hAnsi="Times New Roman"/>
          <w:b/>
          <w:sz w:val="24"/>
          <w:szCs w:val="24"/>
          <w:lang w:eastAsia="hr-HR"/>
        </w:rPr>
      </w:pPr>
    </w:p>
    <w:p w:rsidR="00192611" w:rsidRPr="000471D3" w:rsidRDefault="00192611" w:rsidP="00192611">
      <w:pPr>
        <w:spacing w:after="0" w:line="240" w:lineRule="auto"/>
        <w:rPr>
          <w:rFonts w:ascii="Times New Roman" w:eastAsia="Times New Roman" w:hAnsi="Times New Roman"/>
          <w:b/>
          <w:sz w:val="24"/>
          <w:szCs w:val="24"/>
          <w:lang w:eastAsia="hr-HR"/>
        </w:rPr>
      </w:pPr>
    </w:p>
    <w:p w:rsidR="003A7F62" w:rsidRPr="003A7F62" w:rsidRDefault="00192611" w:rsidP="003A7F62">
      <w:pPr>
        <w:suppressAutoHyphens/>
        <w:jc w:val="center"/>
        <w:rPr>
          <w:rFonts w:ascii="Times New Roman" w:hAnsi="Times New Roman"/>
          <w:b/>
          <w:spacing w:val="-3"/>
          <w:sz w:val="24"/>
        </w:rPr>
      </w:pPr>
      <w:r>
        <w:rPr>
          <w:rFonts w:ascii="Times New Roman" w:hAnsi="Times New Roman"/>
          <w:b/>
          <w:sz w:val="24"/>
          <w:szCs w:val="24"/>
        </w:rPr>
        <w:t>PRIJEDLOG ZAKONA O IZMJENI I DOPUNI</w:t>
      </w:r>
      <w:r w:rsidRPr="000471D3">
        <w:rPr>
          <w:rFonts w:ascii="Times New Roman" w:hAnsi="Times New Roman"/>
          <w:b/>
          <w:sz w:val="24"/>
          <w:szCs w:val="24"/>
        </w:rPr>
        <w:t xml:space="preserve"> ZAKONA O </w:t>
      </w:r>
      <w:r>
        <w:rPr>
          <w:rFonts w:ascii="Times New Roman" w:hAnsi="Times New Roman"/>
          <w:b/>
          <w:sz w:val="24"/>
          <w:szCs w:val="24"/>
        </w:rPr>
        <w:t>ENERGETSKOJ UČINKOVITOSTI</w:t>
      </w:r>
      <w:r w:rsidR="003A7F62">
        <w:rPr>
          <w:rFonts w:ascii="Times New Roman" w:hAnsi="Times New Roman"/>
          <w:b/>
          <w:spacing w:val="-3"/>
          <w:sz w:val="24"/>
        </w:rPr>
        <w:t>,  S KONAČNI</w:t>
      </w:r>
      <w:r w:rsidR="003A7F62" w:rsidRPr="003A7F62">
        <w:rPr>
          <w:rFonts w:ascii="Times New Roman" w:hAnsi="Times New Roman"/>
          <w:b/>
          <w:spacing w:val="-3"/>
          <w:sz w:val="24"/>
        </w:rPr>
        <w:t>M</w:t>
      </w:r>
      <w:r w:rsidR="003A7F62">
        <w:rPr>
          <w:rFonts w:ascii="Times New Roman" w:hAnsi="Times New Roman"/>
          <w:b/>
          <w:spacing w:val="-3"/>
          <w:sz w:val="24"/>
        </w:rPr>
        <w:t xml:space="preserve"> </w:t>
      </w:r>
      <w:r w:rsidR="003A7F62" w:rsidRPr="003A7F62">
        <w:rPr>
          <w:rFonts w:ascii="Times New Roman" w:hAnsi="Times New Roman"/>
          <w:b/>
          <w:spacing w:val="-3"/>
          <w:sz w:val="24"/>
        </w:rPr>
        <w:t>ZAKONOM</w:t>
      </w:r>
    </w:p>
    <w:p w:rsidR="00192611" w:rsidRPr="000471D3" w:rsidRDefault="00192611" w:rsidP="00192611">
      <w:pPr>
        <w:pStyle w:val="Naslov1"/>
        <w:jc w:val="center"/>
        <w:rPr>
          <w:rFonts w:ascii="Times New Roman" w:hAnsi="Times New Roman"/>
          <w:b/>
          <w:sz w:val="24"/>
          <w:szCs w:val="24"/>
          <w:lang w:eastAsia="hr-HR"/>
        </w:rPr>
      </w:pPr>
    </w:p>
    <w:p w:rsidR="00192611" w:rsidRPr="000471D3"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rPr>
          <w:rFonts w:ascii="Times New Roman" w:eastAsia="Times New Roman" w:hAnsi="Times New Roman"/>
          <w:b/>
          <w:sz w:val="24"/>
          <w:szCs w:val="24"/>
          <w:lang w:eastAsia="hr-HR"/>
        </w:rPr>
      </w:pPr>
    </w:p>
    <w:p w:rsidR="00192611"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3A7F62">
      <w:pPr>
        <w:pBdr>
          <w:bottom w:val="single" w:sz="12" w:space="1" w:color="auto"/>
        </w:pBdr>
        <w:spacing w:after="0" w:line="240" w:lineRule="auto"/>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192611">
      <w:pPr>
        <w:pBdr>
          <w:bottom w:val="single" w:sz="12" w:space="1" w:color="auto"/>
        </w:pBdr>
        <w:spacing w:after="0" w:line="240" w:lineRule="auto"/>
        <w:jc w:val="center"/>
        <w:rPr>
          <w:rFonts w:ascii="Times New Roman" w:eastAsia="Times New Roman" w:hAnsi="Times New Roman"/>
          <w:b/>
          <w:sz w:val="24"/>
          <w:szCs w:val="24"/>
          <w:lang w:eastAsia="hr-HR"/>
        </w:rPr>
      </w:pPr>
    </w:p>
    <w:p w:rsidR="00192611" w:rsidRPr="000471D3" w:rsidRDefault="00192611" w:rsidP="00192611">
      <w:pPr>
        <w:spacing w:after="0"/>
        <w:jc w:val="center"/>
        <w:rPr>
          <w:rFonts w:ascii="Times New Roman" w:hAnsi="Times New Roman"/>
          <w:sz w:val="24"/>
          <w:szCs w:val="24"/>
        </w:rPr>
      </w:pPr>
      <w:r w:rsidRPr="000471D3">
        <w:rPr>
          <w:rFonts w:ascii="Times New Roman" w:hAnsi="Times New Roman"/>
          <w:b/>
          <w:sz w:val="24"/>
          <w:szCs w:val="24"/>
          <w:lang w:eastAsia="hr-HR"/>
        </w:rPr>
        <w:t xml:space="preserve">Zagreb, </w:t>
      </w:r>
      <w:r>
        <w:rPr>
          <w:rFonts w:ascii="Times New Roman" w:hAnsi="Times New Roman"/>
          <w:b/>
          <w:sz w:val="24"/>
          <w:szCs w:val="24"/>
          <w:lang w:eastAsia="hr-HR"/>
        </w:rPr>
        <w:t>siječanj 2020</w:t>
      </w:r>
      <w:r w:rsidRPr="000471D3">
        <w:rPr>
          <w:rFonts w:ascii="Times New Roman" w:hAnsi="Times New Roman"/>
          <w:b/>
          <w:sz w:val="24"/>
          <w:szCs w:val="24"/>
          <w:lang w:eastAsia="hr-HR"/>
        </w:rPr>
        <w:t>.</w:t>
      </w:r>
    </w:p>
    <w:p w:rsidR="00192611" w:rsidRPr="003A7F62" w:rsidRDefault="00192611" w:rsidP="00192611">
      <w:pPr>
        <w:pStyle w:val="Naslov1"/>
        <w:jc w:val="center"/>
        <w:rPr>
          <w:rFonts w:ascii="Times New Roman" w:hAnsi="Times New Roman"/>
          <w:b/>
          <w:color w:val="auto"/>
          <w:sz w:val="24"/>
          <w:szCs w:val="24"/>
          <w:lang w:eastAsia="hr-HR"/>
        </w:rPr>
      </w:pPr>
      <w:r w:rsidRPr="000471D3">
        <w:rPr>
          <w:rFonts w:ascii="Times New Roman" w:hAnsi="Times New Roman"/>
          <w:b/>
          <w:color w:val="auto"/>
          <w:sz w:val="24"/>
          <w:szCs w:val="24"/>
        </w:rPr>
        <w:lastRenderedPageBreak/>
        <w:t xml:space="preserve">PRIJEDLOG ZAKONA O </w:t>
      </w:r>
      <w:r>
        <w:rPr>
          <w:rFonts w:ascii="Times New Roman" w:hAnsi="Times New Roman"/>
          <w:b/>
          <w:color w:val="auto"/>
          <w:sz w:val="24"/>
          <w:szCs w:val="24"/>
        </w:rPr>
        <w:t>IZMJENI I DOPUNI</w:t>
      </w:r>
      <w:r w:rsidRPr="000471D3">
        <w:rPr>
          <w:rFonts w:ascii="Times New Roman" w:hAnsi="Times New Roman"/>
          <w:b/>
          <w:color w:val="auto"/>
          <w:sz w:val="24"/>
          <w:szCs w:val="24"/>
        </w:rPr>
        <w:t xml:space="preserve"> ZAKONA O </w:t>
      </w:r>
      <w:r>
        <w:rPr>
          <w:rFonts w:ascii="Times New Roman" w:hAnsi="Times New Roman"/>
          <w:b/>
          <w:color w:val="auto"/>
          <w:sz w:val="24"/>
          <w:szCs w:val="24"/>
        </w:rPr>
        <w:t>ENERGETSKOJ UČINKOVITOSTI</w:t>
      </w:r>
      <w:r w:rsidR="003A7F62" w:rsidRPr="003A7F62">
        <w:rPr>
          <w:rFonts w:ascii="Times New Roman" w:hAnsi="Times New Roman"/>
          <w:b/>
          <w:spacing w:val="-3"/>
          <w:sz w:val="24"/>
        </w:rPr>
        <w:t xml:space="preserve"> </w:t>
      </w:r>
      <w:r w:rsidR="003A7F62" w:rsidRPr="003A7F62">
        <w:rPr>
          <w:rFonts w:ascii="Times New Roman" w:hAnsi="Times New Roman"/>
          <w:b/>
          <w:color w:val="auto"/>
          <w:spacing w:val="-3"/>
          <w:sz w:val="24"/>
        </w:rPr>
        <w:t>S KONAČNIM ZAKONOM</w:t>
      </w:r>
    </w:p>
    <w:p w:rsidR="00192611" w:rsidRPr="000471D3" w:rsidRDefault="00192611" w:rsidP="00192611">
      <w:pPr>
        <w:spacing w:after="0" w:line="240" w:lineRule="auto"/>
        <w:jc w:val="center"/>
        <w:rPr>
          <w:rFonts w:ascii="Times New Roman" w:eastAsia="Times New Roman" w:hAnsi="Times New Roman"/>
          <w:b/>
          <w:sz w:val="24"/>
          <w:szCs w:val="24"/>
          <w:lang w:eastAsia="hr-HR"/>
        </w:rPr>
      </w:pPr>
    </w:p>
    <w:p w:rsidR="00192611" w:rsidRPr="000471D3" w:rsidRDefault="00192611" w:rsidP="00192611">
      <w:pPr>
        <w:pStyle w:val="Naslov2"/>
        <w:spacing w:before="0"/>
        <w:jc w:val="both"/>
        <w:rPr>
          <w:rFonts w:ascii="Times New Roman" w:hAnsi="Times New Roman"/>
          <w:b/>
          <w:color w:val="auto"/>
          <w:sz w:val="24"/>
          <w:szCs w:val="24"/>
        </w:rPr>
      </w:pPr>
      <w:r w:rsidRPr="000471D3">
        <w:rPr>
          <w:rFonts w:ascii="Times New Roman" w:hAnsi="Times New Roman"/>
          <w:b/>
          <w:color w:val="auto"/>
          <w:sz w:val="24"/>
          <w:szCs w:val="24"/>
        </w:rPr>
        <w:t xml:space="preserve">I. </w:t>
      </w:r>
      <w:r w:rsidRPr="000471D3">
        <w:rPr>
          <w:rFonts w:ascii="Times New Roman" w:hAnsi="Times New Roman"/>
          <w:b/>
          <w:color w:val="auto"/>
          <w:sz w:val="24"/>
          <w:szCs w:val="24"/>
        </w:rPr>
        <w:tab/>
        <w:t>USTAVNA OSNOVA ZA DONOŠENJE ZAKONA</w:t>
      </w:r>
    </w:p>
    <w:p w:rsidR="00192611" w:rsidRPr="000471D3" w:rsidRDefault="00192611" w:rsidP="00192611">
      <w:pPr>
        <w:rPr>
          <w:rFonts w:ascii="Times New Roman" w:hAnsi="Times New Roman"/>
          <w:sz w:val="24"/>
          <w:szCs w:val="24"/>
        </w:rPr>
      </w:pPr>
    </w:p>
    <w:p w:rsidR="00192611" w:rsidRPr="000471D3" w:rsidRDefault="00192611" w:rsidP="00192611">
      <w:pPr>
        <w:spacing w:after="0" w:line="240" w:lineRule="auto"/>
        <w:ind w:firstLine="708"/>
        <w:jc w:val="both"/>
        <w:rPr>
          <w:rFonts w:ascii="Times New Roman" w:eastAsia="Times New Roman" w:hAnsi="Times New Roman"/>
          <w:sz w:val="24"/>
          <w:szCs w:val="24"/>
          <w:lang w:eastAsia="hr-HR"/>
        </w:rPr>
      </w:pPr>
      <w:r w:rsidRPr="000471D3">
        <w:rPr>
          <w:rFonts w:ascii="Times New Roman" w:eastAsia="Times New Roman" w:hAnsi="Times New Roman"/>
          <w:sz w:val="24"/>
          <w:szCs w:val="24"/>
          <w:lang w:eastAsia="hr-HR"/>
        </w:rPr>
        <w:t>Ustavna osnova za donošenje ovoga Zakona  sadržana je u članku 2. stavku 4. podstavku 1. Ustava Republike Hrvatske (Narodne novine, br. 85/10 – pročišćeni tekst i 5/14 – Odluka Ustavnog suda Republike Hrvatske).</w:t>
      </w:r>
    </w:p>
    <w:p w:rsidR="00192611" w:rsidRPr="000471D3" w:rsidRDefault="00192611" w:rsidP="00192611">
      <w:pPr>
        <w:spacing w:after="0" w:line="240" w:lineRule="auto"/>
        <w:ind w:firstLine="708"/>
        <w:jc w:val="both"/>
        <w:rPr>
          <w:rFonts w:ascii="Times New Roman" w:eastAsia="Times New Roman" w:hAnsi="Times New Roman"/>
          <w:sz w:val="24"/>
          <w:szCs w:val="24"/>
          <w:lang w:eastAsia="hr-HR"/>
        </w:rPr>
      </w:pPr>
    </w:p>
    <w:p w:rsidR="00192611" w:rsidRPr="000471D3" w:rsidRDefault="00192611" w:rsidP="00192611">
      <w:pPr>
        <w:spacing w:after="0" w:line="240" w:lineRule="auto"/>
        <w:ind w:firstLine="708"/>
        <w:jc w:val="both"/>
        <w:rPr>
          <w:rFonts w:ascii="Times New Roman" w:eastAsia="Times New Roman" w:hAnsi="Times New Roman"/>
          <w:sz w:val="24"/>
          <w:szCs w:val="24"/>
          <w:lang w:eastAsia="hr-HR"/>
        </w:rPr>
      </w:pPr>
    </w:p>
    <w:p w:rsidR="00192611" w:rsidRPr="000471D3" w:rsidRDefault="00192611" w:rsidP="00192611">
      <w:pPr>
        <w:pStyle w:val="Naslov2"/>
        <w:ind w:left="708" w:hanging="708"/>
        <w:jc w:val="both"/>
        <w:rPr>
          <w:rFonts w:ascii="Times New Roman" w:hAnsi="Times New Roman"/>
          <w:b/>
          <w:color w:val="auto"/>
          <w:sz w:val="24"/>
          <w:szCs w:val="24"/>
        </w:rPr>
      </w:pPr>
      <w:r w:rsidRPr="000471D3">
        <w:rPr>
          <w:rFonts w:ascii="Times New Roman" w:hAnsi="Times New Roman"/>
          <w:b/>
          <w:color w:val="auto"/>
          <w:sz w:val="24"/>
          <w:szCs w:val="24"/>
        </w:rPr>
        <w:t xml:space="preserve">II. </w:t>
      </w:r>
      <w:r w:rsidRPr="000471D3">
        <w:rPr>
          <w:rFonts w:ascii="Times New Roman" w:hAnsi="Times New Roman"/>
          <w:b/>
          <w:color w:val="auto"/>
          <w:sz w:val="24"/>
          <w:szCs w:val="24"/>
        </w:rPr>
        <w:tab/>
        <w:t>OCJENA STANJA I OSNOVNA PITANJA KOJA SE TREBAJU UREDITI ZAKONOM TE POSLJEDICE KOJE ĆE DONOŠENJEM ZAKONA PROISTEĆI</w:t>
      </w:r>
    </w:p>
    <w:p w:rsidR="0054272A" w:rsidRDefault="0054272A" w:rsidP="0054272A">
      <w:pPr>
        <w:spacing w:line="276" w:lineRule="auto"/>
        <w:jc w:val="both"/>
        <w:rPr>
          <w:rFonts w:ascii="Times New Roman" w:hAnsi="Times New Roman"/>
          <w:sz w:val="24"/>
          <w:szCs w:val="24"/>
        </w:rPr>
      </w:pPr>
    </w:p>
    <w:p w:rsidR="0054272A" w:rsidRPr="0054272A" w:rsidRDefault="00192611" w:rsidP="0054272A">
      <w:pPr>
        <w:spacing w:line="276" w:lineRule="auto"/>
        <w:jc w:val="both"/>
        <w:rPr>
          <w:rFonts w:ascii="Times New Roman" w:hAnsi="Times New Roman"/>
          <w:sz w:val="24"/>
          <w:szCs w:val="24"/>
        </w:rPr>
      </w:pPr>
      <w:r w:rsidRPr="0054272A">
        <w:rPr>
          <w:rFonts w:ascii="Times New Roman" w:hAnsi="Times New Roman"/>
          <w:sz w:val="24"/>
          <w:szCs w:val="24"/>
          <w:lang w:eastAsia="hr-HR"/>
        </w:rPr>
        <w:t xml:space="preserve">Zakon o </w:t>
      </w:r>
      <w:r w:rsidR="005E3376" w:rsidRPr="0054272A">
        <w:rPr>
          <w:rFonts w:ascii="Times New Roman" w:hAnsi="Times New Roman"/>
          <w:sz w:val="24"/>
          <w:szCs w:val="24"/>
          <w:lang w:eastAsia="hr-HR"/>
        </w:rPr>
        <w:t>energetskoj učinkovitosti</w:t>
      </w:r>
      <w:r w:rsidRPr="0054272A">
        <w:rPr>
          <w:rFonts w:ascii="Times New Roman" w:hAnsi="Times New Roman"/>
          <w:sz w:val="24"/>
          <w:szCs w:val="24"/>
          <w:lang w:eastAsia="hr-HR"/>
        </w:rPr>
        <w:t xml:space="preserve"> (Narodne novine, br. </w:t>
      </w:r>
      <w:r w:rsidR="005E3376" w:rsidRPr="0054272A">
        <w:rPr>
          <w:rFonts w:ascii="Times New Roman" w:hAnsi="Times New Roman"/>
          <w:sz w:val="24"/>
          <w:szCs w:val="24"/>
          <w:lang w:eastAsia="hr-HR"/>
        </w:rPr>
        <w:t>127/14 i 116/18</w:t>
      </w:r>
      <w:r w:rsidRPr="0054272A">
        <w:rPr>
          <w:rFonts w:ascii="Times New Roman" w:hAnsi="Times New Roman"/>
          <w:sz w:val="24"/>
          <w:szCs w:val="24"/>
          <w:lang w:eastAsia="hr-HR"/>
        </w:rPr>
        <w:t xml:space="preserve">) </w:t>
      </w:r>
      <w:r w:rsidR="0054272A" w:rsidRPr="0054272A">
        <w:rPr>
          <w:rFonts w:ascii="Times New Roman" w:hAnsi="Times New Roman"/>
          <w:sz w:val="24"/>
          <w:szCs w:val="24"/>
        </w:rPr>
        <w:t>propisao je obvezu ušteda energije opskrbljivačima energije koji energiju isporučuju  krajnjim kupcima ili do distribucijskih stanica koje prodaju energiju krajnjim kupcima.</w:t>
      </w:r>
      <w:r w:rsidR="0054272A">
        <w:rPr>
          <w:rFonts w:ascii="Times New Roman" w:hAnsi="Times New Roman"/>
          <w:sz w:val="24"/>
          <w:szCs w:val="24"/>
        </w:rPr>
        <w:t xml:space="preserve"> </w:t>
      </w:r>
      <w:r w:rsidR="0054272A" w:rsidRPr="0054272A">
        <w:rPr>
          <w:rFonts w:ascii="Times New Roman" w:hAnsi="Times New Roman"/>
          <w:sz w:val="24"/>
          <w:szCs w:val="24"/>
        </w:rPr>
        <w:t>Obveza uštede energije opskrbljivača u tekućoj godini temelji se na količinama energije koje su opskrbljivači energije isporučili krajnjim kupcima ili do distribucijskih stanica koje prodaju energiju krajnjim kupcima u pretprošloj godini. Tako su stranke obveznice sustava obveza energetske učinkovitosti u 2019. godini</w:t>
      </w:r>
      <w:r w:rsidR="0054272A">
        <w:rPr>
          <w:rFonts w:ascii="Times New Roman" w:hAnsi="Times New Roman"/>
          <w:sz w:val="24"/>
          <w:szCs w:val="24"/>
        </w:rPr>
        <w:t>,</w:t>
      </w:r>
      <w:r w:rsidR="0054272A" w:rsidRPr="0054272A">
        <w:rPr>
          <w:rFonts w:ascii="Times New Roman" w:hAnsi="Times New Roman"/>
          <w:sz w:val="24"/>
          <w:szCs w:val="24"/>
        </w:rPr>
        <w:t xml:space="preserve"> svi opskrbljivači čija je isporuka samostalno ili u okviru povezanih društava u 2017. godini bila veća od 300 GWh.</w:t>
      </w:r>
    </w:p>
    <w:p w:rsidR="0054272A" w:rsidRPr="0054272A" w:rsidRDefault="0054272A" w:rsidP="0054272A">
      <w:pPr>
        <w:spacing w:line="276" w:lineRule="auto"/>
        <w:jc w:val="both"/>
        <w:rPr>
          <w:rFonts w:ascii="Times New Roman" w:hAnsi="Times New Roman"/>
          <w:sz w:val="24"/>
          <w:szCs w:val="24"/>
        </w:rPr>
      </w:pPr>
      <w:r w:rsidRPr="0054272A">
        <w:rPr>
          <w:rFonts w:ascii="Times New Roman" w:hAnsi="Times New Roman"/>
          <w:sz w:val="24"/>
          <w:szCs w:val="24"/>
        </w:rPr>
        <w:t>Ministarstvo</w:t>
      </w:r>
      <w:r>
        <w:rPr>
          <w:rFonts w:ascii="Times New Roman" w:hAnsi="Times New Roman"/>
          <w:sz w:val="24"/>
          <w:szCs w:val="24"/>
        </w:rPr>
        <w:t xml:space="preserve"> zaštite okoliša i energetike</w:t>
      </w:r>
      <w:r w:rsidRPr="0054272A">
        <w:rPr>
          <w:rFonts w:ascii="Times New Roman" w:hAnsi="Times New Roman"/>
          <w:sz w:val="24"/>
          <w:szCs w:val="24"/>
        </w:rPr>
        <w:t xml:space="preserve"> je zatražilo od opskrbljivača energijom podatke o ukupno isporučenoj količini energije u 2017. godini te podatke o energiji koja je prihvatljiva za umanjenje obveze, </w:t>
      </w:r>
      <w:r>
        <w:rPr>
          <w:rFonts w:ascii="Times New Roman" w:hAnsi="Times New Roman"/>
          <w:sz w:val="24"/>
          <w:szCs w:val="24"/>
        </w:rPr>
        <w:t>koji</w:t>
      </w:r>
      <w:r w:rsidRPr="0054272A">
        <w:rPr>
          <w:rFonts w:ascii="Times New Roman" w:hAnsi="Times New Roman"/>
          <w:sz w:val="24"/>
          <w:szCs w:val="24"/>
        </w:rPr>
        <w:t xml:space="preserve"> predstavlja isporuku dijela energije koji se odnosi na:</w:t>
      </w:r>
    </w:p>
    <w:p w:rsidR="0054272A" w:rsidRPr="0054272A" w:rsidRDefault="0054272A" w:rsidP="0054272A">
      <w:pPr>
        <w:pStyle w:val="Odlomakpopisa"/>
        <w:numPr>
          <w:ilvl w:val="0"/>
          <w:numId w:val="2"/>
        </w:numPr>
        <w:spacing w:line="276" w:lineRule="auto"/>
        <w:jc w:val="both"/>
        <w:rPr>
          <w:rFonts w:ascii="Times New Roman" w:hAnsi="Times New Roman"/>
          <w:sz w:val="24"/>
          <w:szCs w:val="24"/>
        </w:rPr>
      </w:pPr>
      <w:r w:rsidRPr="0054272A">
        <w:rPr>
          <w:rFonts w:ascii="Times New Roman" w:hAnsi="Times New Roman"/>
          <w:sz w:val="24"/>
          <w:szCs w:val="24"/>
        </w:rPr>
        <w:t>udio biogoriva koji su subjekti (koji su i stranke obveznice) koji stavljaju na tržište dizelsko gorivo ili motorni benzin za pogon motornih vozila u određenom postotku imali obvezu staviti sukladno posebnom propisu kojim se uređuje korištenje biogoriva za prijevoz,</w:t>
      </w:r>
    </w:p>
    <w:p w:rsidR="0054272A" w:rsidRPr="0054272A" w:rsidRDefault="0054272A" w:rsidP="0054272A">
      <w:pPr>
        <w:pStyle w:val="Odlomakpopisa"/>
        <w:numPr>
          <w:ilvl w:val="0"/>
          <w:numId w:val="2"/>
        </w:numPr>
        <w:spacing w:line="276" w:lineRule="auto"/>
        <w:jc w:val="both"/>
        <w:rPr>
          <w:rFonts w:ascii="Times New Roman" w:hAnsi="Times New Roman"/>
          <w:sz w:val="24"/>
          <w:szCs w:val="24"/>
        </w:rPr>
      </w:pPr>
      <w:r w:rsidRPr="0054272A">
        <w:rPr>
          <w:rFonts w:ascii="Times New Roman" w:hAnsi="Times New Roman"/>
          <w:sz w:val="24"/>
          <w:szCs w:val="24"/>
        </w:rPr>
        <w:t xml:space="preserve">dio energije koju je opskrbljivač energije isporučio kupcu koji je proizvođač, distributer ili opskrbljivač toplinske energije, </w:t>
      </w:r>
    </w:p>
    <w:p w:rsidR="0054272A" w:rsidRPr="0054272A" w:rsidRDefault="0054272A" w:rsidP="0054272A">
      <w:pPr>
        <w:pStyle w:val="Odlomakpopisa"/>
        <w:numPr>
          <w:ilvl w:val="0"/>
          <w:numId w:val="2"/>
        </w:numPr>
        <w:spacing w:line="276" w:lineRule="auto"/>
        <w:jc w:val="both"/>
        <w:rPr>
          <w:rFonts w:ascii="Times New Roman" w:hAnsi="Times New Roman"/>
          <w:sz w:val="24"/>
          <w:szCs w:val="24"/>
        </w:rPr>
      </w:pPr>
      <w:r w:rsidRPr="0054272A">
        <w:rPr>
          <w:rFonts w:ascii="Times New Roman" w:hAnsi="Times New Roman"/>
          <w:sz w:val="24"/>
          <w:szCs w:val="24"/>
        </w:rPr>
        <w:t>dio energije koju je opskrbljivač energije isporučio industriji koja je obveznik temeljem uredbe kojom se propisuje način trgovanja emisijskim jedinicama stakleničkih plinova.</w:t>
      </w:r>
    </w:p>
    <w:p w:rsidR="00D84A0B" w:rsidRDefault="00D84A0B" w:rsidP="00D84A0B">
      <w:pPr>
        <w:spacing w:line="276" w:lineRule="auto"/>
        <w:jc w:val="both"/>
        <w:rPr>
          <w:rFonts w:ascii="Times New Roman" w:hAnsi="Times New Roman"/>
          <w:sz w:val="24"/>
          <w:szCs w:val="24"/>
        </w:rPr>
      </w:pPr>
      <w:r>
        <w:rPr>
          <w:rFonts w:ascii="Times New Roman" w:hAnsi="Times New Roman"/>
          <w:sz w:val="24"/>
          <w:szCs w:val="24"/>
        </w:rPr>
        <w:t>Na temelju dostavljenih podataka utvrđeno je da se sustav</w:t>
      </w:r>
      <w:r>
        <w:rPr>
          <w:rFonts w:ascii="Times New Roman" w:hAnsi="Times New Roman"/>
          <w:sz w:val="24"/>
          <w:szCs w:val="24"/>
        </w:rPr>
        <w:t xml:space="preserve"> obveznih ušteda </w:t>
      </w:r>
      <w:r w:rsidRPr="00D64071">
        <w:rPr>
          <w:rFonts w:ascii="Times New Roman" w:hAnsi="Times New Roman"/>
          <w:sz w:val="24"/>
          <w:szCs w:val="24"/>
        </w:rPr>
        <w:t>za 2019. godinu</w:t>
      </w:r>
      <w:r>
        <w:rPr>
          <w:rFonts w:ascii="Times New Roman" w:hAnsi="Times New Roman"/>
          <w:sz w:val="24"/>
          <w:szCs w:val="24"/>
        </w:rPr>
        <w:t xml:space="preserve"> </w:t>
      </w:r>
      <w:r>
        <w:rPr>
          <w:rFonts w:ascii="Times New Roman" w:hAnsi="Times New Roman"/>
          <w:sz w:val="24"/>
          <w:szCs w:val="24"/>
        </w:rPr>
        <w:t>odnosi na 25</w:t>
      </w:r>
      <w:r w:rsidRPr="00D64071">
        <w:rPr>
          <w:rFonts w:ascii="Times New Roman" w:hAnsi="Times New Roman"/>
          <w:sz w:val="24"/>
          <w:szCs w:val="24"/>
        </w:rPr>
        <w:t xml:space="preserve"> obveznica</w:t>
      </w:r>
      <w:r>
        <w:rPr>
          <w:rFonts w:ascii="Times New Roman" w:hAnsi="Times New Roman"/>
          <w:sz w:val="24"/>
          <w:szCs w:val="24"/>
        </w:rPr>
        <w:t xml:space="preserve"> sustava</w:t>
      </w:r>
      <w:r w:rsidRPr="00D64071">
        <w:rPr>
          <w:rFonts w:ascii="Times New Roman" w:hAnsi="Times New Roman"/>
          <w:sz w:val="24"/>
          <w:szCs w:val="24"/>
        </w:rPr>
        <w:t xml:space="preserve"> </w:t>
      </w:r>
      <w:r>
        <w:rPr>
          <w:rFonts w:ascii="Times New Roman" w:hAnsi="Times New Roman"/>
          <w:sz w:val="24"/>
          <w:szCs w:val="24"/>
        </w:rPr>
        <w:t>za koje Ministarstvo zaštite okoliša i energetike izdaje rješenja kojima određuje obvezu uštede</w:t>
      </w:r>
      <w:r>
        <w:rPr>
          <w:rFonts w:ascii="Times New Roman" w:hAnsi="Times New Roman"/>
          <w:sz w:val="24"/>
          <w:szCs w:val="24"/>
        </w:rPr>
        <w:t>.</w:t>
      </w:r>
    </w:p>
    <w:p w:rsidR="00D84A0B" w:rsidRDefault="00D84A0B" w:rsidP="00D84A0B">
      <w:pPr>
        <w:spacing w:line="276" w:lineRule="auto"/>
        <w:jc w:val="both"/>
        <w:rPr>
          <w:rFonts w:ascii="Times New Roman" w:hAnsi="Times New Roman"/>
          <w:sz w:val="24"/>
          <w:szCs w:val="24"/>
        </w:rPr>
      </w:pPr>
      <w:r>
        <w:rPr>
          <w:rFonts w:ascii="Times New Roman" w:hAnsi="Times New Roman"/>
          <w:sz w:val="24"/>
          <w:szCs w:val="24"/>
        </w:rPr>
        <w:t>Također je utvrđeno da je Fond za zaštitu okoliša i energetsku učinkovitost, javno objavio</w:t>
      </w:r>
      <w:r w:rsidRPr="00AC1D64">
        <w:rPr>
          <w:rFonts w:ascii="Times New Roman" w:hAnsi="Times New Roman"/>
          <w:sz w:val="24"/>
          <w:szCs w:val="24"/>
        </w:rPr>
        <w:t xml:space="preserve"> troškove ulaganja u alternativne mjere po ušteđenom kWh energije</w:t>
      </w:r>
      <w:r>
        <w:rPr>
          <w:rFonts w:ascii="Times New Roman" w:hAnsi="Times New Roman"/>
          <w:sz w:val="24"/>
          <w:szCs w:val="24"/>
        </w:rPr>
        <w:t xml:space="preserve"> od 2,19 kn/kWh za 2019.</w:t>
      </w:r>
      <w:r>
        <w:rPr>
          <w:rFonts w:ascii="Times New Roman" w:hAnsi="Times New Roman"/>
          <w:sz w:val="24"/>
          <w:szCs w:val="24"/>
        </w:rPr>
        <w:t>godinu,</w:t>
      </w:r>
      <w:r>
        <w:rPr>
          <w:rFonts w:ascii="Times New Roman" w:hAnsi="Times New Roman"/>
          <w:sz w:val="24"/>
          <w:szCs w:val="24"/>
        </w:rPr>
        <w:t xml:space="preserve"> </w:t>
      </w:r>
      <w:r>
        <w:rPr>
          <w:rFonts w:ascii="Times New Roman" w:hAnsi="Times New Roman"/>
          <w:sz w:val="24"/>
          <w:szCs w:val="24"/>
        </w:rPr>
        <w:t>a taj</w:t>
      </w:r>
      <w:r>
        <w:rPr>
          <w:rFonts w:ascii="Times New Roman" w:hAnsi="Times New Roman"/>
          <w:sz w:val="24"/>
          <w:szCs w:val="24"/>
        </w:rPr>
        <w:t xml:space="preserve"> se iznos temelji</w:t>
      </w:r>
      <w:r>
        <w:rPr>
          <w:rFonts w:ascii="Times New Roman" w:hAnsi="Times New Roman"/>
          <w:sz w:val="24"/>
          <w:szCs w:val="24"/>
        </w:rPr>
        <w:t>,</w:t>
      </w:r>
      <w:r>
        <w:rPr>
          <w:rFonts w:ascii="Times New Roman" w:hAnsi="Times New Roman"/>
          <w:sz w:val="24"/>
          <w:szCs w:val="24"/>
        </w:rPr>
        <w:t xml:space="preserve"> najvećim dijelom na ulaganjima u energetsku učinkovitost u graditeljstvu koje mjere imaju najduži životni vijek od 25 godina, ali su ujedno i financijski najintenzivnije. </w:t>
      </w:r>
    </w:p>
    <w:p w:rsidR="00D84A0B" w:rsidRDefault="00D84A0B" w:rsidP="00192611">
      <w:pPr>
        <w:jc w:val="both"/>
        <w:rPr>
          <w:rFonts w:ascii="Times New Roman" w:hAnsi="Times New Roman"/>
          <w:b/>
          <w:sz w:val="24"/>
          <w:szCs w:val="24"/>
          <w:lang w:eastAsia="hr-HR"/>
        </w:rPr>
      </w:pPr>
    </w:p>
    <w:p w:rsidR="00192611" w:rsidRDefault="00192611" w:rsidP="00192611">
      <w:pPr>
        <w:jc w:val="both"/>
        <w:rPr>
          <w:rFonts w:ascii="Times New Roman" w:hAnsi="Times New Roman"/>
          <w:b/>
          <w:sz w:val="24"/>
          <w:szCs w:val="24"/>
          <w:lang w:eastAsia="hr-HR"/>
        </w:rPr>
      </w:pPr>
      <w:r w:rsidRPr="00A207AE">
        <w:rPr>
          <w:rFonts w:ascii="Times New Roman" w:hAnsi="Times New Roman"/>
          <w:b/>
          <w:sz w:val="24"/>
          <w:szCs w:val="24"/>
          <w:lang w:eastAsia="hr-HR"/>
        </w:rPr>
        <w:lastRenderedPageBreak/>
        <w:t>Osnovna pitanja koja se uređuju Zakonom</w:t>
      </w:r>
      <w:r>
        <w:rPr>
          <w:rFonts w:ascii="Times New Roman" w:hAnsi="Times New Roman"/>
          <w:b/>
          <w:sz w:val="24"/>
          <w:szCs w:val="24"/>
          <w:lang w:eastAsia="hr-HR"/>
        </w:rPr>
        <w:t>:</w:t>
      </w:r>
    </w:p>
    <w:p w:rsidR="00D84A0B" w:rsidRPr="00D84A0B" w:rsidRDefault="00D84A0B" w:rsidP="00D84A0B">
      <w:pPr>
        <w:spacing w:line="276" w:lineRule="auto"/>
        <w:jc w:val="both"/>
        <w:rPr>
          <w:rFonts w:ascii="Times New Roman" w:hAnsi="Times New Roman"/>
          <w:sz w:val="24"/>
          <w:szCs w:val="24"/>
        </w:rPr>
      </w:pPr>
      <w:r>
        <w:rPr>
          <w:rFonts w:ascii="Times New Roman" w:hAnsi="Times New Roman"/>
          <w:sz w:val="24"/>
          <w:szCs w:val="24"/>
        </w:rPr>
        <w:t>Ovi</w:t>
      </w:r>
      <w:r w:rsidRPr="00D84A0B">
        <w:rPr>
          <w:rFonts w:ascii="Times New Roman" w:hAnsi="Times New Roman"/>
          <w:sz w:val="24"/>
          <w:szCs w:val="24"/>
        </w:rPr>
        <w:t xml:space="preserve">m </w:t>
      </w:r>
      <w:r>
        <w:rPr>
          <w:rFonts w:ascii="Times New Roman" w:hAnsi="Times New Roman"/>
          <w:sz w:val="24"/>
          <w:szCs w:val="24"/>
        </w:rPr>
        <w:t>Zakon</w:t>
      </w:r>
      <w:r w:rsidRPr="00D84A0B">
        <w:rPr>
          <w:rFonts w:ascii="Times New Roman" w:hAnsi="Times New Roman"/>
          <w:sz w:val="24"/>
          <w:szCs w:val="24"/>
        </w:rPr>
        <w:t>om pojašnjava se način izračuna na</w:t>
      </w:r>
      <w:r>
        <w:rPr>
          <w:rFonts w:ascii="Times New Roman" w:hAnsi="Times New Roman"/>
          <w:sz w:val="24"/>
          <w:szCs w:val="24"/>
        </w:rPr>
        <w:t xml:space="preserve"> temelju kojega </w:t>
      </w:r>
      <w:r w:rsidRPr="00D84A0B">
        <w:rPr>
          <w:rFonts w:ascii="Times New Roman" w:hAnsi="Times New Roman"/>
          <w:sz w:val="24"/>
          <w:szCs w:val="24"/>
        </w:rPr>
        <w:t xml:space="preserve">će Ministarstvo odrediti neispunjene obveze u području uštede energije obveznike sustava ušteda energije. </w:t>
      </w:r>
    </w:p>
    <w:p w:rsidR="00D84A0B" w:rsidRDefault="00D84A0B" w:rsidP="0054272A">
      <w:pPr>
        <w:jc w:val="both"/>
        <w:rPr>
          <w:rFonts w:ascii="Times New Roman" w:hAnsi="Times New Roman"/>
          <w:sz w:val="24"/>
          <w:szCs w:val="24"/>
        </w:rPr>
      </w:pPr>
      <w:r>
        <w:rPr>
          <w:rFonts w:ascii="Times New Roman" w:hAnsi="Times New Roman"/>
          <w:sz w:val="24"/>
          <w:szCs w:val="24"/>
        </w:rPr>
        <w:t>Naime. u</w:t>
      </w:r>
      <w:r w:rsidR="0054272A">
        <w:rPr>
          <w:rFonts w:ascii="Times New Roman" w:hAnsi="Times New Roman"/>
          <w:sz w:val="24"/>
          <w:szCs w:val="24"/>
        </w:rPr>
        <w:t xml:space="preserve"> sustavu obveznih ušteda </w:t>
      </w:r>
      <w:r w:rsidR="0054272A" w:rsidRPr="00D64071">
        <w:rPr>
          <w:rFonts w:ascii="Times New Roman" w:hAnsi="Times New Roman"/>
          <w:sz w:val="24"/>
          <w:szCs w:val="24"/>
        </w:rPr>
        <w:t>za 2019. godinu</w:t>
      </w:r>
      <w:r w:rsidR="0054272A">
        <w:rPr>
          <w:rFonts w:ascii="Times New Roman" w:hAnsi="Times New Roman"/>
          <w:sz w:val="24"/>
          <w:szCs w:val="24"/>
        </w:rPr>
        <w:t xml:space="preserve"> određeno </w:t>
      </w:r>
      <w:r>
        <w:rPr>
          <w:rFonts w:ascii="Times New Roman" w:hAnsi="Times New Roman"/>
          <w:sz w:val="24"/>
          <w:szCs w:val="24"/>
        </w:rPr>
        <w:t>je 25 obveznika sustava energetske učinkovitosti</w:t>
      </w:r>
      <w:r w:rsidR="0054272A" w:rsidRPr="00D64071">
        <w:rPr>
          <w:rFonts w:ascii="Times New Roman" w:hAnsi="Times New Roman"/>
          <w:sz w:val="24"/>
          <w:szCs w:val="24"/>
        </w:rPr>
        <w:t xml:space="preserve"> </w:t>
      </w:r>
      <w:r w:rsidR="0054272A">
        <w:rPr>
          <w:rFonts w:ascii="Times New Roman" w:hAnsi="Times New Roman"/>
          <w:sz w:val="24"/>
          <w:szCs w:val="24"/>
        </w:rPr>
        <w:t xml:space="preserve">za koje Ministarstvo zaštite okoliša i energetike izdaje rješenja kojima određuje obvezu uštede. </w:t>
      </w:r>
      <w:r>
        <w:rPr>
          <w:rFonts w:ascii="Times New Roman" w:hAnsi="Times New Roman"/>
          <w:sz w:val="24"/>
          <w:szCs w:val="24"/>
        </w:rPr>
        <w:t xml:space="preserve">Svi obveznici sustava su dužni sukladno važećim odredbama Zakona o energetskoj učinkovitosti u 2020. godini do 1. </w:t>
      </w:r>
      <w:r w:rsidR="0054272A">
        <w:rPr>
          <w:rFonts w:ascii="Times New Roman" w:hAnsi="Times New Roman"/>
          <w:sz w:val="24"/>
          <w:szCs w:val="24"/>
        </w:rPr>
        <w:t>ožujka podnijeti dokaze o uštedama</w:t>
      </w:r>
      <w:r>
        <w:rPr>
          <w:rFonts w:ascii="Times New Roman" w:hAnsi="Times New Roman"/>
          <w:sz w:val="24"/>
          <w:szCs w:val="24"/>
        </w:rPr>
        <w:t>, a</w:t>
      </w:r>
      <w:r w:rsidR="0054272A">
        <w:rPr>
          <w:rFonts w:ascii="Times New Roman" w:hAnsi="Times New Roman"/>
          <w:sz w:val="24"/>
          <w:szCs w:val="24"/>
        </w:rPr>
        <w:t xml:space="preserve"> Ministarstvo</w:t>
      </w:r>
      <w:r>
        <w:rPr>
          <w:rFonts w:ascii="Times New Roman" w:hAnsi="Times New Roman"/>
          <w:sz w:val="24"/>
          <w:szCs w:val="24"/>
        </w:rPr>
        <w:t xml:space="preserve"> zaštite okoliša i energetike</w:t>
      </w:r>
      <w:r w:rsidR="0054272A">
        <w:rPr>
          <w:rFonts w:ascii="Times New Roman" w:hAnsi="Times New Roman"/>
          <w:sz w:val="24"/>
          <w:szCs w:val="24"/>
        </w:rPr>
        <w:t xml:space="preserve"> je dužno provjerit</w:t>
      </w:r>
      <w:r>
        <w:rPr>
          <w:rFonts w:ascii="Times New Roman" w:hAnsi="Times New Roman"/>
          <w:sz w:val="24"/>
          <w:szCs w:val="24"/>
        </w:rPr>
        <w:t>i dostavljene dokaze o uštedama.</w:t>
      </w:r>
    </w:p>
    <w:p w:rsidR="0054272A" w:rsidRDefault="00D84A0B" w:rsidP="0054272A">
      <w:pPr>
        <w:jc w:val="both"/>
        <w:rPr>
          <w:rFonts w:ascii="Times New Roman" w:hAnsi="Times New Roman"/>
          <w:sz w:val="24"/>
          <w:szCs w:val="24"/>
        </w:rPr>
      </w:pPr>
      <w:r>
        <w:rPr>
          <w:rFonts w:ascii="Times New Roman" w:hAnsi="Times New Roman"/>
          <w:sz w:val="24"/>
          <w:szCs w:val="24"/>
        </w:rPr>
        <w:t>P</w:t>
      </w:r>
      <w:r w:rsidR="0054272A">
        <w:rPr>
          <w:rFonts w:ascii="Times New Roman" w:hAnsi="Times New Roman"/>
          <w:sz w:val="24"/>
          <w:szCs w:val="24"/>
        </w:rPr>
        <w:t xml:space="preserve">rocjenjuje </w:t>
      </w:r>
      <w:r>
        <w:rPr>
          <w:rFonts w:ascii="Times New Roman" w:hAnsi="Times New Roman"/>
          <w:sz w:val="24"/>
          <w:szCs w:val="24"/>
        </w:rPr>
        <w:t xml:space="preserve">se </w:t>
      </w:r>
      <w:r w:rsidR="0054272A">
        <w:rPr>
          <w:rFonts w:ascii="Times New Roman" w:hAnsi="Times New Roman"/>
          <w:sz w:val="24"/>
          <w:szCs w:val="24"/>
        </w:rPr>
        <w:t>da je rok</w:t>
      </w:r>
      <w:r>
        <w:rPr>
          <w:rFonts w:ascii="Times New Roman" w:hAnsi="Times New Roman"/>
          <w:sz w:val="24"/>
          <w:szCs w:val="24"/>
        </w:rPr>
        <w:t xml:space="preserve"> od</w:t>
      </w:r>
      <w:r w:rsidR="0054272A">
        <w:rPr>
          <w:rFonts w:ascii="Times New Roman" w:hAnsi="Times New Roman"/>
          <w:sz w:val="24"/>
          <w:szCs w:val="24"/>
        </w:rPr>
        <w:t xml:space="preserve"> jednog mjeseca prekratak </w:t>
      </w:r>
      <w:r>
        <w:rPr>
          <w:rFonts w:ascii="Times New Roman" w:hAnsi="Times New Roman"/>
          <w:sz w:val="24"/>
          <w:szCs w:val="24"/>
        </w:rPr>
        <w:t xml:space="preserve">za tako zahtjevan posao, </w:t>
      </w:r>
      <w:r w:rsidR="0054272A">
        <w:rPr>
          <w:rFonts w:ascii="Times New Roman" w:hAnsi="Times New Roman"/>
          <w:sz w:val="24"/>
          <w:szCs w:val="24"/>
        </w:rPr>
        <w:t>uvažavajući administrativne kapacitete i obim poslova vezano uz provjeru dostavljenih dokaza o uštedama stoga se isti produljuje do 31. svibnja.</w:t>
      </w:r>
    </w:p>
    <w:p w:rsidR="00763665" w:rsidRDefault="00D84A0B" w:rsidP="0054272A">
      <w:pPr>
        <w:jc w:val="both"/>
        <w:rPr>
          <w:rFonts w:ascii="Times New Roman" w:hAnsi="Times New Roman"/>
          <w:sz w:val="24"/>
          <w:szCs w:val="24"/>
        </w:rPr>
      </w:pPr>
      <w:r>
        <w:rPr>
          <w:rFonts w:ascii="Times New Roman" w:hAnsi="Times New Roman"/>
          <w:sz w:val="24"/>
          <w:szCs w:val="24"/>
        </w:rPr>
        <w:t>Nadalje</w:t>
      </w:r>
      <w:r w:rsidR="0054272A">
        <w:rPr>
          <w:rFonts w:ascii="Times New Roman" w:hAnsi="Times New Roman"/>
          <w:sz w:val="24"/>
          <w:szCs w:val="24"/>
        </w:rPr>
        <w:t>, uvažavajući činjenicu da se dio obveznika sustava ušteda</w:t>
      </w:r>
      <w:r>
        <w:rPr>
          <w:rFonts w:ascii="Times New Roman" w:hAnsi="Times New Roman"/>
          <w:sz w:val="24"/>
          <w:szCs w:val="24"/>
        </w:rPr>
        <w:t xml:space="preserve"> energetske učinkovitosti</w:t>
      </w:r>
      <w:r w:rsidR="0054272A">
        <w:rPr>
          <w:rFonts w:ascii="Times New Roman" w:hAnsi="Times New Roman"/>
          <w:sz w:val="24"/>
          <w:szCs w:val="24"/>
        </w:rPr>
        <w:t xml:space="preserve"> odnosi i na regulirane djelatnosti</w:t>
      </w:r>
      <w:r>
        <w:rPr>
          <w:rFonts w:ascii="Times New Roman" w:hAnsi="Times New Roman"/>
          <w:sz w:val="24"/>
          <w:szCs w:val="24"/>
        </w:rPr>
        <w:t>,</w:t>
      </w:r>
      <w:r w:rsidR="0054272A">
        <w:rPr>
          <w:rFonts w:ascii="Times New Roman" w:hAnsi="Times New Roman"/>
          <w:sz w:val="24"/>
          <w:szCs w:val="24"/>
        </w:rPr>
        <w:t xml:space="preserve"> opravdano je razmišljati o proporcionalnom smanjenju iznosa</w:t>
      </w:r>
      <w:r w:rsidR="00763665" w:rsidRPr="00763665">
        <w:rPr>
          <w:rFonts w:ascii="Times New Roman" w:hAnsi="Times New Roman"/>
          <w:sz w:val="24"/>
          <w:szCs w:val="24"/>
        </w:rPr>
        <w:t xml:space="preserve"> </w:t>
      </w:r>
      <w:r w:rsidR="00763665">
        <w:rPr>
          <w:rFonts w:ascii="Times New Roman" w:hAnsi="Times New Roman"/>
          <w:sz w:val="24"/>
          <w:szCs w:val="24"/>
        </w:rPr>
        <w:t>troškova</w:t>
      </w:r>
      <w:r w:rsidR="00763665" w:rsidRPr="00AC1D64">
        <w:rPr>
          <w:rFonts w:ascii="Times New Roman" w:hAnsi="Times New Roman"/>
          <w:sz w:val="24"/>
          <w:szCs w:val="24"/>
        </w:rPr>
        <w:t xml:space="preserve"> ulaganja u alternativne mjere</w:t>
      </w:r>
      <w:r w:rsidR="0054272A">
        <w:rPr>
          <w:rFonts w:ascii="Times New Roman" w:hAnsi="Times New Roman"/>
          <w:sz w:val="24"/>
          <w:szCs w:val="24"/>
        </w:rPr>
        <w:t xml:space="preserve"> od </w:t>
      </w:r>
      <w:r w:rsidR="0054272A" w:rsidRPr="0094414F">
        <w:rPr>
          <w:rFonts w:ascii="Times New Roman" w:hAnsi="Times New Roman"/>
          <w:sz w:val="24"/>
          <w:szCs w:val="24"/>
        </w:rPr>
        <w:t>2,19 kn/kWh</w:t>
      </w:r>
      <w:r w:rsidR="0054272A">
        <w:rPr>
          <w:rFonts w:ascii="Times New Roman" w:hAnsi="Times New Roman"/>
          <w:sz w:val="24"/>
          <w:szCs w:val="24"/>
        </w:rPr>
        <w:t xml:space="preserve">, a kako ne bi došlo do </w:t>
      </w:r>
      <w:r w:rsidR="00763665">
        <w:rPr>
          <w:rFonts w:ascii="Times New Roman" w:hAnsi="Times New Roman"/>
          <w:sz w:val="24"/>
          <w:szCs w:val="24"/>
        </w:rPr>
        <w:t xml:space="preserve">ozbiljnog </w:t>
      </w:r>
      <w:r w:rsidR="0054272A">
        <w:rPr>
          <w:rFonts w:ascii="Times New Roman" w:hAnsi="Times New Roman"/>
          <w:sz w:val="24"/>
          <w:szCs w:val="24"/>
        </w:rPr>
        <w:t xml:space="preserve">poremećaja na energetskom tržištu i udara na cijene energije kod krajnjih korisnika. </w:t>
      </w:r>
    </w:p>
    <w:p w:rsidR="00763665" w:rsidRDefault="00763665" w:rsidP="0054272A">
      <w:pPr>
        <w:jc w:val="both"/>
        <w:rPr>
          <w:rFonts w:ascii="Times New Roman" w:hAnsi="Times New Roman"/>
          <w:sz w:val="24"/>
          <w:szCs w:val="24"/>
        </w:rPr>
      </w:pPr>
      <w:r>
        <w:rPr>
          <w:rFonts w:ascii="Times New Roman" w:hAnsi="Times New Roman"/>
          <w:sz w:val="24"/>
          <w:szCs w:val="24"/>
        </w:rPr>
        <w:t>Stoga se predlaže umanjenje od 50% iznosa</w:t>
      </w:r>
      <w:r w:rsidRPr="0094414F">
        <w:rPr>
          <w:rFonts w:ascii="Times New Roman" w:hAnsi="Times New Roman"/>
          <w:sz w:val="24"/>
          <w:szCs w:val="24"/>
        </w:rPr>
        <w:t xml:space="preserve"> troškove ulaganja</w:t>
      </w:r>
      <w:r>
        <w:rPr>
          <w:rFonts w:ascii="Times New Roman" w:hAnsi="Times New Roman"/>
          <w:sz w:val="24"/>
          <w:szCs w:val="24"/>
        </w:rPr>
        <w:t xml:space="preserve"> u alternativne mjere</w:t>
      </w:r>
      <w:r w:rsidRPr="0094414F">
        <w:rPr>
          <w:rFonts w:ascii="Times New Roman" w:hAnsi="Times New Roman"/>
          <w:sz w:val="24"/>
          <w:szCs w:val="24"/>
        </w:rPr>
        <w:t xml:space="preserve"> </w:t>
      </w:r>
      <w:r>
        <w:rPr>
          <w:rFonts w:ascii="Times New Roman" w:hAnsi="Times New Roman"/>
          <w:sz w:val="24"/>
          <w:szCs w:val="24"/>
        </w:rPr>
        <w:t>Fond</w:t>
      </w:r>
      <w:r>
        <w:rPr>
          <w:rFonts w:ascii="Times New Roman" w:hAnsi="Times New Roman"/>
          <w:sz w:val="24"/>
          <w:szCs w:val="24"/>
        </w:rPr>
        <w:t>a</w:t>
      </w:r>
      <w:r>
        <w:rPr>
          <w:rFonts w:ascii="Times New Roman" w:hAnsi="Times New Roman"/>
          <w:sz w:val="24"/>
          <w:szCs w:val="24"/>
        </w:rPr>
        <w:t xml:space="preserve"> za zaštitu okoliša i energetsku učinkovitost </w:t>
      </w:r>
      <w:r w:rsidRPr="0094414F">
        <w:rPr>
          <w:rFonts w:ascii="Times New Roman" w:hAnsi="Times New Roman"/>
          <w:sz w:val="24"/>
          <w:szCs w:val="24"/>
        </w:rPr>
        <w:t>po ušteđenom kWh energije</w:t>
      </w:r>
      <w:r>
        <w:rPr>
          <w:rFonts w:ascii="Times New Roman" w:hAnsi="Times New Roman"/>
          <w:sz w:val="24"/>
          <w:szCs w:val="24"/>
        </w:rPr>
        <w:t xml:space="preserve">, te se </w:t>
      </w:r>
      <w:r>
        <w:rPr>
          <w:rFonts w:ascii="Times New Roman" w:hAnsi="Times New Roman"/>
          <w:sz w:val="24"/>
          <w:szCs w:val="24"/>
        </w:rPr>
        <w:t>određuje</w:t>
      </w:r>
      <w:r>
        <w:rPr>
          <w:rFonts w:ascii="Times New Roman" w:hAnsi="Times New Roman"/>
          <w:sz w:val="24"/>
          <w:szCs w:val="24"/>
        </w:rPr>
        <w:t xml:space="preserve"> opis izračuna naknade koju obveznik</w:t>
      </w:r>
      <w:r>
        <w:rPr>
          <w:rFonts w:ascii="Times New Roman" w:hAnsi="Times New Roman"/>
          <w:sz w:val="24"/>
          <w:szCs w:val="24"/>
        </w:rPr>
        <w:t xml:space="preserve"> sustava energetske učinkovitosti</w:t>
      </w:r>
      <w:r>
        <w:rPr>
          <w:rFonts w:ascii="Times New Roman" w:hAnsi="Times New Roman"/>
          <w:sz w:val="24"/>
          <w:szCs w:val="24"/>
        </w:rPr>
        <w:t xml:space="preserve"> treba platiti za neispunjene uštede, a koje se ne mogu prenijeti u narednu godinu</w:t>
      </w:r>
    </w:p>
    <w:p w:rsidR="00192611" w:rsidRDefault="00192611" w:rsidP="00192611">
      <w:pPr>
        <w:spacing w:after="0"/>
        <w:rPr>
          <w:rFonts w:ascii="Times New Roman" w:eastAsia="Times New Roman" w:hAnsi="Times New Roman"/>
          <w:color w:val="000000"/>
          <w:sz w:val="24"/>
          <w:szCs w:val="24"/>
          <w:lang w:eastAsia="hr-HR"/>
        </w:rPr>
      </w:pPr>
    </w:p>
    <w:p w:rsidR="00192611" w:rsidRPr="00A207AE" w:rsidRDefault="00192611" w:rsidP="00192611">
      <w:pPr>
        <w:spacing w:after="0"/>
        <w:rPr>
          <w:rFonts w:ascii="Times New Roman" w:eastAsia="Times New Roman" w:hAnsi="Times New Roman"/>
          <w:b/>
          <w:vanish/>
          <w:color w:val="000000"/>
          <w:sz w:val="24"/>
          <w:szCs w:val="24"/>
          <w:lang w:eastAsia="hr-HR"/>
        </w:rPr>
      </w:pPr>
    </w:p>
    <w:p w:rsidR="00192611" w:rsidRPr="00A207AE" w:rsidRDefault="00192611" w:rsidP="00192611">
      <w:pPr>
        <w:rPr>
          <w:rFonts w:ascii="Times New Roman" w:eastAsia="Times New Roman" w:hAnsi="Times New Roman"/>
          <w:b/>
          <w:color w:val="000000"/>
          <w:sz w:val="24"/>
          <w:szCs w:val="24"/>
          <w:lang w:eastAsia="hr-HR"/>
        </w:rPr>
      </w:pPr>
      <w:r w:rsidRPr="00A207AE">
        <w:rPr>
          <w:rFonts w:ascii="Times New Roman" w:eastAsia="Times New Roman" w:hAnsi="Times New Roman"/>
          <w:b/>
          <w:color w:val="000000"/>
          <w:sz w:val="24"/>
          <w:szCs w:val="24"/>
          <w:lang w:eastAsia="hr-HR"/>
        </w:rPr>
        <w:t>Posljedice koje će donošenjem Zakona proisteći</w:t>
      </w:r>
      <w:r>
        <w:rPr>
          <w:rFonts w:ascii="Times New Roman" w:eastAsia="Times New Roman" w:hAnsi="Times New Roman"/>
          <w:b/>
          <w:color w:val="000000"/>
          <w:sz w:val="24"/>
          <w:szCs w:val="24"/>
          <w:lang w:eastAsia="hr-HR"/>
        </w:rPr>
        <w:t>:</w:t>
      </w:r>
    </w:p>
    <w:p w:rsidR="0054272A" w:rsidRDefault="0054272A" w:rsidP="0054272A">
      <w:pPr>
        <w:jc w:val="both"/>
        <w:rPr>
          <w:rFonts w:ascii="Times New Roman" w:hAnsi="Times New Roman"/>
          <w:sz w:val="24"/>
          <w:szCs w:val="24"/>
        </w:rPr>
      </w:pPr>
      <w:r>
        <w:rPr>
          <w:rFonts w:ascii="Times New Roman" w:hAnsi="Times New Roman"/>
          <w:sz w:val="24"/>
          <w:szCs w:val="24"/>
        </w:rPr>
        <w:t>Fond za zaštitu okoliša i energetsku učinkovitost, javno je objavio</w:t>
      </w:r>
      <w:r w:rsidRPr="00AC1D64">
        <w:rPr>
          <w:rFonts w:ascii="Times New Roman" w:hAnsi="Times New Roman"/>
          <w:sz w:val="24"/>
          <w:szCs w:val="24"/>
        </w:rPr>
        <w:t xml:space="preserve"> troškove ulaganja u alternativne mjere po ušteđenom kWh energije</w:t>
      </w:r>
      <w:r>
        <w:rPr>
          <w:rFonts w:ascii="Times New Roman" w:hAnsi="Times New Roman"/>
          <w:sz w:val="24"/>
          <w:szCs w:val="24"/>
        </w:rPr>
        <w:t xml:space="preserve"> od 2,19 kn/kWh za 2019. koji se iznos temelji najvećim dijelom na ulaganjima u energetsku učinkovitost u graditeljstvu koje mjere imaju najduži životni vijek od 25 godina, ali su ujedno i financijski najintenzivnije.</w:t>
      </w:r>
    </w:p>
    <w:p w:rsidR="0054272A" w:rsidRDefault="00763665" w:rsidP="0054272A">
      <w:pPr>
        <w:jc w:val="both"/>
        <w:rPr>
          <w:rFonts w:ascii="Times New Roman" w:hAnsi="Times New Roman"/>
          <w:sz w:val="24"/>
          <w:szCs w:val="24"/>
        </w:rPr>
      </w:pPr>
      <w:r>
        <w:rPr>
          <w:rFonts w:ascii="Times New Roman" w:hAnsi="Times New Roman"/>
          <w:sz w:val="24"/>
          <w:szCs w:val="24"/>
        </w:rPr>
        <w:t>Naime, t</w:t>
      </w:r>
      <w:r w:rsidR="0054272A">
        <w:rPr>
          <w:rFonts w:ascii="Times New Roman" w:hAnsi="Times New Roman"/>
          <w:sz w:val="24"/>
          <w:szCs w:val="24"/>
        </w:rPr>
        <w:t xml:space="preserve">ijekom 2019. godine su </w:t>
      </w:r>
      <w:r>
        <w:rPr>
          <w:rFonts w:ascii="Times New Roman" w:hAnsi="Times New Roman"/>
          <w:sz w:val="24"/>
          <w:szCs w:val="24"/>
        </w:rPr>
        <w:t>dostavljeni podaci o bilancama isporučene energije u 2017</w:t>
      </w:r>
      <w:r>
        <w:rPr>
          <w:rFonts w:ascii="Times New Roman" w:hAnsi="Times New Roman"/>
          <w:sz w:val="24"/>
          <w:szCs w:val="24"/>
        </w:rPr>
        <w:t>.</w:t>
      </w:r>
      <w:r>
        <w:rPr>
          <w:rFonts w:ascii="Times New Roman" w:hAnsi="Times New Roman"/>
          <w:sz w:val="24"/>
          <w:szCs w:val="24"/>
        </w:rPr>
        <w:t xml:space="preserve"> godini </w:t>
      </w:r>
      <w:r w:rsidR="0054272A">
        <w:rPr>
          <w:rFonts w:ascii="Times New Roman" w:hAnsi="Times New Roman"/>
          <w:sz w:val="24"/>
          <w:szCs w:val="24"/>
        </w:rPr>
        <w:t>od strane energetskih subjekata</w:t>
      </w:r>
      <w:r>
        <w:rPr>
          <w:rFonts w:ascii="Times New Roman" w:hAnsi="Times New Roman"/>
          <w:sz w:val="24"/>
          <w:szCs w:val="24"/>
        </w:rPr>
        <w:t>,</w:t>
      </w:r>
      <w:r w:rsidR="0054272A">
        <w:rPr>
          <w:rFonts w:ascii="Times New Roman" w:hAnsi="Times New Roman"/>
          <w:sz w:val="24"/>
          <w:szCs w:val="24"/>
        </w:rPr>
        <w:t xml:space="preserve"> te je u sustavu obveznih ušteda </w:t>
      </w:r>
      <w:r w:rsidR="0054272A" w:rsidRPr="00D64071">
        <w:rPr>
          <w:rFonts w:ascii="Times New Roman" w:hAnsi="Times New Roman"/>
          <w:sz w:val="24"/>
          <w:szCs w:val="24"/>
        </w:rPr>
        <w:t>za 2019. godinu</w:t>
      </w:r>
      <w:r w:rsidR="0054272A">
        <w:rPr>
          <w:rFonts w:ascii="Times New Roman" w:hAnsi="Times New Roman"/>
          <w:sz w:val="24"/>
          <w:szCs w:val="24"/>
        </w:rPr>
        <w:t xml:space="preserve"> određeno</w:t>
      </w:r>
      <w:r w:rsidR="0054272A" w:rsidRPr="00D64071">
        <w:rPr>
          <w:rFonts w:ascii="Times New Roman" w:hAnsi="Times New Roman"/>
          <w:sz w:val="24"/>
          <w:szCs w:val="24"/>
        </w:rPr>
        <w:t xml:space="preserve"> 25 obvezni</w:t>
      </w:r>
      <w:r>
        <w:rPr>
          <w:rFonts w:ascii="Times New Roman" w:hAnsi="Times New Roman"/>
          <w:sz w:val="24"/>
          <w:szCs w:val="24"/>
        </w:rPr>
        <w:t>ka sustava energetske učinkovitosti</w:t>
      </w:r>
      <w:r w:rsidR="0054272A" w:rsidRPr="00D64071">
        <w:rPr>
          <w:rFonts w:ascii="Times New Roman" w:hAnsi="Times New Roman"/>
          <w:sz w:val="24"/>
          <w:szCs w:val="24"/>
        </w:rPr>
        <w:t xml:space="preserve"> </w:t>
      </w:r>
      <w:r w:rsidR="0054272A">
        <w:rPr>
          <w:rFonts w:ascii="Times New Roman" w:hAnsi="Times New Roman"/>
          <w:sz w:val="24"/>
          <w:szCs w:val="24"/>
        </w:rPr>
        <w:t>za koje</w:t>
      </w:r>
      <w:r>
        <w:rPr>
          <w:rFonts w:ascii="Times New Roman" w:hAnsi="Times New Roman"/>
          <w:sz w:val="24"/>
          <w:szCs w:val="24"/>
        </w:rPr>
        <w:t xml:space="preserve"> je</w:t>
      </w:r>
      <w:r w:rsidR="0054272A">
        <w:rPr>
          <w:rFonts w:ascii="Times New Roman" w:hAnsi="Times New Roman"/>
          <w:sz w:val="24"/>
          <w:szCs w:val="24"/>
        </w:rPr>
        <w:t xml:space="preserve"> Ministarstvo zaštite okoliša i</w:t>
      </w:r>
      <w:r>
        <w:rPr>
          <w:rFonts w:ascii="Times New Roman" w:hAnsi="Times New Roman"/>
          <w:sz w:val="24"/>
          <w:szCs w:val="24"/>
        </w:rPr>
        <w:t xml:space="preserve"> energetike izdalo</w:t>
      </w:r>
      <w:r w:rsidR="0054272A">
        <w:rPr>
          <w:rFonts w:ascii="Times New Roman" w:hAnsi="Times New Roman"/>
          <w:sz w:val="24"/>
          <w:szCs w:val="24"/>
        </w:rPr>
        <w:t xml:space="preserve"> rješenja kojima</w:t>
      </w:r>
      <w:r>
        <w:rPr>
          <w:rFonts w:ascii="Times New Roman" w:hAnsi="Times New Roman"/>
          <w:sz w:val="24"/>
          <w:szCs w:val="24"/>
        </w:rPr>
        <w:t xml:space="preserve"> se određuje obveza ušteda pojedinog obveznika sustava energetske učinkovitosti</w:t>
      </w:r>
      <w:r w:rsidR="0054272A">
        <w:rPr>
          <w:rFonts w:ascii="Times New Roman" w:hAnsi="Times New Roman"/>
          <w:sz w:val="24"/>
          <w:szCs w:val="24"/>
        </w:rPr>
        <w:t xml:space="preserve">. </w:t>
      </w:r>
      <w:r>
        <w:rPr>
          <w:rFonts w:ascii="Times New Roman" w:hAnsi="Times New Roman"/>
          <w:sz w:val="24"/>
          <w:szCs w:val="24"/>
        </w:rPr>
        <w:t xml:space="preserve">Vodeći se izračunom </w:t>
      </w:r>
      <w:r w:rsidRPr="00FD37D6">
        <w:rPr>
          <w:rFonts w:ascii="Times New Roman" w:hAnsi="Times New Roman"/>
          <w:sz w:val="24"/>
          <w:szCs w:val="24"/>
        </w:rPr>
        <w:t>sukladno formuli:</w:t>
      </w:r>
      <w:r>
        <w:rPr>
          <w:rFonts w:ascii="Times New Roman" w:hAnsi="Times New Roman"/>
          <w:sz w:val="24"/>
          <w:szCs w:val="24"/>
        </w:rPr>
        <w:t xml:space="preserve"> </w:t>
      </w:r>
      <w:r>
        <w:rPr>
          <w:rFonts w:ascii="Times New Roman" w:hAnsi="Times New Roman"/>
          <w:sz w:val="24"/>
          <w:szCs w:val="24"/>
        </w:rPr>
        <w:t>naknada [kn] = o</w:t>
      </w:r>
      <w:r w:rsidRPr="00FD37D6">
        <w:rPr>
          <w:rFonts w:ascii="Times New Roman" w:hAnsi="Times New Roman"/>
          <w:sz w:val="24"/>
          <w:szCs w:val="24"/>
        </w:rPr>
        <w:t>bveza uštede</w:t>
      </w:r>
      <w:r>
        <w:rPr>
          <w:rFonts w:ascii="Times New Roman" w:hAnsi="Times New Roman"/>
          <w:sz w:val="24"/>
          <w:szCs w:val="24"/>
        </w:rPr>
        <w:t xml:space="preserve"> energije</w:t>
      </w:r>
      <w:r w:rsidRPr="00FD37D6">
        <w:rPr>
          <w:rFonts w:ascii="Times New Roman" w:hAnsi="Times New Roman"/>
          <w:sz w:val="24"/>
          <w:szCs w:val="24"/>
        </w:rPr>
        <w:t xml:space="preserve"> [kWh] * 2,19 [kn]</w:t>
      </w:r>
      <w:r>
        <w:rPr>
          <w:rFonts w:ascii="Times New Roman" w:hAnsi="Times New Roman"/>
          <w:sz w:val="24"/>
          <w:szCs w:val="24"/>
        </w:rPr>
        <w:t xml:space="preserve"> u</w:t>
      </w:r>
      <w:r w:rsidR="0054272A" w:rsidRPr="00FD37D6">
        <w:rPr>
          <w:rFonts w:ascii="Times New Roman" w:hAnsi="Times New Roman"/>
          <w:sz w:val="24"/>
          <w:szCs w:val="24"/>
        </w:rPr>
        <w:t>kupna naknada koju bi svi obve</w:t>
      </w:r>
      <w:r>
        <w:rPr>
          <w:rFonts w:ascii="Times New Roman" w:hAnsi="Times New Roman"/>
          <w:sz w:val="24"/>
          <w:szCs w:val="24"/>
        </w:rPr>
        <w:t xml:space="preserve">znici uštede energije uplatili </w:t>
      </w:r>
      <w:r>
        <w:rPr>
          <w:rFonts w:ascii="Times New Roman" w:hAnsi="Times New Roman"/>
          <w:sz w:val="24"/>
          <w:szCs w:val="24"/>
        </w:rPr>
        <w:t>Fond</w:t>
      </w:r>
      <w:r>
        <w:rPr>
          <w:rFonts w:ascii="Times New Roman" w:hAnsi="Times New Roman"/>
          <w:sz w:val="24"/>
          <w:szCs w:val="24"/>
        </w:rPr>
        <w:t>u</w:t>
      </w:r>
      <w:r>
        <w:rPr>
          <w:rFonts w:ascii="Times New Roman" w:hAnsi="Times New Roman"/>
          <w:sz w:val="24"/>
          <w:szCs w:val="24"/>
        </w:rPr>
        <w:t xml:space="preserve"> za zaštitu okoliša i energetsku učinkovitost</w:t>
      </w:r>
      <w:r w:rsidR="0054272A">
        <w:rPr>
          <w:rFonts w:ascii="Times New Roman" w:hAnsi="Times New Roman"/>
          <w:sz w:val="24"/>
          <w:szCs w:val="24"/>
        </w:rPr>
        <w:t xml:space="preserve"> u 2020. godini</w:t>
      </w:r>
      <w:r w:rsidR="0054272A" w:rsidRPr="00FD37D6">
        <w:rPr>
          <w:rFonts w:ascii="Times New Roman" w:hAnsi="Times New Roman"/>
          <w:sz w:val="24"/>
          <w:szCs w:val="24"/>
        </w:rPr>
        <w:t xml:space="preserve">, u slučaju da nisu ostvarili nikakve uštede </w:t>
      </w:r>
      <w:r>
        <w:rPr>
          <w:rFonts w:ascii="Times New Roman" w:hAnsi="Times New Roman"/>
          <w:sz w:val="24"/>
          <w:szCs w:val="24"/>
        </w:rPr>
        <w:t>energije, iznosi 754.880.596 kn.</w:t>
      </w:r>
    </w:p>
    <w:p w:rsidR="0054272A" w:rsidRDefault="0054272A" w:rsidP="0054272A">
      <w:pPr>
        <w:jc w:val="both"/>
        <w:rPr>
          <w:rFonts w:ascii="Times New Roman" w:hAnsi="Times New Roman"/>
          <w:sz w:val="24"/>
          <w:szCs w:val="24"/>
        </w:rPr>
      </w:pPr>
      <w:r>
        <w:rPr>
          <w:rFonts w:ascii="Times New Roman" w:hAnsi="Times New Roman"/>
          <w:sz w:val="24"/>
          <w:szCs w:val="24"/>
        </w:rPr>
        <w:t xml:space="preserve">Uvažavajući činjenicu da se dio obveznika sustava ušteda odnosi i na regulirane djelatnosti opravdano je razmišljati o proporcionalnom smanjenju iznosa od </w:t>
      </w:r>
      <w:r w:rsidRPr="0094414F">
        <w:rPr>
          <w:rFonts w:ascii="Times New Roman" w:hAnsi="Times New Roman"/>
          <w:sz w:val="24"/>
          <w:szCs w:val="24"/>
        </w:rPr>
        <w:t>2,19 kn/kWh</w:t>
      </w:r>
      <w:r>
        <w:rPr>
          <w:rFonts w:ascii="Times New Roman" w:hAnsi="Times New Roman"/>
          <w:sz w:val="24"/>
          <w:szCs w:val="24"/>
        </w:rPr>
        <w:t xml:space="preserve">, a kako ne bi došlo do poremećaja na energetskom tržištu i udara na cijene energije kod krajnjih korisnika. Stoga je potrebno balansirati sustav u kojem krajnji korisnici moraju imati koristi od sustava energetske učinkovitosti, ali ne na način da on izaziva linearno povećanje cijena energetskih usluga te se predlaže polovica iznosa odnosno 1,1 </w:t>
      </w:r>
      <w:r w:rsidRPr="00C838DA">
        <w:rPr>
          <w:rFonts w:ascii="Times New Roman" w:hAnsi="Times New Roman"/>
          <w:sz w:val="24"/>
          <w:szCs w:val="24"/>
        </w:rPr>
        <w:t>kn/kWh</w:t>
      </w:r>
      <w:r>
        <w:rPr>
          <w:rFonts w:ascii="Times New Roman" w:hAnsi="Times New Roman"/>
          <w:sz w:val="24"/>
          <w:szCs w:val="24"/>
        </w:rPr>
        <w:t xml:space="preserve"> za onaj dio neostvarenih ušteda podložan </w:t>
      </w:r>
      <w:r w:rsidR="00C6511C">
        <w:rPr>
          <w:rFonts w:ascii="Times New Roman" w:hAnsi="Times New Roman"/>
          <w:sz w:val="24"/>
          <w:szCs w:val="24"/>
        </w:rPr>
        <w:t>plaćanju za neispunjenu obvezu uštede energije</w:t>
      </w:r>
      <w:r>
        <w:rPr>
          <w:rFonts w:ascii="Times New Roman" w:hAnsi="Times New Roman"/>
          <w:sz w:val="24"/>
          <w:szCs w:val="24"/>
        </w:rPr>
        <w:t>.</w:t>
      </w:r>
    </w:p>
    <w:p w:rsidR="00192611" w:rsidRDefault="00192611" w:rsidP="00192611">
      <w:pPr>
        <w:spacing w:after="0" w:line="240" w:lineRule="auto"/>
        <w:jc w:val="both"/>
        <w:rPr>
          <w:rFonts w:ascii="Times New Roman" w:hAnsi="Times New Roman"/>
          <w:sz w:val="24"/>
          <w:szCs w:val="24"/>
          <w:lang w:eastAsia="hr-HR"/>
        </w:rPr>
      </w:pPr>
    </w:p>
    <w:p w:rsidR="00192611" w:rsidRPr="000471D3" w:rsidRDefault="00192611" w:rsidP="00192611">
      <w:pPr>
        <w:pStyle w:val="Naslov2"/>
        <w:spacing w:before="0"/>
        <w:jc w:val="both"/>
        <w:rPr>
          <w:rFonts w:ascii="Times New Roman" w:hAnsi="Times New Roman"/>
          <w:b/>
          <w:color w:val="auto"/>
          <w:sz w:val="24"/>
          <w:szCs w:val="24"/>
        </w:rPr>
      </w:pPr>
      <w:r w:rsidRPr="000471D3">
        <w:rPr>
          <w:rFonts w:ascii="Times New Roman" w:hAnsi="Times New Roman"/>
          <w:b/>
          <w:color w:val="auto"/>
          <w:sz w:val="24"/>
          <w:szCs w:val="24"/>
        </w:rPr>
        <w:lastRenderedPageBreak/>
        <w:t xml:space="preserve">III. </w:t>
      </w:r>
      <w:r w:rsidRPr="000471D3">
        <w:rPr>
          <w:rFonts w:ascii="Times New Roman" w:hAnsi="Times New Roman"/>
          <w:b/>
          <w:color w:val="auto"/>
          <w:sz w:val="24"/>
          <w:szCs w:val="24"/>
        </w:rPr>
        <w:tab/>
        <w:t>OCJENA I IZVORI SREDSTAVA POTREBNIH ZA PROVOĐENJE ZAKONA</w:t>
      </w:r>
    </w:p>
    <w:p w:rsidR="00192611" w:rsidRPr="000471D3" w:rsidRDefault="00192611" w:rsidP="00192611">
      <w:pPr>
        <w:ind w:firstLine="708"/>
        <w:jc w:val="both"/>
        <w:rPr>
          <w:rFonts w:ascii="Times New Roman" w:hAnsi="Times New Roman"/>
          <w:sz w:val="24"/>
          <w:szCs w:val="24"/>
        </w:rPr>
      </w:pPr>
    </w:p>
    <w:p w:rsidR="00192611" w:rsidRPr="000471D3" w:rsidRDefault="00192611" w:rsidP="00192611">
      <w:pPr>
        <w:spacing w:line="240" w:lineRule="auto"/>
        <w:ind w:firstLine="709"/>
        <w:jc w:val="both"/>
        <w:rPr>
          <w:rFonts w:ascii="Times New Roman" w:hAnsi="Times New Roman"/>
          <w:sz w:val="24"/>
          <w:szCs w:val="24"/>
        </w:rPr>
      </w:pPr>
      <w:r w:rsidRPr="000471D3">
        <w:rPr>
          <w:rFonts w:ascii="Times New Roman" w:hAnsi="Times New Roman"/>
          <w:sz w:val="24"/>
          <w:szCs w:val="24"/>
        </w:rPr>
        <w:t xml:space="preserve">Za provedbu ovoga Zakona neće biti potrebno osigurati dodatna sredstva u državnom proračunu Republike Hrvatske. </w:t>
      </w:r>
    </w:p>
    <w:p w:rsidR="00192611" w:rsidRDefault="00192611" w:rsidP="00192611">
      <w:pPr>
        <w:spacing w:line="240" w:lineRule="auto"/>
        <w:ind w:firstLine="709"/>
        <w:jc w:val="both"/>
        <w:rPr>
          <w:rFonts w:ascii="Times New Roman" w:hAnsi="Times New Roman"/>
          <w:sz w:val="24"/>
          <w:szCs w:val="24"/>
        </w:rPr>
      </w:pPr>
    </w:p>
    <w:p w:rsidR="003A7F62" w:rsidRDefault="003A7F62" w:rsidP="003A7F62">
      <w:pPr>
        <w:ind w:left="709" w:hanging="709"/>
        <w:jc w:val="both"/>
        <w:rPr>
          <w:rFonts w:ascii="Times New Roman" w:hAnsi="Times New Roman"/>
          <w:b/>
          <w:sz w:val="24"/>
          <w:szCs w:val="24"/>
        </w:rPr>
      </w:pPr>
      <w:r w:rsidRPr="003A7F62">
        <w:rPr>
          <w:rFonts w:ascii="Times New Roman" w:hAnsi="Times New Roman"/>
          <w:b/>
          <w:sz w:val="24"/>
          <w:szCs w:val="24"/>
        </w:rPr>
        <w:t>IV</w:t>
      </w:r>
      <w:r>
        <w:rPr>
          <w:rFonts w:ascii="Times New Roman" w:hAnsi="Times New Roman"/>
          <w:b/>
          <w:sz w:val="24"/>
          <w:szCs w:val="24"/>
        </w:rPr>
        <w:t>.</w:t>
      </w:r>
      <w:r w:rsidRPr="003A7F62">
        <w:rPr>
          <w:rFonts w:ascii="Times New Roman" w:hAnsi="Times New Roman"/>
          <w:b/>
          <w:sz w:val="24"/>
          <w:szCs w:val="24"/>
        </w:rPr>
        <w:t xml:space="preserve"> OBRAZLOŽENJE RAZLOGA ZA DONOŠENJE ZAKONA PO HITNOM POSTUPKU</w:t>
      </w:r>
    </w:p>
    <w:p w:rsidR="00C6511C" w:rsidRDefault="00B8146C" w:rsidP="00C6511C">
      <w:pPr>
        <w:jc w:val="both"/>
        <w:rPr>
          <w:rFonts w:ascii="Times New Roman" w:hAnsi="Times New Roman"/>
          <w:sz w:val="24"/>
          <w:szCs w:val="24"/>
        </w:rPr>
      </w:pPr>
      <w:r w:rsidRPr="00B8146C">
        <w:rPr>
          <w:rFonts w:ascii="Times New Roman" w:hAnsi="Times New Roman"/>
          <w:sz w:val="24"/>
          <w:szCs w:val="24"/>
        </w:rPr>
        <w:t xml:space="preserve">U skladu s člankom 206. Poslovnika Hrvatskog sabora (Narodne novine, broj 81/13, 113/16, 69/17 i 29/18) predlaže se donošenje ovoga Zakona po hitnom postupku </w:t>
      </w:r>
      <w:r w:rsidR="00C6511C">
        <w:rPr>
          <w:rFonts w:ascii="Times New Roman" w:hAnsi="Times New Roman"/>
          <w:sz w:val="24"/>
          <w:szCs w:val="24"/>
        </w:rPr>
        <w:t xml:space="preserve">kako ne bi došlo do poremećaja na energetskom tržištu i udara na cijene energije kod krajnjih korisnika. </w:t>
      </w:r>
    </w:p>
    <w:p w:rsidR="00C6511C" w:rsidRPr="00C6511C" w:rsidRDefault="00C6511C" w:rsidP="00C6511C">
      <w:pPr>
        <w:jc w:val="both"/>
        <w:rPr>
          <w:rFonts w:ascii="Times New Roman" w:hAnsi="Times New Roman"/>
          <w:sz w:val="24"/>
          <w:szCs w:val="24"/>
        </w:rPr>
      </w:pPr>
      <w:r>
        <w:rPr>
          <w:rFonts w:ascii="Times New Roman" w:hAnsi="Times New Roman"/>
          <w:sz w:val="24"/>
          <w:szCs w:val="24"/>
        </w:rPr>
        <w:t>Naime,</w:t>
      </w:r>
      <w:r>
        <w:rPr>
          <w:rFonts w:ascii="Times New Roman" w:hAnsi="Times New Roman"/>
          <w:sz w:val="24"/>
          <w:szCs w:val="24"/>
        </w:rPr>
        <w:t xml:space="preserve"> potrebno</w:t>
      </w:r>
      <w:r>
        <w:rPr>
          <w:rFonts w:ascii="Times New Roman" w:hAnsi="Times New Roman"/>
          <w:sz w:val="24"/>
          <w:szCs w:val="24"/>
        </w:rPr>
        <w:t xml:space="preserve"> je</w:t>
      </w:r>
      <w:r>
        <w:rPr>
          <w:rFonts w:ascii="Times New Roman" w:hAnsi="Times New Roman"/>
          <w:sz w:val="24"/>
          <w:szCs w:val="24"/>
        </w:rPr>
        <w:t xml:space="preserve"> balansirati sustav u kojem krajnji korisnici moraju imati koristi od sustava energetske učinkovitosti, ali ne na način </w:t>
      </w:r>
      <w:r>
        <w:rPr>
          <w:rFonts w:ascii="Times New Roman" w:hAnsi="Times New Roman"/>
          <w:sz w:val="24"/>
          <w:szCs w:val="24"/>
        </w:rPr>
        <w:t>koji bi zahtijeva</w:t>
      </w:r>
      <w:r w:rsidRPr="00C6511C">
        <w:rPr>
          <w:rFonts w:ascii="Times New Roman" w:hAnsi="Times New Roman"/>
          <w:sz w:val="24"/>
          <w:szCs w:val="24"/>
        </w:rPr>
        <w:t xml:space="preserve">o intervenciju </w:t>
      </w:r>
      <w:r w:rsidRPr="00C6511C">
        <w:rPr>
          <w:rFonts w:ascii="Times New Roman" w:hAnsi="Times New Roman"/>
          <w:sz w:val="24"/>
          <w:szCs w:val="24"/>
        </w:rPr>
        <w:t>Hrvatskog energetske regulatorne Agencije</w:t>
      </w:r>
      <w:r w:rsidRPr="00C6511C">
        <w:rPr>
          <w:rFonts w:ascii="Times New Roman" w:hAnsi="Times New Roman"/>
          <w:sz w:val="24"/>
          <w:szCs w:val="24"/>
        </w:rPr>
        <w:t xml:space="preserve"> odmah početkom 2020. godine</w:t>
      </w:r>
      <w:r w:rsidRPr="00C6511C">
        <w:rPr>
          <w:rFonts w:ascii="Times New Roman" w:hAnsi="Times New Roman"/>
          <w:sz w:val="24"/>
          <w:szCs w:val="24"/>
        </w:rPr>
        <w:t xml:space="preserve"> u slučaju nemogućnosti ispunjenja obveza uštede energije pojedinih obveznika sustava energetske učinkovitosti.</w:t>
      </w:r>
      <w:r w:rsidRPr="00C6511C">
        <w:rPr>
          <w:rFonts w:ascii="Times New Roman" w:hAnsi="Times New Roman"/>
          <w:sz w:val="24"/>
          <w:szCs w:val="24"/>
        </w:rPr>
        <w:t xml:space="preserve"> Stoga se predlaže umanjenje od 50% iznosa troškove ulaganja Fond za zaštitu okoliša i energetsku učinkovitost u alternativne mjere po ušteđenom kWh energije, te se </w:t>
      </w:r>
      <w:r w:rsidRPr="00C6511C">
        <w:rPr>
          <w:rFonts w:ascii="Times New Roman" w:hAnsi="Times New Roman"/>
          <w:sz w:val="24"/>
          <w:szCs w:val="24"/>
        </w:rPr>
        <w:t>određuje način</w:t>
      </w:r>
      <w:r w:rsidRPr="00C6511C">
        <w:rPr>
          <w:rFonts w:ascii="Times New Roman" w:hAnsi="Times New Roman"/>
          <w:sz w:val="24"/>
          <w:szCs w:val="24"/>
        </w:rPr>
        <w:t xml:space="preserve"> izračuna naknade koju obveznik treba platiti za neispunjene uštede, a koje se ne mogu prenijeti u narednu godinu</w:t>
      </w:r>
    </w:p>
    <w:p w:rsidR="0054272A" w:rsidRPr="00C6511C" w:rsidRDefault="00C6511C" w:rsidP="0054272A">
      <w:pPr>
        <w:jc w:val="both"/>
        <w:rPr>
          <w:rFonts w:ascii="Times New Roman" w:hAnsi="Times New Roman"/>
          <w:sz w:val="24"/>
          <w:szCs w:val="24"/>
        </w:rPr>
      </w:pPr>
      <w:r w:rsidRPr="00C6511C">
        <w:rPr>
          <w:rFonts w:ascii="Times New Roman" w:hAnsi="Times New Roman"/>
          <w:sz w:val="24"/>
          <w:szCs w:val="24"/>
        </w:rPr>
        <w:t xml:space="preserve">Nadalje, </w:t>
      </w:r>
      <w:r w:rsidRPr="00C6511C">
        <w:rPr>
          <w:rFonts w:ascii="Times New Roman" w:hAnsi="Times New Roman"/>
          <w:sz w:val="24"/>
          <w:szCs w:val="24"/>
        </w:rPr>
        <w:t xml:space="preserve">predlaže se donošenje ovoga Zakona po hitnom postupku </w:t>
      </w:r>
      <w:r w:rsidR="00272473">
        <w:rPr>
          <w:rFonts w:ascii="Times New Roman" w:hAnsi="Times New Roman"/>
          <w:sz w:val="24"/>
          <w:szCs w:val="24"/>
        </w:rPr>
        <w:t xml:space="preserve">i </w:t>
      </w:r>
      <w:r w:rsidRPr="00C6511C">
        <w:rPr>
          <w:rFonts w:ascii="Times New Roman" w:hAnsi="Times New Roman"/>
          <w:sz w:val="24"/>
          <w:szCs w:val="24"/>
        </w:rPr>
        <w:t>s obzirom da su obveznici sustava energetske učinkovitosti</w:t>
      </w:r>
      <w:r w:rsidR="00272473">
        <w:rPr>
          <w:rFonts w:ascii="Times New Roman" w:hAnsi="Times New Roman"/>
          <w:sz w:val="24"/>
          <w:szCs w:val="24"/>
        </w:rPr>
        <w:t xml:space="preserve"> dužni</w:t>
      </w:r>
      <w:r w:rsidR="0054272A" w:rsidRPr="00C6511C">
        <w:rPr>
          <w:rFonts w:ascii="Times New Roman" w:hAnsi="Times New Roman"/>
          <w:sz w:val="24"/>
          <w:szCs w:val="24"/>
        </w:rPr>
        <w:t xml:space="preserve"> </w:t>
      </w:r>
      <w:r w:rsidR="00272473" w:rsidRPr="00C6511C">
        <w:rPr>
          <w:rFonts w:ascii="Times New Roman" w:hAnsi="Times New Roman"/>
          <w:sz w:val="24"/>
          <w:szCs w:val="24"/>
        </w:rPr>
        <w:t>do 1. ožu</w:t>
      </w:r>
      <w:r w:rsidR="00272473">
        <w:rPr>
          <w:rFonts w:ascii="Times New Roman" w:hAnsi="Times New Roman"/>
          <w:sz w:val="24"/>
          <w:szCs w:val="24"/>
        </w:rPr>
        <w:t>jka</w:t>
      </w:r>
      <w:r w:rsidR="0054272A" w:rsidRPr="00C6511C">
        <w:rPr>
          <w:rFonts w:ascii="Times New Roman" w:hAnsi="Times New Roman"/>
          <w:sz w:val="24"/>
          <w:szCs w:val="24"/>
        </w:rPr>
        <w:t xml:space="preserve"> 2020. godini podnijeti dokaze o uštedama, a Ministarstvo je dužno provjeriti</w:t>
      </w:r>
      <w:r w:rsidR="00272473">
        <w:rPr>
          <w:rFonts w:ascii="Times New Roman" w:hAnsi="Times New Roman"/>
          <w:sz w:val="24"/>
          <w:szCs w:val="24"/>
        </w:rPr>
        <w:t xml:space="preserve"> sve</w:t>
      </w:r>
      <w:r w:rsidR="0054272A" w:rsidRPr="00C6511C">
        <w:rPr>
          <w:rFonts w:ascii="Times New Roman" w:hAnsi="Times New Roman"/>
          <w:sz w:val="24"/>
          <w:szCs w:val="24"/>
        </w:rPr>
        <w:t xml:space="preserve"> dostavljene dokaze o uštedama</w:t>
      </w:r>
      <w:r w:rsidR="00272473">
        <w:rPr>
          <w:rFonts w:ascii="Times New Roman" w:hAnsi="Times New Roman"/>
          <w:sz w:val="24"/>
          <w:szCs w:val="24"/>
        </w:rPr>
        <w:t xml:space="preserve"> svih 25 stranki obveznica</w:t>
      </w:r>
      <w:r w:rsidR="0054272A" w:rsidRPr="00C6511C">
        <w:rPr>
          <w:rFonts w:ascii="Times New Roman" w:hAnsi="Times New Roman"/>
          <w:sz w:val="24"/>
          <w:szCs w:val="24"/>
        </w:rPr>
        <w:t>, te se procjenjuje da je rok</w:t>
      </w:r>
      <w:r w:rsidRPr="00C6511C">
        <w:rPr>
          <w:rFonts w:ascii="Times New Roman" w:hAnsi="Times New Roman"/>
          <w:sz w:val="24"/>
          <w:szCs w:val="24"/>
        </w:rPr>
        <w:t xml:space="preserve"> od </w:t>
      </w:r>
      <w:r w:rsidR="0054272A" w:rsidRPr="00C6511C">
        <w:rPr>
          <w:rFonts w:ascii="Times New Roman" w:hAnsi="Times New Roman"/>
          <w:sz w:val="24"/>
          <w:szCs w:val="24"/>
        </w:rPr>
        <w:t xml:space="preserve"> jednog mjeseca prekratak</w:t>
      </w:r>
      <w:r w:rsidR="00272473">
        <w:rPr>
          <w:rFonts w:ascii="Times New Roman" w:hAnsi="Times New Roman"/>
          <w:sz w:val="24"/>
          <w:szCs w:val="24"/>
        </w:rPr>
        <w:t>,</w:t>
      </w:r>
      <w:r w:rsidR="0054272A" w:rsidRPr="00C6511C">
        <w:rPr>
          <w:rFonts w:ascii="Times New Roman" w:hAnsi="Times New Roman"/>
          <w:sz w:val="24"/>
          <w:szCs w:val="24"/>
        </w:rPr>
        <w:t xml:space="preserve"> uvažavajući administrativne kapacitete i obim poslova vezano uz provjeru dostavljenih dokaza o uštedama</w:t>
      </w:r>
      <w:r w:rsidR="00272473">
        <w:rPr>
          <w:rFonts w:ascii="Times New Roman" w:hAnsi="Times New Roman"/>
          <w:sz w:val="24"/>
          <w:szCs w:val="24"/>
        </w:rPr>
        <w:t>,</w:t>
      </w:r>
      <w:r w:rsidR="0054272A" w:rsidRPr="00C6511C">
        <w:rPr>
          <w:rFonts w:ascii="Times New Roman" w:hAnsi="Times New Roman"/>
          <w:sz w:val="24"/>
          <w:szCs w:val="24"/>
        </w:rPr>
        <w:t xml:space="preserve"> stoga se isti </w:t>
      </w:r>
      <w:r w:rsidRPr="00C6511C">
        <w:rPr>
          <w:rFonts w:ascii="Times New Roman" w:hAnsi="Times New Roman"/>
          <w:sz w:val="24"/>
          <w:szCs w:val="24"/>
        </w:rPr>
        <w:t>Zakono</w:t>
      </w:r>
      <w:r w:rsidR="0054272A" w:rsidRPr="00C6511C">
        <w:rPr>
          <w:rFonts w:ascii="Times New Roman" w:hAnsi="Times New Roman"/>
          <w:sz w:val="24"/>
          <w:szCs w:val="24"/>
        </w:rPr>
        <w:t>m</w:t>
      </w:r>
      <w:r w:rsidRPr="00C6511C">
        <w:rPr>
          <w:rFonts w:ascii="Times New Roman" w:hAnsi="Times New Roman"/>
          <w:sz w:val="24"/>
          <w:szCs w:val="24"/>
        </w:rPr>
        <w:t xml:space="preserve"> predlaže</w:t>
      </w:r>
      <w:r w:rsidR="0054272A" w:rsidRPr="00C6511C">
        <w:rPr>
          <w:rFonts w:ascii="Times New Roman" w:hAnsi="Times New Roman"/>
          <w:sz w:val="24"/>
          <w:szCs w:val="24"/>
        </w:rPr>
        <w:t xml:space="preserve"> </w:t>
      </w:r>
      <w:r w:rsidRPr="00C6511C">
        <w:rPr>
          <w:rFonts w:ascii="Times New Roman" w:hAnsi="Times New Roman"/>
          <w:sz w:val="24"/>
          <w:szCs w:val="24"/>
        </w:rPr>
        <w:t>produljiti</w:t>
      </w:r>
      <w:r w:rsidR="0054272A" w:rsidRPr="00C6511C">
        <w:rPr>
          <w:rFonts w:ascii="Times New Roman" w:hAnsi="Times New Roman"/>
          <w:sz w:val="24"/>
          <w:szCs w:val="24"/>
        </w:rPr>
        <w:t xml:space="preserve"> do 31. svibnja</w:t>
      </w:r>
      <w:r w:rsidRPr="00C6511C">
        <w:rPr>
          <w:rFonts w:ascii="Times New Roman" w:hAnsi="Times New Roman"/>
          <w:sz w:val="24"/>
          <w:szCs w:val="24"/>
        </w:rPr>
        <w:t>.</w:t>
      </w:r>
    </w:p>
    <w:p w:rsidR="00B8146C" w:rsidRPr="00C6511C" w:rsidRDefault="00B8146C" w:rsidP="00B8146C">
      <w:pPr>
        <w:jc w:val="both"/>
        <w:rPr>
          <w:rFonts w:ascii="Times New Roman" w:hAnsi="Times New Roman"/>
          <w:sz w:val="24"/>
          <w:szCs w:val="24"/>
        </w:rPr>
      </w:pPr>
    </w:p>
    <w:p w:rsidR="003A7F62" w:rsidRDefault="003A7F62" w:rsidP="003A7F62">
      <w:pPr>
        <w:jc w:val="both"/>
        <w:rPr>
          <w:b/>
          <w:i/>
        </w:rPr>
      </w:pPr>
    </w:p>
    <w:p w:rsidR="00C6511C" w:rsidRDefault="00C6511C" w:rsidP="003A7F62">
      <w:pPr>
        <w:jc w:val="both"/>
        <w:rPr>
          <w:b/>
          <w:i/>
        </w:rPr>
      </w:pPr>
    </w:p>
    <w:p w:rsidR="00C6511C" w:rsidRDefault="00C6511C" w:rsidP="003A7F62">
      <w:pPr>
        <w:jc w:val="both"/>
        <w:rPr>
          <w:b/>
          <w:i/>
        </w:rPr>
      </w:pPr>
    </w:p>
    <w:p w:rsidR="00C6511C" w:rsidRDefault="00C6511C" w:rsidP="003A7F62">
      <w:pPr>
        <w:jc w:val="both"/>
        <w:rPr>
          <w:b/>
          <w:i/>
        </w:rPr>
      </w:pPr>
    </w:p>
    <w:p w:rsidR="00C6511C" w:rsidRDefault="00C6511C" w:rsidP="003A7F62">
      <w:pPr>
        <w:jc w:val="both"/>
        <w:rPr>
          <w:b/>
          <w:i/>
        </w:rPr>
      </w:pPr>
    </w:p>
    <w:p w:rsidR="00C6511C" w:rsidRDefault="00C6511C" w:rsidP="003A7F62">
      <w:pPr>
        <w:jc w:val="both"/>
        <w:rPr>
          <w:b/>
          <w:i/>
        </w:rPr>
      </w:pPr>
    </w:p>
    <w:p w:rsidR="00C6511C" w:rsidRDefault="00C6511C" w:rsidP="003A7F62">
      <w:pPr>
        <w:jc w:val="both"/>
        <w:rPr>
          <w:b/>
          <w:i/>
        </w:rPr>
      </w:pPr>
    </w:p>
    <w:p w:rsidR="00C6511C" w:rsidRDefault="00C6511C" w:rsidP="003A7F62">
      <w:pPr>
        <w:jc w:val="both"/>
        <w:rPr>
          <w:b/>
          <w:i/>
        </w:rPr>
      </w:pPr>
    </w:p>
    <w:p w:rsidR="00C6511C" w:rsidRDefault="00C6511C" w:rsidP="003A7F62">
      <w:pPr>
        <w:jc w:val="both"/>
        <w:rPr>
          <w:b/>
          <w:i/>
        </w:rPr>
      </w:pPr>
    </w:p>
    <w:p w:rsidR="00C6511C" w:rsidRPr="0054272A" w:rsidRDefault="00C6511C" w:rsidP="003A7F62">
      <w:pPr>
        <w:jc w:val="both"/>
        <w:rPr>
          <w:b/>
          <w:i/>
        </w:rPr>
      </w:pPr>
    </w:p>
    <w:p w:rsidR="003A7F62" w:rsidRPr="0054272A" w:rsidRDefault="003A7F62" w:rsidP="00192611">
      <w:pPr>
        <w:spacing w:line="240" w:lineRule="auto"/>
        <w:ind w:firstLine="709"/>
        <w:jc w:val="both"/>
        <w:rPr>
          <w:rFonts w:ascii="Times New Roman" w:hAnsi="Times New Roman"/>
          <w:i/>
          <w:sz w:val="24"/>
          <w:szCs w:val="24"/>
        </w:rPr>
      </w:pPr>
    </w:p>
    <w:p w:rsidR="00B8146C" w:rsidRPr="0054272A" w:rsidRDefault="00B8146C" w:rsidP="00192611">
      <w:pPr>
        <w:spacing w:line="240" w:lineRule="auto"/>
        <w:ind w:firstLine="709"/>
        <w:jc w:val="both"/>
        <w:rPr>
          <w:rFonts w:ascii="Times New Roman" w:hAnsi="Times New Roman"/>
          <w:i/>
          <w:sz w:val="24"/>
          <w:szCs w:val="24"/>
        </w:rPr>
      </w:pPr>
    </w:p>
    <w:p w:rsidR="00B8146C" w:rsidRPr="0054272A" w:rsidRDefault="00B8146C" w:rsidP="00192611">
      <w:pPr>
        <w:spacing w:line="240" w:lineRule="auto"/>
        <w:ind w:firstLine="709"/>
        <w:jc w:val="both"/>
        <w:rPr>
          <w:rFonts w:ascii="Times New Roman" w:hAnsi="Times New Roman"/>
          <w:i/>
          <w:sz w:val="24"/>
          <w:szCs w:val="24"/>
        </w:rPr>
      </w:pPr>
    </w:p>
    <w:p w:rsidR="00192611" w:rsidRPr="00C6511C" w:rsidRDefault="003A7F62" w:rsidP="00B8146C">
      <w:pPr>
        <w:jc w:val="center"/>
        <w:rPr>
          <w:rFonts w:ascii="Times New Roman" w:eastAsia="Times New Roman" w:hAnsi="Times New Roman"/>
          <w:b/>
          <w:bCs/>
          <w:sz w:val="24"/>
          <w:szCs w:val="24"/>
        </w:rPr>
      </w:pPr>
      <w:r w:rsidRPr="00C6511C">
        <w:rPr>
          <w:rFonts w:ascii="Times New Roman" w:hAnsi="Times New Roman"/>
          <w:b/>
          <w:sz w:val="24"/>
          <w:szCs w:val="24"/>
        </w:rPr>
        <w:lastRenderedPageBreak/>
        <w:t xml:space="preserve">KONAČNI PRIJEDLOG ZAKONA </w:t>
      </w:r>
      <w:r w:rsidR="00192611" w:rsidRPr="00C6511C">
        <w:rPr>
          <w:rFonts w:ascii="Times New Roman" w:hAnsi="Times New Roman"/>
          <w:b/>
          <w:sz w:val="24"/>
          <w:szCs w:val="24"/>
        </w:rPr>
        <w:t>O IZMJENI I DOPUNI ZAKONA O ENERGETSKOJ UČINKOVITOSTI</w:t>
      </w:r>
    </w:p>
    <w:p w:rsidR="005E3376" w:rsidRPr="00C6511C" w:rsidRDefault="005E3376" w:rsidP="00192611">
      <w:pPr>
        <w:pStyle w:val="t-9-8"/>
        <w:spacing w:after="225"/>
        <w:jc w:val="center"/>
        <w:textAlignment w:val="baseline"/>
        <w:rPr>
          <w:b/>
        </w:rPr>
      </w:pPr>
    </w:p>
    <w:p w:rsidR="00192611" w:rsidRPr="00C6511C" w:rsidRDefault="00192611" w:rsidP="00192611">
      <w:pPr>
        <w:pStyle w:val="t-9-8"/>
        <w:spacing w:after="225"/>
        <w:jc w:val="center"/>
        <w:textAlignment w:val="baseline"/>
        <w:rPr>
          <w:b/>
        </w:rPr>
      </w:pPr>
      <w:r w:rsidRPr="00C6511C">
        <w:rPr>
          <w:b/>
        </w:rPr>
        <w:t>Članak 1.</w:t>
      </w:r>
    </w:p>
    <w:p w:rsidR="005E3376" w:rsidRPr="00C6511C" w:rsidRDefault="005E3376" w:rsidP="005E3376">
      <w:pPr>
        <w:pStyle w:val="box456671"/>
        <w:spacing w:before="0" w:beforeAutospacing="0" w:after="48" w:afterAutospacing="0"/>
        <w:jc w:val="both"/>
        <w:textAlignment w:val="baseline"/>
        <w:rPr>
          <w:color w:val="231F20"/>
          <w:lang w:val="hr-HR"/>
        </w:rPr>
      </w:pPr>
      <w:r w:rsidRPr="00C6511C">
        <w:rPr>
          <w:color w:val="231F20"/>
          <w:lang w:val="hr-HR"/>
        </w:rPr>
        <w:t>U Zakonu o energetskoj učinkovitosti („Narodne novine“, broj 127/14 i 116/18) u članku 13. stavku 14. riječ: „ožujka“ zamjenjuje se riječju: „svibnja“.</w:t>
      </w:r>
    </w:p>
    <w:p w:rsidR="005E3376" w:rsidRPr="00C6511C" w:rsidRDefault="005E3376" w:rsidP="005E3376">
      <w:pPr>
        <w:pStyle w:val="box456671"/>
        <w:spacing w:before="0" w:beforeAutospacing="0" w:after="48" w:afterAutospacing="0"/>
        <w:ind w:firstLine="408"/>
        <w:textAlignment w:val="baseline"/>
        <w:rPr>
          <w:color w:val="231F20"/>
          <w:lang w:val="hr-HR"/>
        </w:rPr>
      </w:pPr>
    </w:p>
    <w:p w:rsidR="005E3376" w:rsidRPr="00C6511C" w:rsidRDefault="005E3376" w:rsidP="005E3376">
      <w:pPr>
        <w:pStyle w:val="box456671"/>
        <w:spacing w:before="0" w:beforeAutospacing="0"/>
        <w:jc w:val="both"/>
        <w:textAlignment w:val="baseline"/>
        <w:rPr>
          <w:color w:val="231F20"/>
          <w:lang w:val="hr-HR"/>
        </w:rPr>
      </w:pPr>
      <w:r w:rsidRPr="00C6511C">
        <w:rPr>
          <w:color w:val="231F20"/>
          <w:lang w:val="hr-HR"/>
        </w:rPr>
        <w:t>Iza stavka 14. dodaje se novi stavak 15. koji glasi:</w:t>
      </w:r>
    </w:p>
    <w:p w:rsidR="005E3376" w:rsidRPr="00C6511C" w:rsidRDefault="005E3376" w:rsidP="005E3376">
      <w:pPr>
        <w:pStyle w:val="box456671"/>
        <w:spacing w:before="0" w:beforeAutospacing="0"/>
        <w:jc w:val="both"/>
        <w:textAlignment w:val="baseline"/>
        <w:rPr>
          <w:color w:val="231F20"/>
          <w:lang w:val="hr-HR"/>
        </w:rPr>
      </w:pPr>
      <w:r w:rsidRPr="00C6511C">
        <w:rPr>
          <w:color w:val="231F20"/>
          <w:lang w:val="hr-HR"/>
        </w:rPr>
        <w:t>„(15) Iznos iz stavka 14. ovoga članka određuje se na način da se neostvareni dio obveze iz prethodne godine koja prelazi 10% u kWh pomnoži s polovicom iznosa ulaganja Fonda u alternativne mjere u kalendarskoj godini koja je prethodila godini u kojoj je obveza određena, izraženog u kn/kWh. .“</w:t>
      </w:r>
    </w:p>
    <w:p w:rsidR="005E3376" w:rsidRPr="00C6511C" w:rsidRDefault="005E3376" w:rsidP="005E3376">
      <w:pPr>
        <w:pStyle w:val="box456671"/>
        <w:spacing w:before="103" w:beforeAutospacing="0" w:after="160" w:afterAutospacing="0"/>
        <w:textAlignment w:val="baseline"/>
        <w:rPr>
          <w:color w:val="231F20"/>
          <w:lang w:val="hr-HR"/>
        </w:rPr>
      </w:pPr>
      <w:r w:rsidRPr="00C6511C">
        <w:rPr>
          <w:color w:val="231F20"/>
          <w:lang w:val="hr-HR"/>
        </w:rPr>
        <w:t>Dosadašnji stavci od 15. do 19. postaju stavci od 16. do 20.</w:t>
      </w:r>
    </w:p>
    <w:p w:rsidR="005E3376" w:rsidRPr="00C6511C" w:rsidRDefault="005E3376" w:rsidP="005E3376">
      <w:pPr>
        <w:pStyle w:val="box456671"/>
        <w:spacing w:before="103" w:beforeAutospacing="0" w:after="160" w:afterAutospacing="0"/>
        <w:jc w:val="center"/>
        <w:textAlignment w:val="baseline"/>
        <w:rPr>
          <w:b/>
          <w:color w:val="231F20"/>
          <w:lang w:val="hr-HR"/>
        </w:rPr>
      </w:pPr>
    </w:p>
    <w:p w:rsidR="005E3376" w:rsidRPr="00C6511C" w:rsidRDefault="005E3376" w:rsidP="005E3376">
      <w:pPr>
        <w:pStyle w:val="box456671"/>
        <w:spacing w:before="103" w:beforeAutospacing="0" w:after="160" w:afterAutospacing="0"/>
        <w:jc w:val="center"/>
        <w:textAlignment w:val="baseline"/>
        <w:rPr>
          <w:b/>
          <w:color w:val="231F20"/>
          <w:lang w:val="hr-HR"/>
        </w:rPr>
      </w:pPr>
      <w:r w:rsidRPr="00C6511C">
        <w:rPr>
          <w:b/>
          <w:color w:val="231F20"/>
          <w:lang w:val="hr-HR"/>
        </w:rPr>
        <w:t>Članak 2.</w:t>
      </w:r>
    </w:p>
    <w:p w:rsidR="005E3376" w:rsidRPr="00C6511C" w:rsidRDefault="005E3376" w:rsidP="005E3376">
      <w:pPr>
        <w:pStyle w:val="box456671"/>
        <w:spacing w:before="0" w:beforeAutospacing="0" w:after="48" w:afterAutospacing="0"/>
        <w:textAlignment w:val="baseline"/>
        <w:rPr>
          <w:color w:val="231F20"/>
          <w:lang w:val="hr-HR"/>
        </w:rPr>
      </w:pPr>
      <w:r w:rsidRPr="00C6511C">
        <w:rPr>
          <w:color w:val="231F20"/>
          <w:lang w:val="hr-HR"/>
        </w:rPr>
        <w:t>Ovaj Zakon stupa na snagu prvoga dana od dana objave u „Narodnim novinama“.</w:t>
      </w:r>
    </w:p>
    <w:p w:rsidR="005E3376" w:rsidRPr="00C6511C" w:rsidRDefault="005E3376" w:rsidP="005E3376">
      <w:pPr>
        <w:pStyle w:val="box456671"/>
        <w:spacing w:before="0" w:beforeAutospacing="0" w:after="0" w:afterAutospacing="0"/>
        <w:ind w:left="408"/>
        <w:textAlignment w:val="baseline"/>
        <w:rPr>
          <w:color w:val="231F20"/>
          <w:lang w:val="hr-HR"/>
        </w:rPr>
      </w:pPr>
    </w:p>
    <w:p w:rsidR="006E635E" w:rsidRPr="00C6511C" w:rsidRDefault="006E635E" w:rsidP="006E635E">
      <w:pPr>
        <w:pStyle w:val="Odlomakpopisa"/>
        <w:spacing w:after="100" w:afterAutospacing="1" w:line="240" w:lineRule="auto"/>
        <w:rPr>
          <w:rFonts w:ascii="Times New Roman" w:hAnsi="Times New Roman"/>
          <w:b/>
          <w:sz w:val="24"/>
          <w:szCs w:val="24"/>
        </w:rPr>
      </w:pPr>
    </w:p>
    <w:p w:rsidR="00950DCD" w:rsidRPr="00C6511C" w:rsidRDefault="00950DCD" w:rsidP="006E635E">
      <w:pPr>
        <w:pStyle w:val="Odlomakpopisa"/>
        <w:spacing w:after="100" w:afterAutospacing="1" w:line="240" w:lineRule="auto"/>
        <w:rPr>
          <w:rFonts w:ascii="Times New Roman" w:hAnsi="Times New Roman"/>
          <w:b/>
          <w:sz w:val="24"/>
          <w:szCs w:val="24"/>
        </w:rPr>
      </w:pPr>
    </w:p>
    <w:p w:rsidR="00950DCD" w:rsidRPr="00C6511C" w:rsidRDefault="00950DCD" w:rsidP="006E635E">
      <w:pPr>
        <w:pStyle w:val="Odlomakpopisa"/>
        <w:spacing w:after="100" w:afterAutospacing="1" w:line="240" w:lineRule="auto"/>
        <w:rPr>
          <w:rFonts w:ascii="Times New Roman" w:hAnsi="Times New Roman"/>
          <w:b/>
          <w:sz w:val="24"/>
          <w:szCs w:val="24"/>
        </w:rPr>
      </w:pPr>
    </w:p>
    <w:p w:rsidR="005E3376" w:rsidRPr="00C6511C" w:rsidRDefault="005E3376" w:rsidP="006E635E">
      <w:pPr>
        <w:pStyle w:val="Odlomakpopisa"/>
        <w:spacing w:after="100" w:afterAutospacing="1" w:line="240" w:lineRule="auto"/>
        <w:rPr>
          <w:rFonts w:ascii="Times New Roman" w:hAnsi="Times New Roman"/>
          <w:b/>
          <w:sz w:val="24"/>
          <w:szCs w:val="24"/>
        </w:rPr>
      </w:pPr>
    </w:p>
    <w:p w:rsidR="005E3376" w:rsidRPr="0054272A" w:rsidRDefault="005E3376" w:rsidP="006E635E">
      <w:pPr>
        <w:pStyle w:val="Odlomakpopisa"/>
        <w:spacing w:after="100" w:afterAutospacing="1" w:line="240" w:lineRule="auto"/>
        <w:rPr>
          <w:rFonts w:ascii="Times New Roman" w:hAnsi="Times New Roman"/>
          <w:b/>
          <w:i/>
          <w:sz w:val="24"/>
          <w:szCs w:val="24"/>
        </w:rPr>
      </w:pPr>
    </w:p>
    <w:p w:rsidR="005E3376" w:rsidRPr="0054272A" w:rsidRDefault="005E3376" w:rsidP="006E635E">
      <w:pPr>
        <w:pStyle w:val="Odlomakpopisa"/>
        <w:spacing w:after="100" w:afterAutospacing="1" w:line="240" w:lineRule="auto"/>
        <w:rPr>
          <w:rFonts w:ascii="Times New Roman" w:hAnsi="Times New Roman"/>
          <w:b/>
          <w:i/>
          <w:sz w:val="24"/>
          <w:szCs w:val="24"/>
        </w:rPr>
      </w:pPr>
    </w:p>
    <w:p w:rsidR="005E3376" w:rsidRPr="0054272A" w:rsidRDefault="005E3376" w:rsidP="006E635E">
      <w:pPr>
        <w:pStyle w:val="Odlomakpopisa"/>
        <w:spacing w:after="100" w:afterAutospacing="1" w:line="240" w:lineRule="auto"/>
        <w:rPr>
          <w:rFonts w:ascii="Times New Roman" w:hAnsi="Times New Roman"/>
          <w:b/>
          <w:i/>
          <w:sz w:val="24"/>
          <w:szCs w:val="24"/>
        </w:rPr>
      </w:pPr>
    </w:p>
    <w:p w:rsidR="005E3376" w:rsidRPr="0054272A" w:rsidRDefault="005E3376" w:rsidP="006E635E">
      <w:pPr>
        <w:pStyle w:val="Odlomakpopisa"/>
        <w:spacing w:after="100" w:afterAutospacing="1" w:line="240" w:lineRule="auto"/>
        <w:rPr>
          <w:rFonts w:ascii="Times New Roman" w:hAnsi="Times New Roman"/>
          <w:b/>
          <w:i/>
          <w:sz w:val="24"/>
          <w:szCs w:val="24"/>
        </w:rPr>
      </w:pPr>
    </w:p>
    <w:p w:rsidR="005E3376" w:rsidRPr="0054272A" w:rsidRDefault="005E3376" w:rsidP="006E635E">
      <w:pPr>
        <w:pStyle w:val="Odlomakpopisa"/>
        <w:spacing w:after="100" w:afterAutospacing="1" w:line="240" w:lineRule="auto"/>
        <w:rPr>
          <w:rFonts w:ascii="Times New Roman" w:hAnsi="Times New Roman"/>
          <w:b/>
          <w:i/>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5E3376" w:rsidRDefault="005E3376" w:rsidP="006E635E">
      <w:pPr>
        <w:pStyle w:val="Odlomakpopisa"/>
        <w:spacing w:after="100" w:afterAutospacing="1" w:line="240" w:lineRule="auto"/>
        <w:rPr>
          <w:rFonts w:ascii="Times New Roman" w:hAnsi="Times New Roman"/>
          <w:b/>
          <w:sz w:val="24"/>
          <w:szCs w:val="24"/>
        </w:rPr>
      </w:pPr>
    </w:p>
    <w:p w:rsidR="00950DCD" w:rsidRDefault="00950DCD" w:rsidP="006E635E">
      <w:pPr>
        <w:pStyle w:val="Odlomakpopisa"/>
        <w:spacing w:after="100" w:afterAutospacing="1" w:line="240" w:lineRule="auto"/>
        <w:rPr>
          <w:rFonts w:ascii="Times New Roman" w:hAnsi="Times New Roman"/>
          <w:b/>
          <w:sz w:val="24"/>
          <w:szCs w:val="24"/>
        </w:rPr>
      </w:pPr>
    </w:p>
    <w:p w:rsidR="00950DCD" w:rsidRDefault="00950DCD" w:rsidP="006E635E">
      <w:pPr>
        <w:pStyle w:val="Odlomakpopisa"/>
        <w:spacing w:after="100" w:afterAutospacing="1" w:line="240" w:lineRule="auto"/>
        <w:rPr>
          <w:rFonts w:ascii="Times New Roman" w:hAnsi="Times New Roman"/>
          <w:b/>
          <w:sz w:val="24"/>
          <w:szCs w:val="24"/>
        </w:rPr>
      </w:pPr>
    </w:p>
    <w:p w:rsidR="00950DCD" w:rsidRDefault="00950DCD" w:rsidP="006E635E">
      <w:pPr>
        <w:pStyle w:val="Odlomakpopisa"/>
        <w:spacing w:after="100" w:afterAutospacing="1" w:line="240" w:lineRule="auto"/>
        <w:rPr>
          <w:rFonts w:ascii="Times New Roman" w:hAnsi="Times New Roman"/>
          <w:b/>
          <w:sz w:val="24"/>
          <w:szCs w:val="24"/>
        </w:rPr>
      </w:pPr>
    </w:p>
    <w:p w:rsidR="00950DCD" w:rsidRDefault="00950DCD" w:rsidP="006E635E">
      <w:pPr>
        <w:pStyle w:val="Odlomakpopisa"/>
        <w:spacing w:after="100" w:afterAutospacing="1" w:line="240" w:lineRule="auto"/>
        <w:rPr>
          <w:rFonts w:ascii="Times New Roman" w:hAnsi="Times New Roman"/>
          <w:b/>
          <w:sz w:val="24"/>
          <w:szCs w:val="24"/>
        </w:rPr>
      </w:pPr>
    </w:p>
    <w:p w:rsidR="006E635E" w:rsidRPr="006E635E" w:rsidRDefault="006E635E" w:rsidP="00CA2DF1">
      <w:pPr>
        <w:pStyle w:val="Odlomakpopisa"/>
        <w:spacing w:after="100" w:afterAutospacing="1" w:line="240" w:lineRule="auto"/>
        <w:jc w:val="center"/>
        <w:rPr>
          <w:rFonts w:ascii="Times New Roman" w:hAnsi="Times New Roman"/>
          <w:b/>
          <w:sz w:val="24"/>
          <w:szCs w:val="24"/>
        </w:rPr>
      </w:pPr>
      <w:r w:rsidRPr="006E635E">
        <w:rPr>
          <w:rFonts w:ascii="Times New Roman" w:hAnsi="Times New Roman"/>
          <w:b/>
          <w:sz w:val="24"/>
          <w:szCs w:val="24"/>
        </w:rPr>
        <w:t>O B R A Z L O Ž E N J E</w:t>
      </w:r>
    </w:p>
    <w:p w:rsidR="006E635E" w:rsidRPr="006E635E" w:rsidRDefault="006E635E" w:rsidP="006E635E">
      <w:pPr>
        <w:spacing w:before="120" w:after="120" w:line="240" w:lineRule="auto"/>
        <w:jc w:val="both"/>
        <w:outlineLvl w:val="0"/>
        <w:rPr>
          <w:rFonts w:ascii="Times New Roman" w:eastAsia="Times New Roman" w:hAnsi="Times New Roman"/>
          <w:b/>
          <w:bCs/>
          <w:kern w:val="36"/>
          <w:sz w:val="24"/>
          <w:szCs w:val="24"/>
          <w:lang w:eastAsia="hr-HR"/>
        </w:rPr>
      </w:pPr>
      <w:r w:rsidRPr="006E635E">
        <w:rPr>
          <w:rFonts w:ascii="Times New Roman" w:eastAsia="Times New Roman" w:hAnsi="Times New Roman"/>
          <w:b/>
          <w:bCs/>
          <w:kern w:val="36"/>
          <w:sz w:val="24"/>
          <w:szCs w:val="24"/>
          <w:lang w:eastAsia="hr-HR"/>
        </w:rPr>
        <w:t>Članak 1.</w:t>
      </w:r>
    </w:p>
    <w:p w:rsidR="005E3376" w:rsidRDefault="006E635E" w:rsidP="005E3376">
      <w:pPr>
        <w:jc w:val="both"/>
        <w:rPr>
          <w:rFonts w:ascii="Times New Roman" w:hAnsi="Times New Roman"/>
          <w:sz w:val="24"/>
          <w:szCs w:val="24"/>
        </w:rPr>
      </w:pPr>
      <w:r w:rsidRPr="006E635E">
        <w:rPr>
          <w:rFonts w:ascii="Times New Roman" w:eastAsia="Times New Roman" w:hAnsi="Times New Roman"/>
          <w:bCs/>
          <w:kern w:val="36"/>
          <w:sz w:val="24"/>
          <w:szCs w:val="24"/>
          <w:lang w:eastAsia="hr-HR"/>
        </w:rPr>
        <w:t xml:space="preserve">Ovim člankom se </w:t>
      </w:r>
      <w:r w:rsidR="005E3376">
        <w:rPr>
          <w:rFonts w:ascii="Times New Roman" w:eastAsia="Times New Roman" w:hAnsi="Times New Roman"/>
          <w:bCs/>
          <w:kern w:val="36"/>
          <w:sz w:val="24"/>
          <w:szCs w:val="24"/>
          <w:lang w:eastAsia="hr-HR"/>
        </w:rPr>
        <w:t>određuje da su stranke o</w:t>
      </w:r>
      <w:r w:rsidR="005E3376">
        <w:rPr>
          <w:rFonts w:ascii="Times New Roman" w:hAnsi="Times New Roman"/>
          <w:sz w:val="24"/>
          <w:szCs w:val="24"/>
        </w:rPr>
        <w:t>bveznice dužne u 2020. godini do 1. ožujka podnijeti dokaze o uštedama, a Ministarstvo je dužno provjeriti dostavljene dokaze o uštedama, te se procjenjuje da je rok jednog mjeseca prekratak uvažavajući administrativne kapacitete i obim poslova vezano uz provjeru dostavljenih dokaza o uštedama stoga se isti produljuje do 31. svibnja.</w:t>
      </w:r>
    </w:p>
    <w:p w:rsidR="00AD0327" w:rsidRDefault="00AD0327" w:rsidP="006E635E">
      <w:pPr>
        <w:spacing w:before="120" w:after="120" w:line="240" w:lineRule="auto"/>
        <w:jc w:val="both"/>
        <w:outlineLvl w:val="0"/>
        <w:rPr>
          <w:rFonts w:ascii="Times New Roman" w:hAnsi="Times New Roman"/>
          <w:b/>
          <w:sz w:val="24"/>
          <w:szCs w:val="24"/>
        </w:rPr>
      </w:pPr>
    </w:p>
    <w:p w:rsidR="006E635E" w:rsidRPr="006E635E" w:rsidRDefault="006E635E" w:rsidP="006E635E">
      <w:pPr>
        <w:spacing w:before="120" w:after="120" w:line="240" w:lineRule="auto"/>
        <w:jc w:val="both"/>
        <w:outlineLvl w:val="0"/>
        <w:rPr>
          <w:rFonts w:ascii="Times New Roman" w:hAnsi="Times New Roman"/>
          <w:b/>
          <w:sz w:val="24"/>
          <w:szCs w:val="24"/>
        </w:rPr>
      </w:pPr>
      <w:r w:rsidRPr="006E635E">
        <w:rPr>
          <w:rFonts w:ascii="Times New Roman" w:hAnsi="Times New Roman"/>
          <w:b/>
          <w:sz w:val="24"/>
          <w:szCs w:val="24"/>
        </w:rPr>
        <w:t>Članak 2.</w:t>
      </w:r>
    </w:p>
    <w:p w:rsidR="006E635E" w:rsidRPr="006E635E" w:rsidRDefault="006E635E" w:rsidP="006E635E">
      <w:pPr>
        <w:spacing w:before="120" w:after="120" w:line="240" w:lineRule="auto"/>
        <w:jc w:val="both"/>
        <w:outlineLvl w:val="0"/>
        <w:rPr>
          <w:rFonts w:ascii="Times New Roman" w:hAnsi="Times New Roman"/>
          <w:sz w:val="24"/>
          <w:szCs w:val="24"/>
        </w:rPr>
      </w:pPr>
      <w:r w:rsidRPr="006E635E">
        <w:rPr>
          <w:rFonts w:ascii="Times New Roman" w:hAnsi="Times New Roman"/>
          <w:sz w:val="24"/>
          <w:szCs w:val="24"/>
        </w:rPr>
        <w:t xml:space="preserve">Ovim člankom se </w:t>
      </w:r>
      <w:r w:rsidR="005E3376">
        <w:rPr>
          <w:rFonts w:ascii="Times New Roman" w:hAnsi="Times New Roman"/>
          <w:sz w:val="24"/>
          <w:szCs w:val="24"/>
        </w:rPr>
        <w:t>određuje stupanje na snagu Zakona</w:t>
      </w:r>
    </w:p>
    <w:p w:rsidR="00950DCD" w:rsidRDefault="00950DCD" w:rsidP="002D42CE">
      <w:pPr>
        <w:spacing w:after="0" w:line="240" w:lineRule="auto"/>
        <w:jc w:val="center"/>
        <w:rPr>
          <w:rFonts w:ascii="Times New Roman" w:hAnsi="Times New Roman"/>
          <w:b/>
          <w:sz w:val="24"/>
          <w:szCs w:val="24"/>
        </w:rPr>
      </w:pPr>
    </w:p>
    <w:p w:rsidR="00950DCD" w:rsidRDefault="00950DCD" w:rsidP="002D42CE">
      <w:pPr>
        <w:spacing w:after="0" w:line="240" w:lineRule="auto"/>
        <w:jc w:val="center"/>
        <w:rPr>
          <w:rFonts w:ascii="Times New Roman" w:hAnsi="Times New Roman"/>
          <w:b/>
          <w:sz w:val="24"/>
          <w:szCs w:val="24"/>
        </w:rPr>
      </w:pPr>
    </w:p>
    <w:p w:rsidR="00950DCD" w:rsidRDefault="00950DCD" w:rsidP="002D42CE">
      <w:pPr>
        <w:spacing w:after="0" w:line="240" w:lineRule="auto"/>
        <w:jc w:val="center"/>
        <w:rPr>
          <w:rFonts w:ascii="Times New Roman" w:hAnsi="Times New Roman"/>
          <w:b/>
          <w:sz w:val="24"/>
          <w:szCs w:val="24"/>
        </w:rPr>
      </w:pPr>
    </w:p>
    <w:p w:rsidR="00AD0327" w:rsidRDefault="00AD0327" w:rsidP="002D42CE">
      <w:pPr>
        <w:spacing w:after="0" w:line="240" w:lineRule="auto"/>
        <w:jc w:val="center"/>
        <w:rPr>
          <w:rFonts w:ascii="Times New Roman" w:hAnsi="Times New Roman"/>
          <w:b/>
          <w:sz w:val="24"/>
          <w:szCs w:val="24"/>
        </w:rPr>
      </w:pPr>
    </w:p>
    <w:p w:rsidR="006E635E" w:rsidRPr="00CA2DF1" w:rsidRDefault="006E635E" w:rsidP="002D42CE">
      <w:pPr>
        <w:spacing w:after="0" w:line="240" w:lineRule="auto"/>
        <w:jc w:val="center"/>
        <w:rPr>
          <w:rFonts w:ascii="Times New Roman" w:hAnsi="Times New Roman"/>
          <w:b/>
          <w:sz w:val="24"/>
          <w:szCs w:val="24"/>
        </w:rPr>
      </w:pPr>
      <w:bookmarkStart w:id="0" w:name="_GoBack"/>
      <w:bookmarkEnd w:id="0"/>
      <w:r w:rsidRPr="00CA2DF1">
        <w:rPr>
          <w:rFonts w:ascii="Times New Roman" w:hAnsi="Times New Roman"/>
          <w:b/>
          <w:sz w:val="24"/>
          <w:szCs w:val="24"/>
        </w:rPr>
        <w:t>ODREDBE VAŽEĆEG ZAKONA KOJE SE MIJENJAJU</w:t>
      </w:r>
    </w:p>
    <w:p w:rsidR="006E635E" w:rsidRPr="00CA2DF1" w:rsidRDefault="006E635E" w:rsidP="002D42CE">
      <w:pPr>
        <w:spacing w:after="0" w:line="240" w:lineRule="auto"/>
        <w:jc w:val="center"/>
        <w:rPr>
          <w:rFonts w:ascii="Times New Roman" w:hAnsi="Times New Roman"/>
          <w:b/>
          <w:sz w:val="24"/>
          <w:szCs w:val="24"/>
        </w:rPr>
      </w:pPr>
      <w:r w:rsidRPr="00CA2DF1">
        <w:rPr>
          <w:rFonts w:ascii="Times New Roman" w:hAnsi="Times New Roman"/>
          <w:b/>
          <w:sz w:val="24"/>
          <w:szCs w:val="24"/>
        </w:rPr>
        <w:t>ODNOSNO DOPUNJUJU</w:t>
      </w:r>
    </w:p>
    <w:p w:rsidR="005E3376" w:rsidRPr="009718EC" w:rsidRDefault="005E3376" w:rsidP="005E3376">
      <w:pPr>
        <w:spacing w:before="100" w:beforeAutospacing="1" w:after="100" w:afterAutospacing="1" w:line="240" w:lineRule="auto"/>
        <w:jc w:val="center"/>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xml:space="preserve">Članak 13. </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 Radi poticanja novih ušteda energije u krajnjoj potrošnji mimo mjera politike za ostvarivanje uštede energije sufinanciranjem prema Nacionalnom akcijskom planu (u daljnjem tekstu: alternativne mjere) subjektima određenim ovim Zakonom određuje se obveza uštede energije kroz sustav obveza energetskih ušteda (u daljnjem tekstu: sustav obveza).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(2) Udio ušteda kroz sustav obveza određen je kao dio nacionalnog cilja iz Nacionalnog akcijskog plana i jednak je razlici nacionalnog cilja i dijela cilja koji se planira postići alternativnim mjerama.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(3) Stranke obveznice sustava obveza su u:</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2019. godini opskrbljivači energije i sve njihove povezane osobe koje su opskrbljivači energije, ako su u 2017. godini krajnjim kupcima ili do distribucijskih stanica koje prodaju energiju krajnjim kupcima isporučili ukupno više od 300 GWh energije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2020. godini opskrbljivači energije i sve njihove povezane osobe koje su opskrbljivači energije, ako su u 2018. godini krajnjim kupcima ili do distribucijskih stanica koje prodaju energiju krajnjim kupcima isporučili ukupno više od 100 GWh energije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u 2021. i svakoj narednoj godini opskrbljivači energije i sve njihove povezane osobe koje su opskrbljivači energije, ako su u pretprošloj godini krajnjim kupcima ili do distribucijskih stanica koje prodaju energiju krajnjim kupcima isporučili ukupno više od 50 GWh energije.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xml:space="preserve">(4) Strankama obveznicama sustava obveza iz stavka 3. ovoga članka Ministarstvo po službenoj dužnosti do 30. lipnja tekuće godine rješenjem određuje obvezu uštede u idućoj kalendarskoj </w:t>
      </w:r>
      <w:r w:rsidRPr="009718EC">
        <w:rPr>
          <w:rFonts w:ascii="Times New Roman" w:eastAsia="Times New Roman" w:hAnsi="Times New Roman"/>
          <w:sz w:val="24"/>
          <w:szCs w:val="24"/>
          <w:lang w:eastAsia="hr-HR"/>
        </w:rPr>
        <w:lastRenderedPageBreak/>
        <w:t>godini u kWh, temeljem podatka o energiji koju je stranka obveznica isporučila krajnjim kupcima ili do distribucijskih stanica koje prodaju energiju krajnjim kupcima u pretprošloj godini (u daljnjem tekstu: obveza).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(5) Ministarstvo rješenjem iz stavka 4. ovoga članka stranki obveznici određuje početnu osnovicu obveze u visini od 1,5 % njihove godišnje prodaje energije krajnjim kupcima u pretprošloj godini.</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(6) Ministarstvo u rješenju iz stavka 4. ovoga članka početnu osnovicu iz stavka 5. ovoga članka za izračun obveze umanjuje za: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udio cilja koji se ostvaruje alternativnim mjerama u razmatranoj godini, počevši od 2017. godine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dio biogoriva koji su subjekti (koji su i stranke obveznice) koji stavljaju na tržište dizelsko gorivo ili motorni benzin za pogon motornih vozila u određenom postotku imali obvezu staviti sukladno posebnom propisu kojim se uređuje korištenje biogoriva za prijevoz</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dio energije koju je opskrbljivač energije isporučio kupcu koji je proizvođač, distributer ili opskrbljivač toplinske energije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dio energije koju je opskrbljivač energije isporučio industriji koja je obveznik temeljem uredbe kojom se propisuje način trgovanja emisijskim jedinicama stakleničkih plinova.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(7) Umanjenja temeljem stavka 6. podstavaka 2., 3. i 4. ovoga članka obračunavaju se na početnu osnovicu za sve povezane osobe stranke obveznice i ne mogu prijeći 25 % godišnje prodaje energije krajnjim kupcima ili isporuka do distribucijskih stanica koje prodaju energiju krajnjim kupcima stranke obveznice.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(8) Ministarstvo u rješenju iz stavka 4. ovoga članka umanjuje obvezu izračunanu na osnovici sukladno stavcima 6. i 7. ovoga članka za uštedu energije koju je stranka obveznica ostvarila preko visine obveze ostvarene u prošlim godinama, ako stranka obveznica nije u izvješću iz stavka 12. ovoga članka postavila zahtjev da se takva ušteda ili njihov dio obračuna u neku od idućih godina trenutačnog ili prvog narednog razdoblja kumuliranja.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(9) Za neostvarene uštede stranke obveznice koje ne prelaze 10 % ukupne obveze u prošloj godini Ministarstvo će u rješenju iz stavka 4. ovoga članka obvezu stranke obveznice u idućoj godini uvećati za neostvarene uštede stranke obveznice iz prošle godine.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(10) Stranke obveznice dužne su obvezu ostvariti:</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ulaganjem u poboljšanje energetske učinkovitosti i poticanjem energetske učinkovitosti u krajnjoj potrošnji, i to na način da se ta ulaganja ostvare kao nove uštede energije u skladu s pravilnikom iz članka 22. stavka 1. ovoga Zakona, ne isključujući ulaganja u opremu za proizvodnju električne energije i samoopskrbu energijom, male i mikrokogeneracije, napredna brojila za očitanje potrošnje energije kod krajnjih kupaca, odnosno kupaca energije i sva druga ulaganja i poticanja za koje stranka obveznica dokaže novu uštedu ili</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kupnjom utvrđenih ušteda energije ili</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lastRenderedPageBreak/>
        <w:t>– uplatom u skladu sa stavkom 14. ovoga članka.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(11) Stranke obveznice dužne su obvezu ostvariti:</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ulaganjem i poticanjem energetske učinkovitosti koja dovode do većeg učinka nego što bi to imala mjera učinjena na razini koju nalažu propisi i tehnički standardi</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ulaganjem i poticanjem mjera ili aktivnosti u dijelu u kojem, u trenutku kada se ulaganje ugovara ili započinje izvoditi, nisu već obuhvaćene alternativnim mjerama, a radi izbjegavanja dvostrukog obračuna ušteda.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(12) Stranke obveznice dužne su od 2020. godine Ministarstvu jednom godišnje do 1. ožujka tekuće godine za prošlu godinu dostaviti izvješće o ostvarenim uštedama, krajnjim kupcima i njihovoj potrošnji, kao zbirne statističke informacije o krajnjim kupcima (i utvrditi bitne promjene u odnosu na prethodno dostavljene informacije) i trenutačne informacije o potrošnji krajnjih kupaca, uključujući profile opterećenja, segmentaciju kupaca i zemljopisni položaj kupaca.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(13) U prvom izvješću o ostvarenim uštedama stranka obveznica dužna je prijaviti sve ostvarene nove uštede koje su rezultat mjera koje je stranka obveznica poduzela nakon 1. siječnja 2014., uključujući ulaganje u i poticanje putem alternativnih mjera, isključivo u iznosu koji je proporcionalan ulaganju njezinih vlastitih sredstava, i to kao ostvarenje obveze u protekloj kalendarskoj godini, a stranka obveznica može postaviti zahtjev da se takva ušteda ili njihov dio obračuna u neku od idućih godina trenutnog ili prvog narednog razdoblja kumuliranja.</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(14) Za neostvareni dio obveze iz prethodne godine koji prelazi 10 % obveze Ministarstvo će po službenoj dužnosti, rješenjem koje donosi do 31. ožujka tekuće godine, na temelju troškova ulaganja Fonda u alternativne mjere u kalendarskoj godini koja je prethodila godini u kojoj je obveza određena, odrediti iznos koji je stranka obveznica na ime neostvarene uštede dužna jednokratno uplatiti Fondu s rokom uplate od 30 dana od dana dostave rješenja stranki.</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(15) Stranka obveznica može podnijeti zahtjev Fondu za plaćanje utvrđenog iznosa iz stavka 14. ovoga članka u ratama u razdoblju ne dužem od jedne godine.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(16) Fond je dužan javno objaviti troškove ulaganja u alternativne mjere po ušteđenom kWh energije u prethodnoj kalendarskoj godini do 15. lipnja tekuće godine.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(17) U ostvarenju obveze stranke obveznice se potiče povećavati energetsku učinkovitost prioritetno u kućanstvima koja su pogođena energetskim siromaštvom ili u socijalnim prostorima za stanovanje.</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(18) Protiv rješenja iz stavaka 4. i 14. ovoga članka žalba nije dopuštena, ali se može pokrenuti upravni spor pred nadležnim upravnim sudom.</w:t>
      </w:r>
    </w:p>
    <w:p w:rsidR="005E3376" w:rsidRPr="009718EC" w:rsidRDefault="005E3376" w:rsidP="005E3376">
      <w:pPr>
        <w:spacing w:before="100" w:beforeAutospacing="1" w:after="100" w:afterAutospacing="1" w:line="240" w:lineRule="auto"/>
        <w:jc w:val="both"/>
        <w:rPr>
          <w:rFonts w:ascii="Times New Roman" w:eastAsia="Times New Roman" w:hAnsi="Times New Roman"/>
          <w:sz w:val="24"/>
          <w:szCs w:val="24"/>
          <w:lang w:eastAsia="hr-HR"/>
        </w:rPr>
      </w:pPr>
      <w:r w:rsidRPr="009718EC">
        <w:rPr>
          <w:rFonts w:ascii="Times New Roman" w:eastAsia="Times New Roman" w:hAnsi="Times New Roman"/>
          <w:sz w:val="24"/>
          <w:szCs w:val="24"/>
          <w:lang w:eastAsia="hr-HR"/>
        </w:rPr>
        <w:t xml:space="preserve">(19) Ministar pravilnikom određuje udio nacionalnog okvirnog cilja koji će se ostvariti kroz alternativne mjere i kroz sustav obveza, načine i razdoblja izvještavanja te pobliže rokove u kojima su stranke obveznice dužne podnositi izvješća, metode za izračun ušteda energije koje uključuju i predviđene uštede na temelju rezultata prethodnih energetskih poboljšanja u sličnim postrojenjima, mjerenja, procjene i utvrđivanje na temelju istraživanja kojima se utvrđuje </w:t>
      </w:r>
      <w:r w:rsidRPr="009718EC">
        <w:rPr>
          <w:rFonts w:ascii="Times New Roman" w:eastAsia="Times New Roman" w:hAnsi="Times New Roman"/>
          <w:sz w:val="24"/>
          <w:szCs w:val="24"/>
          <w:lang w:eastAsia="hr-HR"/>
        </w:rPr>
        <w:lastRenderedPageBreak/>
        <w:t>učinak na ponašanje potrošača, opseg obuhvata pojma i obveze povezanih osoba i način raspodjele obveza među njima, trajanje razdoblja kumuliranja, posljedicu uračunavanja na zahtjev stranke obveznice ranije neobračunate obveze u koju od prethodnih ili budućih godina, način na koji će se nadoknaditi ušteda neostvarena na ime ukupne količine energije koju su u pretprošloj godini krajnjim kupcima isporučili opskrbljivači energije koji skupno sa svim povezanim osobama nisu premašili 50 GWh ili ušteda neostvarena davanjem prioritetnog statusa ostvarenja uštede povećanjem energetske učinkovitosti u kućanstvima koja su pogođena energetskim siromaštvom ili u socijalnim stanovima, načine poticanja povećanja energetske učinkovitosti prioritetno u kućanstvima koja su pogođena energetskim siromaštvom ili u socijalnim prostorima za stanovanje, trgovanje utvrđenim uštedama energije, uvjete pod kojima se ulaganje iz stavka 11. ovoga članka mora ostvariti da bi se smatralo da mjera ima veći učinak mjera učinjena na razini koju nalažu propisi i tehnički standardi, način izvještavanja ili planiranja stranaka obveznica na godišnjoj razini o ostvarenim uštedama energije u krajnjoj potrošnji i informacije o krajnjim kupcima i njihovoj potrošnji koje su stranke obveznice dužne dostavljati Ministarstvu, namjenu sredstava uplaćenih po stavku 14. ovoga članka i uvjete plaćanja u ratama i kriterije za ostvarivanje prava iz stavka 15. ovoga članka.</w:t>
      </w:r>
    </w:p>
    <w:p w:rsidR="002D42CE" w:rsidRPr="00CA2DF1" w:rsidRDefault="002D42CE" w:rsidP="006E635E">
      <w:pPr>
        <w:spacing w:after="0" w:line="240" w:lineRule="auto"/>
        <w:jc w:val="both"/>
        <w:rPr>
          <w:rFonts w:ascii="Times New Roman" w:hAnsi="Times New Roman"/>
          <w:sz w:val="24"/>
          <w:szCs w:val="24"/>
          <w:lang w:eastAsia="hr-HR"/>
        </w:rPr>
      </w:pPr>
    </w:p>
    <w:sectPr w:rsidR="002D42CE" w:rsidRPr="00CA2D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6B68"/>
    <w:multiLevelType w:val="hybridMultilevel"/>
    <w:tmpl w:val="3B660B9A"/>
    <w:lvl w:ilvl="0" w:tplc="13D67D52">
      <w:start w:val="17"/>
      <w:numFmt w:val="bullet"/>
      <w:lvlText w:val="-"/>
      <w:lvlJc w:val="left"/>
      <w:pPr>
        <w:ind w:left="720" w:hanging="360"/>
      </w:pPr>
      <w:rPr>
        <w:rFonts w:ascii="Calibri" w:eastAsia="Times New Roman" w:hAnsi="Calibri" w:cs="Helvetica" w:hint="default"/>
        <w:color w:val="666666"/>
        <w:sz w:val="2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06066C2"/>
    <w:multiLevelType w:val="hybridMultilevel"/>
    <w:tmpl w:val="FCA26866"/>
    <w:lvl w:ilvl="0" w:tplc="4D9A5D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11"/>
    <w:rsid w:val="00192611"/>
    <w:rsid w:val="00272473"/>
    <w:rsid w:val="002856EC"/>
    <w:rsid w:val="002D42CE"/>
    <w:rsid w:val="003A7F62"/>
    <w:rsid w:val="0054272A"/>
    <w:rsid w:val="005E3376"/>
    <w:rsid w:val="006E635E"/>
    <w:rsid w:val="00763665"/>
    <w:rsid w:val="00950DCD"/>
    <w:rsid w:val="00AD0327"/>
    <w:rsid w:val="00B8146C"/>
    <w:rsid w:val="00BD398F"/>
    <w:rsid w:val="00C63BED"/>
    <w:rsid w:val="00C6511C"/>
    <w:rsid w:val="00CA2DF1"/>
    <w:rsid w:val="00CE137E"/>
    <w:rsid w:val="00D3697F"/>
    <w:rsid w:val="00D84A0B"/>
    <w:rsid w:val="00E730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9D80"/>
  <w15:chartTrackingRefBased/>
  <w15:docId w15:val="{78EDB98D-99AF-412F-9203-F7CB2AFB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611"/>
    <w:rPr>
      <w:rFonts w:ascii="Calibri" w:eastAsia="Calibri" w:hAnsi="Calibri" w:cs="Times New Roman"/>
    </w:rPr>
  </w:style>
  <w:style w:type="paragraph" w:styleId="Naslov1">
    <w:name w:val="heading 1"/>
    <w:basedOn w:val="Normal"/>
    <w:next w:val="Normal"/>
    <w:link w:val="Naslov1Char"/>
    <w:uiPriority w:val="9"/>
    <w:qFormat/>
    <w:rsid w:val="00192611"/>
    <w:pPr>
      <w:keepNext/>
      <w:keepLines/>
      <w:spacing w:before="400" w:after="40" w:line="240" w:lineRule="auto"/>
      <w:outlineLvl w:val="0"/>
    </w:pPr>
    <w:rPr>
      <w:rFonts w:ascii="Calibri Light" w:eastAsia="Times New Roman" w:hAnsi="Calibri Light"/>
      <w:color w:val="1F3864"/>
      <w:sz w:val="36"/>
      <w:szCs w:val="36"/>
    </w:rPr>
  </w:style>
  <w:style w:type="paragraph" w:styleId="Naslov2">
    <w:name w:val="heading 2"/>
    <w:basedOn w:val="Normal"/>
    <w:next w:val="Normal"/>
    <w:link w:val="Naslov2Char"/>
    <w:uiPriority w:val="9"/>
    <w:unhideWhenUsed/>
    <w:qFormat/>
    <w:rsid w:val="00192611"/>
    <w:pPr>
      <w:keepNext/>
      <w:keepLines/>
      <w:spacing w:before="40" w:after="0" w:line="240" w:lineRule="auto"/>
      <w:outlineLvl w:val="1"/>
    </w:pPr>
    <w:rPr>
      <w:rFonts w:ascii="Calibri Light" w:eastAsia="Times New Roman" w:hAnsi="Calibri Light"/>
      <w:color w:val="2F5496"/>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92611"/>
    <w:rPr>
      <w:rFonts w:ascii="Calibri Light" w:eastAsia="Times New Roman" w:hAnsi="Calibri Light" w:cs="Times New Roman"/>
      <w:color w:val="1F3864"/>
      <w:sz w:val="36"/>
      <w:szCs w:val="36"/>
    </w:rPr>
  </w:style>
  <w:style w:type="character" w:customStyle="1" w:styleId="Naslov2Char">
    <w:name w:val="Naslov 2 Char"/>
    <w:basedOn w:val="Zadanifontodlomka"/>
    <w:link w:val="Naslov2"/>
    <w:uiPriority w:val="9"/>
    <w:rsid w:val="00192611"/>
    <w:rPr>
      <w:rFonts w:ascii="Calibri Light" w:eastAsia="Times New Roman" w:hAnsi="Calibri Light" w:cs="Times New Roman"/>
      <w:color w:val="2F5496"/>
      <w:sz w:val="32"/>
      <w:szCs w:val="32"/>
    </w:rPr>
  </w:style>
  <w:style w:type="paragraph" w:customStyle="1" w:styleId="t-9-8">
    <w:name w:val="t-9-8"/>
    <w:basedOn w:val="Normal"/>
    <w:rsid w:val="00192611"/>
    <w:pPr>
      <w:spacing w:before="100" w:beforeAutospacing="1" w:after="100" w:afterAutospacing="1" w:line="240" w:lineRule="auto"/>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192611"/>
    <w:pPr>
      <w:spacing w:after="0" w:line="204" w:lineRule="auto"/>
      <w:contextualSpacing/>
    </w:pPr>
    <w:rPr>
      <w:rFonts w:ascii="Calibri Light" w:eastAsia="Times New Roman" w:hAnsi="Calibri Light"/>
      <w:caps/>
      <w:color w:val="44546A"/>
      <w:spacing w:val="-15"/>
      <w:sz w:val="72"/>
      <w:szCs w:val="72"/>
    </w:rPr>
  </w:style>
  <w:style w:type="character" w:customStyle="1" w:styleId="NaslovChar">
    <w:name w:val="Naslov Char"/>
    <w:basedOn w:val="Zadanifontodlomka"/>
    <w:link w:val="Naslov"/>
    <w:uiPriority w:val="10"/>
    <w:rsid w:val="00192611"/>
    <w:rPr>
      <w:rFonts w:ascii="Calibri Light" w:eastAsia="Times New Roman" w:hAnsi="Calibri Light" w:cs="Times New Roman"/>
      <w:caps/>
      <w:color w:val="44546A"/>
      <w:spacing w:val="-15"/>
      <w:sz w:val="72"/>
      <w:szCs w:val="72"/>
    </w:rPr>
  </w:style>
  <w:style w:type="paragraph" w:styleId="Odlomakpopisa">
    <w:name w:val="List Paragraph"/>
    <w:basedOn w:val="Normal"/>
    <w:uiPriority w:val="34"/>
    <w:qFormat/>
    <w:rsid w:val="006E635E"/>
    <w:pPr>
      <w:ind w:left="720"/>
      <w:contextualSpacing/>
    </w:pPr>
  </w:style>
  <w:style w:type="paragraph" w:customStyle="1" w:styleId="box456671">
    <w:name w:val="box_456671"/>
    <w:basedOn w:val="Normal"/>
    <w:rsid w:val="005E337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t-normal-000020">
    <w:name w:val="pt-normal-000020"/>
    <w:basedOn w:val="Normal"/>
    <w:rsid w:val="003A7F6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defaultparagraphfont-000017">
    <w:name w:val="pt-defaultparagraphfont-000017"/>
    <w:basedOn w:val="Zadanifontodlomka"/>
    <w:rsid w:val="003A7F62"/>
  </w:style>
  <w:style w:type="paragraph" w:styleId="Tekstbalonia">
    <w:name w:val="Balloon Text"/>
    <w:basedOn w:val="Normal"/>
    <w:link w:val="TekstbaloniaChar"/>
    <w:uiPriority w:val="99"/>
    <w:semiHidden/>
    <w:unhideWhenUsed/>
    <w:rsid w:val="00B8146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14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9</Pages>
  <Words>2694</Words>
  <Characters>15361</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Sanja Ivelj</cp:lastModifiedBy>
  <cp:revision>5</cp:revision>
  <cp:lastPrinted>2020-01-07T15:06:00Z</cp:lastPrinted>
  <dcterms:created xsi:type="dcterms:W3CDTF">2020-01-07T09:41:00Z</dcterms:created>
  <dcterms:modified xsi:type="dcterms:W3CDTF">2020-01-08T09:11:00Z</dcterms:modified>
</cp:coreProperties>
</file>