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1C6" w:rsidRPr="008B5E2C" w:rsidRDefault="00ED51C6" w:rsidP="00ED51C6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8B5E2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PRILOG 1.</w:t>
      </w:r>
    </w:p>
    <w:p w:rsidR="00ED51C6" w:rsidRPr="008B5E2C" w:rsidRDefault="00ED51C6" w:rsidP="00ED51C6">
      <w:pPr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8B5E2C">
        <w:rPr>
          <w:rFonts w:ascii="Times New Roman" w:eastAsia="Times New Roman" w:hAnsi="Times New Roman"/>
          <w:sz w:val="24"/>
          <w:szCs w:val="24"/>
          <w:lang w:eastAsia="hr-HR"/>
        </w:rPr>
        <w:t xml:space="preserve">OBRAZAC </w:t>
      </w:r>
    </w:p>
    <w:p w:rsidR="00ED51C6" w:rsidRPr="008B5E2C" w:rsidRDefault="00ED51C6" w:rsidP="00ED51C6">
      <w:pPr>
        <w:jc w:val="center"/>
        <w:rPr>
          <w:rFonts w:ascii="Times New Roman" w:hAnsi="Times New Roman"/>
          <w:sz w:val="24"/>
          <w:szCs w:val="24"/>
        </w:rPr>
      </w:pPr>
      <w:r w:rsidRPr="008B5E2C">
        <w:rPr>
          <w:rFonts w:ascii="Times New Roman" w:eastAsia="Times New Roman" w:hAnsi="Times New Roman"/>
          <w:sz w:val="24"/>
          <w:szCs w:val="24"/>
          <w:lang w:eastAsia="hr-HR"/>
        </w:rPr>
        <w:t>PRETHODNI TEST MALOG I SREDNJEG PODUZETNIŠTVA</w:t>
      </w:r>
    </w:p>
    <w:p w:rsidR="00ED51C6" w:rsidRPr="008B5E2C" w:rsidRDefault="00ED51C6" w:rsidP="00ED51C6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A724C" w:rsidRDefault="00BA724C" w:rsidP="00ED51C6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BA724C">
        <w:rPr>
          <w:rFonts w:ascii="Times New Roman" w:eastAsia="Times New Roman" w:hAnsi="Times New Roman"/>
          <w:sz w:val="24"/>
          <w:szCs w:val="24"/>
          <w:lang w:eastAsia="hr-HR"/>
        </w:rPr>
        <w:t>MINISTARSTVO GOS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PODARSTVA, PODUZETNIŠTVA I OBRT</w:t>
      </w:r>
    </w:p>
    <w:p w:rsidR="00ED51C6" w:rsidRPr="008B5E2C" w:rsidRDefault="00ED51C6" w:rsidP="00ED51C6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8B5E2C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BA724C" w:rsidRPr="00BA724C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>011-01/20-01/09</w:t>
      </w:r>
    </w:p>
    <w:p w:rsidR="00ED51C6" w:rsidRPr="008B5E2C" w:rsidRDefault="00ED51C6" w:rsidP="00ED51C6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8B5E2C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BA724C" w:rsidRPr="00BA724C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>526-04-01-02/1-20-2</w:t>
      </w:r>
    </w:p>
    <w:p w:rsidR="00ED51C6" w:rsidRPr="008B5E2C" w:rsidRDefault="00BA724C" w:rsidP="00ED51C6">
      <w:pPr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Zagreb, 22. siječnja 2020. godine</w:t>
      </w:r>
    </w:p>
    <w:p w:rsidR="00ED51C6" w:rsidRPr="008B5E2C" w:rsidRDefault="00ED51C6" w:rsidP="00ED51C6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D51C6" w:rsidRPr="008B5E2C" w:rsidRDefault="00ED51C6" w:rsidP="00ED51C6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D51C6" w:rsidRPr="008B5E2C" w:rsidRDefault="00ED51C6" w:rsidP="00ED51C6">
      <w:pPr>
        <w:jc w:val="center"/>
        <w:rPr>
          <w:rFonts w:ascii="Times New Roman" w:eastAsia="Times New Roman" w:hAnsi="Times New Roman"/>
          <w:sz w:val="24"/>
          <w:szCs w:val="24"/>
          <w:lang w:val="de-DE" w:eastAsia="hr-HR"/>
        </w:rPr>
      </w:pPr>
      <w:r w:rsidRPr="008B5E2C">
        <w:rPr>
          <w:rFonts w:ascii="Times New Roman" w:eastAsia="Times New Roman" w:hAnsi="Times New Roman"/>
          <w:sz w:val="24"/>
          <w:szCs w:val="24"/>
          <w:lang w:val="de-DE" w:eastAsia="hr-HR"/>
        </w:rPr>
        <w:t xml:space="preserve">PRETHODNI TEST MALOG I SREDNJEG PODUZETNIŠTVA </w:t>
      </w:r>
    </w:p>
    <w:p w:rsidR="00ED51C6" w:rsidRPr="008B5E2C" w:rsidRDefault="00ED51C6" w:rsidP="00ED51C6">
      <w:pPr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8B5E2C">
        <w:rPr>
          <w:rFonts w:ascii="Times New Roman" w:eastAsia="Times New Roman" w:hAnsi="Times New Roman"/>
          <w:sz w:val="24"/>
          <w:szCs w:val="24"/>
          <w:lang w:val="de-DE" w:eastAsia="hr-HR"/>
        </w:rPr>
        <w:t xml:space="preserve">ZA </w:t>
      </w:r>
      <w:r w:rsidR="00BA724C" w:rsidRPr="00BA724C">
        <w:rPr>
          <w:rFonts w:ascii="Times New Roman" w:eastAsia="Times New Roman" w:hAnsi="Times New Roman"/>
          <w:sz w:val="24"/>
          <w:szCs w:val="24"/>
          <w:lang w:eastAsia="hr-HR"/>
        </w:rPr>
        <w:t>PRAVILNIK O POSTUPKU I NAČINU IZDAVANJA DOZVOLA (LICENCIJA) ZA IZVOĐENJE NAUKOVANJA</w:t>
      </w:r>
    </w:p>
    <w:p w:rsidR="00ED51C6" w:rsidRPr="008B5E2C" w:rsidRDefault="00ED51C6" w:rsidP="00ED51C6">
      <w:pPr>
        <w:jc w:val="center"/>
        <w:rPr>
          <w:rFonts w:ascii="Times New Roman" w:eastAsia="Times New Roman" w:hAnsi="Times New Roman"/>
          <w:sz w:val="24"/>
          <w:szCs w:val="24"/>
          <w:lang w:val="de-DE" w:eastAsia="hr-HR"/>
        </w:rPr>
      </w:pPr>
    </w:p>
    <w:p w:rsidR="00ED51C6" w:rsidRPr="008B5E2C" w:rsidRDefault="00ED51C6" w:rsidP="00ED51C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B5E2C">
        <w:rPr>
          <w:rFonts w:ascii="Times New Roman" w:eastAsia="Times New Roman" w:hAnsi="Times New Roman"/>
          <w:sz w:val="24"/>
          <w:szCs w:val="24"/>
          <w:lang w:eastAsia="hr-HR"/>
        </w:rPr>
        <w:t xml:space="preserve">Ovaj Obrazac koristi se u postupku pripremanja Prethodnog testa malog i srednjeg poduzetništva (Prethodni MSP test) zbog utvrđivanja potrebe za provedbu postupka procjene učinka propisa na malo gospodarstvo i izrade testa malog i srednjeg poduzetništva (MSP test). </w:t>
      </w:r>
    </w:p>
    <w:p w:rsidR="00ED51C6" w:rsidRPr="008B5E2C" w:rsidRDefault="00ED51C6" w:rsidP="00ED51C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D51C6" w:rsidRPr="008B5E2C" w:rsidRDefault="00ED51C6" w:rsidP="00ED51C6">
      <w:pPr>
        <w:jc w:val="both"/>
        <w:rPr>
          <w:rFonts w:ascii="Times New Roman" w:eastAsia="Times New Roman" w:hAnsi="Times New Roman"/>
          <w:vanish/>
          <w:sz w:val="24"/>
          <w:szCs w:val="24"/>
          <w:lang w:eastAsia="hr-HR"/>
        </w:rPr>
      </w:pPr>
    </w:p>
    <w:tbl>
      <w:tblPr>
        <w:tblpPr w:leftFromText="567" w:rightFromText="284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667"/>
        <w:gridCol w:w="7483"/>
        <w:gridCol w:w="461"/>
        <w:gridCol w:w="434"/>
      </w:tblGrid>
      <w:tr w:rsidR="00ED51C6" w:rsidRPr="008B5E2C" w:rsidTr="00A75C6C">
        <w:tc>
          <w:tcPr>
            <w:tcW w:w="6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51C6" w:rsidRPr="008B5E2C" w:rsidRDefault="00ED51C6" w:rsidP="00A75C6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E2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8378" w:type="dxa"/>
            <w:gridSpan w:val="3"/>
            <w:tcBorders>
              <w:bottom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51C6" w:rsidRPr="008B5E2C" w:rsidRDefault="00ED51C6" w:rsidP="00A75C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E2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Ukratko, jasno i sažeto odgovorite na pitanja:</w:t>
            </w:r>
          </w:p>
        </w:tc>
      </w:tr>
      <w:tr w:rsidR="00ED51C6" w:rsidRPr="008B5E2C" w:rsidTr="00A75C6C">
        <w:tc>
          <w:tcPr>
            <w:tcW w:w="6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51C6" w:rsidRPr="008B5E2C" w:rsidRDefault="00ED51C6" w:rsidP="00A75C6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E2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837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ED51C6" w:rsidRPr="008B5E2C" w:rsidRDefault="00ED51C6" w:rsidP="00A75C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E2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Opišite problem koji se planira riješiti, koji cilj se planira postići i u kojem roku, moguće učinke koje će predloženo normativno rješenje imati na male i srednje poduzetnike ili određenu gospodarsku djelatnost u smislu zaposlenosti, prihoda ili dobiti i drugih pokazatelja.</w:t>
            </w:r>
          </w:p>
        </w:tc>
      </w:tr>
      <w:tr w:rsidR="00ED51C6" w:rsidRPr="008B5E2C" w:rsidTr="00BA724C">
        <w:trPr>
          <w:trHeight w:hRule="exact" w:val="1688"/>
        </w:trPr>
        <w:tc>
          <w:tcPr>
            <w:tcW w:w="667" w:type="dxa"/>
            <w:vMerge/>
            <w:hideMark/>
          </w:tcPr>
          <w:p w:rsidR="00ED51C6" w:rsidRPr="008B5E2C" w:rsidRDefault="00ED51C6" w:rsidP="00A75C6C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378" w:type="dxa"/>
            <w:gridSpan w:val="3"/>
            <w:tcBorders>
              <w:top w:val="dashSmallGap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51C6" w:rsidRPr="008B5E2C" w:rsidRDefault="00BA724C" w:rsidP="00A75C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A72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Zakonom o izmjenama i dopunama Zakona o obrtu („Narodne novine“, broj 127/19) koji je stupio na snagu 1. siječnja 2020. godine utvrđena je obveza donošenja Pravilnika o postupku i načinu izdavanja dozvola (licencija) za izvođenje naukovanja u roku od šest mjeseci od dana stupanja na snagu navedenoga Zakona. Navedenim Pravilnikom propisuje se postupak i način izdavanja dozvola (licencija) za izvođenje naukovanja.</w:t>
            </w:r>
          </w:p>
        </w:tc>
      </w:tr>
      <w:tr w:rsidR="00ED51C6" w:rsidRPr="008B5E2C" w:rsidTr="00A75C6C">
        <w:tc>
          <w:tcPr>
            <w:tcW w:w="6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51C6" w:rsidRPr="008B5E2C" w:rsidRDefault="00ED51C6" w:rsidP="00A75C6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51C6" w:rsidRPr="008B5E2C" w:rsidRDefault="00ED51C6" w:rsidP="00A75C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E2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Odgovorite sa »DA« ili »NE«, uz obvezni opis sljedećih učinaka:</w:t>
            </w:r>
          </w:p>
        </w:tc>
        <w:tc>
          <w:tcPr>
            <w:tcW w:w="461" w:type="dxa"/>
            <w:tcBorders>
              <w:top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ED51C6" w:rsidRPr="008B5E2C" w:rsidRDefault="00ED51C6" w:rsidP="00A75C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E2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434" w:type="dxa"/>
            <w:tcBorders>
              <w:top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ED51C6" w:rsidRPr="008B5E2C" w:rsidRDefault="00ED51C6" w:rsidP="00A75C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E2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NE</w:t>
            </w:r>
          </w:p>
        </w:tc>
      </w:tr>
      <w:tr w:rsidR="00ED51C6" w:rsidRPr="008B5E2C" w:rsidTr="00A75C6C">
        <w:tc>
          <w:tcPr>
            <w:tcW w:w="6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51C6" w:rsidRPr="008B5E2C" w:rsidRDefault="00ED51C6" w:rsidP="00A75C6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E2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7483" w:type="dxa"/>
            <w:tcBorders>
              <w:top w:val="single" w:sz="4" w:space="0" w:color="auto"/>
              <w:bottom w:val="dashSmallGap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ED51C6" w:rsidRPr="00A864E0" w:rsidRDefault="00ED51C6" w:rsidP="00A75C6C">
            <w:pPr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hr-HR"/>
              </w:rPr>
            </w:pPr>
            <w:r w:rsidRPr="00A864E0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hr-HR"/>
              </w:rPr>
              <w:t xml:space="preserve"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 </w:t>
            </w:r>
          </w:p>
        </w:tc>
        <w:tc>
          <w:tcPr>
            <w:tcW w:w="4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51C6" w:rsidRPr="008B5E2C" w:rsidRDefault="00ED51C6" w:rsidP="00A75C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4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51C6" w:rsidRPr="008B5E2C" w:rsidRDefault="00BA724C" w:rsidP="00A75C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NE</w:t>
            </w:r>
          </w:p>
        </w:tc>
      </w:tr>
      <w:tr w:rsidR="00ED51C6" w:rsidRPr="008B5E2C" w:rsidTr="00A75C6C">
        <w:trPr>
          <w:trHeight w:hRule="exact" w:val="680"/>
        </w:trPr>
        <w:tc>
          <w:tcPr>
            <w:tcW w:w="6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51C6" w:rsidRPr="008B5E2C" w:rsidRDefault="00ED51C6" w:rsidP="00A75C6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378" w:type="dxa"/>
            <w:gridSpan w:val="3"/>
            <w:tcBorders>
              <w:top w:val="dashSmallGap" w:sz="4" w:space="0" w:color="auto"/>
              <w:bottom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ED51C6" w:rsidRPr="008B5E2C" w:rsidRDefault="00BA724C" w:rsidP="00A75C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Normativnim rješenjem ne propisuju se administrativni troškovi postupaka za male i srednje poduzetnike.</w:t>
            </w:r>
          </w:p>
        </w:tc>
      </w:tr>
      <w:tr w:rsidR="00ED51C6" w:rsidRPr="008B5E2C" w:rsidTr="00A75C6C">
        <w:tc>
          <w:tcPr>
            <w:tcW w:w="6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51C6" w:rsidRPr="008B5E2C" w:rsidRDefault="00ED51C6" w:rsidP="00A75C6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E2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7483" w:type="dxa"/>
            <w:tcBorders>
              <w:bottom w:val="dashSmallGap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ED51C6" w:rsidRPr="008B5E2C" w:rsidRDefault="00ED51C6" w:rsidP="00A75C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E2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Da li će propis imati učinke na tržišnu konkurenciju i konkurentnost unutarnjeg tržišta EU u smislu prepreka slobodi tržišne konkurencije? </w:t>
            </w:r>
          </w:p>
        </w:tc>
        <w:tc>
          <w:tcPr>
            <w:tcW w:w="461" w:type="dxa"/>
            <w:tcBorders>
              <w:bottom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51C6" w:rsidRPr="008B5E2C" w:rsidRDefault="00ED51C6" w:rsidP="00A75C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434" w:type="dxa"/>
            <w:tcBorders>
              <w:bottom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51C6" w:rsidRPr="008B5E2C" w:rsidRDefault="00BA724C" w:rsidP="00A75C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NE</w:t>
            </w:r>
          </w:p>
        </w:tc>
      </w:tr>
      <w:tr w:rsidR="00ED51C6" w:rsidRPr="008B5E2C" w:rsidTr="00A75C6C">
        <w:trPr>
          <w:trHeight w:hRule="exact" w:val="680"/>
        </w:trPr>
        <w:tc>
          <w:tcPr>
            <w:tcW w:w="667" w:type="dxa"/>
            <w:vMerge/>
            <w:hideMark/>
          </w:tcPr>
          <w:p w:rsidR="00ED51C6" w:rsidRPr="008B5E2C" w:rsidRDefault="00ED51C6" w:rsidP="00A75C6C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378" w:type="dxa"/>
            <w:gridSpan w:val="3"/>
            <w:tcBorders>
              <w:top w:val="dashSmallGap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51C6" w:rsidRPr="008B5E2C" w:rsidRDefault="00BA724C" w:rsidP="00A75C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A72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Normativno rješenje neće imati učinke na tržišnu konkurenciju i konkurentnost unutarnjeg tržišta EU u smislu prepreka slobodi tržišne konkurencije.</w:t>
            </w:r>
          </w:p>
        </w:tc>
      </w:tr>
      <w:tr w:rsidR="00ED51C6" w:rsidRPr="008B5E2C" w:rsidTr="00A75C6C">
        <w:tc>
          <w:tcPr>
            <w:tcW w:w="6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51C6" w:rsidRPr="008B5E2C" w:rsidRDefault="00ED51C6" w:rsidP="00A75C6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ED51C6" w:rsidRPr="008B5E2C" w:rsidRDefault="00ED51C6" w:rsidP="00A75C6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E2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7483" w:type="dxa"/>
            <w:tcBorders>
              <w:bottom w:val="dashSmallGap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ED51C6" w:rsidRPr="008B5E2C" w:rsidRDefault="00ED51C6" w:rsidP="00A75C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E2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Da li propis uvodi naknade i davanja koje će imati učinke na financijske rezultate poslovanja poduzetnika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</w:t>
            </w:r>
            <w:r w:rsidRPr="008B5E2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te da li postoji trošak prilagodbe zbog primjene propisa?</w:t>
            </w:r>
          </w:p>
        </w:tc>
        <w:tc>
          <w:tcPr>
            <w:tcW w:w="461" w:type="dxa"/>
            <w:tcBorders>
              <w:bottom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51C6" w:rsidRPr="008B5E2C" w:rsidRDefault="00ED51C6" w:rsidP="00A75C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434" w:type="dxa"/>
            <w:tcBorders>
              <w:bottom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51C6" w:rsidRPr="008B5E2C" w:rsidRDefault="00BA724C" w:rsidP="00A75C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NE</w:t>
            </w:r>
          </w:p>
        </w:tc>
      </w:tr>
      <w:tr w:rsidR="00ED51C6" w:rsidRPr="008B5E2C" w:rsidTr="00A75C6C">
        <w:trPr>
          <w:trHeight w:hRule="exact" w:val="680"/>
        </w:trPr>
        <w:tc>
          <w:tcPr>
            <w:tcW w:w="667" w:type="dxa"/>
            <w:vMerge/>
            <w:hideMark/>
          </w:tcPr>
          <w:p w:rsidR="00ED51C6" w:rsidRPr="008B5E2C" w:rsidRDefault="00ED51C6" w:rsidP="00A75C6C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378" w:type="dxa"/>
            <w:gridSpan w:val="3"/>
            <w:tcBorders>
              <w:top w:val="dashSmallGap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51C6" w:rsidRPr="008B5E2C" w:rsidRDefault="00BA724C" w:rsidP="00A75C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A72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Normativno rješenje ne uvodi naknade i davanja koje će imati učinke na financijske </w:t>
            </w:r>
            <w:bookmarkStart w:id="0" w:name="_GoBack"/>
            <w:bookmarkEnd w:id="0"/>
            <w:r w:rsidRPr="00BA72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rezultate poslovanja poduzetnika, te postoji li trošak prilagodbe zbog primjene propisa.</w:t>
            </w:r>
          </w:p>
        </w:tc>
      </w:tr>
      <w:tr w:rsidR="00ED51C6" w:rsidRPr="008B5E2C" w:rsidTr="00A75C6C">
        <w:tc>
          <w:tcPr>
            <w:tcW w:w="6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51C6" w:rsidRPr="008B5E2C" w:rsidRDefault="00ED51C6" w:rsidP="00A75C6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E2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7483" w:type="dxa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51C6" w:rsidRPr="008B5E2C" w:rsidRDefault="00ED51C6" w:rsidP="00A75C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E2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Da li će propis imati posebne učinke na mikro poduzetnike?</w:t>
            </w:r>
          </w:p>
        </w:tc>
        <w:tc>
          <w:tcPr>
            <w:tcW w:w="461" w:type="dxa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51C6" w:rsidRPr="008B5E2C" w:rsidRDefault="00ED51C6" w:rsidP="00A75C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434" w:type="dxa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51C6" w:rsidRPr="008B5E2C" w:rsidRDefault="00BA724C" w:rsidP="00A75C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NE</w:t>
            </w:r>
          </w:p>
        </w:tc>
      </w:tr>
      <w:tr w:rsidR="00ED51C6" w:rsidRPr="008B5E2C" w:rsidTr="00A75C6C">
        <w:trPr>
          <w:trHeight w:hRule="exact" w:val="680"/>
        </w:trPr>
        <w:tc>
          <w:tcPr>
            <w:tcW w:w="6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51C6" w:rsidRPr="008B5E2C" w:rsidRDefault="00ED51C6" w:rsidP="00A75C6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378" w:type="dxa"/>
            <w:gridSpan w:val="3"/>
            <w:tcBorders>
              <w:top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51C6" w:rsidRPr="008B5E2C" w:rsidRDefault="00BA724C" w:rsidP="00A75C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A72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Normativno rješenje neće imati posebne učinke na mikro poduzetnike.</w:t>
            </w:r>
          </w:p>
        </w:tc>
      </w:tr>
      <w:tr w:rsidR="00ED51C6" w:rsidRPr="008B5E2C" w:rsidTr="00A75C6C">
        <w:tc>
          <w:tcPr>
            <w:tcW w:w="9045" w:type="dxa"/>
            <w:gridSpan w:val="4"/>
            <w:tcMar>
              <w:left w:w="170" w:type="dxa"/>
              <w:right w:w="170" w:type="dxa"/>
            </w:tcMar>
            <w:vAlign w:val="center"/>
          </w:tcPr>
          <w:p w:rsidR="00ED51C6" w:rsidRPr="008B5E2C" w:rsidRDefault="00ED51C6" w:rsidP="00A75C6C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</w:pPr>
            <w:r w:rsidRPr="008B5E2C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Ukoliko je na dva pitanja od pitanja pod rednim brojevima od 2. do 5. iz ovoga Obrasca odgovoreno »DA«, obvezna je provedba procjene učinaka propisa na malo gospodarstvo i izrada MSP testa.</w:t>
            </w:r>
          </w:p>
          <w:p w:rsidR="00ED51C6" w:rsidRPr="008B5E2C" w:rsidRDefault="00ED51C6" w:rsidP="00A75C6C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</w:pPr>
            <w:r w:rsidRPr="008B5E2C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 xml:space="preserve">Ako je odgovor na pitanje pod rednim brojem 2. „DA“, uz Prethodni MSP test obrazac potrebno je priložiti pravilno ispunjenu Standard </w:t>
            </w:r>
            <w:proofErr w:type="spellStart"/>
            <w:r w:rsidRPr="008B5E2C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Cost</w:t>
            </w:r>
            <w:proofErr w:type="spellEnd"/>
            <w:r w:rsidRPr="008B5E2C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 xml:space="preserve"> Model (SCM) tablicu s procjenom mogućeg administrativnog troška za svaku propisanu obvezu i zahtjev. SCM obrazac se ispunjava sukladno uputama u standardiziranom obrascu u kojem se nalazi formula izračuna i sukladno jedinstvenim nacionalnim smjernicama uređenim kroz SCM priručnik.</w:t>
            </w:r>
          </w:p>
        </w:tc>
      </w:tr>
      <w:tr w:rsidR="00ED51C6" w:rsidRPr="008B5E2C" w:rsidTr="00A75C6C">
        <w:tc>
          <w:tcPr>
            <w:tcW w:w="6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51C6" w:rsidRPr="008B5E2C" w:rsidRDefault="00ED51C6" w:rsidP="00A75C6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E2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7483" w:type="dxa"/>
            <w:tcBorders>
              <w:bottom w:val="dashSmallGap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ED51C6" w:rsidRPr="008B5E2C" w:rsidRDefault="00ED51C6" w:rsidP="00A75C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B5E2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Ukoliko predloženo normativno rješenje nema učinke navedene pod pitanjima 2 do 5, navedite obrazloženje u prilog izjavi o nepostojanju učinka na male i srednje poduzetnike.</w:t>
            </w:r>
          </w:p>
        </w:tc>
        <w:tc>
          <w:tcPr>
            <w:tcW w:w="461" w:type="dxa"/>
            <w:tcBorders>
              <w:bottom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51C6" w:rsidRPr="008B5E2C" w:rsidRDefault="00ED51C6" w:rsidP="00A75C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434" w:type="dxa"/>
            <w:tcBorders>
              <w:bottom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51C6" w:rsidRPr="008B5E2C" w:rsidRDefault="00392309" w:rsidP="00A75C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NE</w:t>
            </w:r>
          </w:p>
        </w:tc>
      </w:tr>
      <w:tr w:rsidR="00ED51C6" w:rsidRPr="008B5E2C" w:rsidTr="00BA724C">
        <w:trPr>
          <w:trHeight w:hRule="exact" w:val="2218"/>
        </w:trPr>
        <w:tc>
          <w:tcPr>
            <w:tcW w:w="6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51C6" w:rsidRPr="008B5E2C" w:rsidRDefault="00ED51C6" w:rsidP="00A75C6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378" w:type="dxa"/>
            <w:gridSpan w:val="3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 w:rsidR="00ED51C6" w:rsidRPr="008B5E2C" w:rsidRDefault="00BA724C" w:rsidP="00A75C6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A72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Pravilnikom o postupku i načinu izdavanja dozvola (licencija) za izvođenje naukovanja propisuje se postupak i način izdavanja dozvola (licencija) za izvođenje naukovanja. Dozvolu (licenciju) za izvođenje naukovanje izdaje Hrvatska obrtnička komora. Da bi se obrtniku ili pravnoj osobi izdala dozvola (licencija) za izvođenje naukovanja i</w:t>
            </w:r>
            <w:r w:rsidR="0039230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sti mora </w:t>
            </w:r>
            <w:r w:rsidRPr="00BA72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udovoljiti propisanim materijalno-kadrovskim uvjetima za izvođenje naukovanja. Primanje učenika na naukovanje nije utvrđena zakonska obveza obrtnika i pravnih osoba već predstavlja slobodnu volju obrtnika ili pravne osobe.</w:t>
            </w:r>
          </w:p>
        </w:tc>
      </w:tr>
    </w:tbl>
    <w:p w:rsidR="00ED51C6" w:rsidRPr="008B5E2C" w:rsidRDefault="00ED51C6" w:rsidP="00ED51C6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:rsidR="005F72A5" w:rsidRDefault="00392309" w:rsidP="00ED51C6"/>
    <w:sectPr w:rsidR="005F7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C6"/>
    <w:rsid w:val="0006401D"/>
    <w:rsid w:val="000F3510"/>
    <w:rsid w:val="000F7468"/>
    <w:rsid w:val="00146189"/>
    <w:rsid w:val="0021167C"/>
    <w:rsid w:val="002C723B"/>
    <w:rsid w:val="00392309"/>
    <w:rsid w:val="003A6B79"/>
    <w:rsid w:val="00444DE5"/>
    <w:rsid w:val="0049051E"/>
    <w:rsid w:val="0053158A"/>
    <w:rsid w:val="00574CC6"/>
    <w:rsid w:val="00581627"/>
    <w:rsid w:val="00583688"/>
    <w:rsid w:val="005A09CC"/>
    <w:rsid w:val="005C7069"/>
    <w:rsid w:val="00796401"/>
    <w:rsid w:val="00967829"/>
    <w:rsid w:val="00970659"/>
    <w:rsid w:val="00A07797"/>
    <w:rsid w:val="00B32888"/>
    <w:rsid w:val="00B64C4D"/>
    <w:rsid w:val="00B66BB5"/>
    <w:rsid w:val="00BA724C"/>
    <w:rsid w:val="00BC6130"/>
    <w:rsid w:val="00C76236"/>
    <w:rsid w:val="00CC612F"/>
    <w:rsid w:val="00D64686"/>
    <w:rsid w:val="00DD5279"/>
    <w:rsid w:val="00E03961"/>
    <w:rsid w:val="00ED51C6"/>
    <w:rsid w:val="00FB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65D3"/>
  <w15:docId w15:val="{5C4EE951-4B51-4B27-82E9-43A31FEC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D51C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Kovač Klemar</dc:creator>
  <cp:lastModifiedBy>Danijela Žagar</cp:lastModifiedBy>
  <cp:revision>3</cp:revision>
  <dcterms:created xsi:type="dcterms:W3CDTF">2020-01-30T18:10:00Z</dcterms:created>
  <dcterms:modified xsi:type="dcterms:W3CDTF">2020-01-30T18:12:00Z</dcterms:modified>
</cp:coreProperties>
</file>