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93D72" w14:textId="77777777" w:rsidR="00D339D8" w:rsidRPr="00061585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  <w:r w:rsidRPr="00061585">
        <w:rPr>
          <w:b/>
          <w:bCs/>
          <w:color w:val="000000" w:themeColor="text1"/>
          <w:szCs w:val="24"/>
        </w:rPr>
        <w:t xml:space="preserve">MINISTARSTVO ZAŠTITE OKOLIŠA I </w:t>
      </w:r>
      <w:r>
        <w:rPr>
          <w:b/>
          <w:bCs/>
          <w:color w:val="000000" w:themeColor="text1"/>
          <w:szCs w:val="24"/>
        </w:rPr>
        <w:t>ENERGETIKE</w:t>
      </w:r>
    </w:p>
    <w:p w14:paraId="4A170B97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71247D23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FE1AD64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2FC58A9A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48631567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C38F9FF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50DB5C7D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0A7811BD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3B4D2979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A3CC813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28D42E76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  <w:bookmarkStart w:id="0" w:name="_GoBack"/>
      <w:bookmarkEnd w:id="0"/>
    </w:p>
    <w:p w14:paraId="6F072920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00C19CAD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EA449A1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FA9627C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4033E87B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226A8612" w14:textId="77777777" w:rsidR="00D339D8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6BA6385A" w14:textId="516E8F47" w:rsidR="00F32059" w:rsidRPr="00061585" w:rsidRDefault="00F32059" w:rsidP="00F32059">
      <w:pPr>
        <w:pStyle w:val="t-10-9-kurz-s"/>
        <w:spacing w:beforeLines="30" w:before="72" w:beforeAutospacing="0" w:afterLines="30" w:after="72" w:afterAutospacing="0"/>
        <w:jc w:val="center"/>
        <w:rPr>
          <w:b/>
          <w:bCs/>
          <w:color w:val="000000" w:themeColor="text1"/>
        </w:rPr>
      </w:pPr>
      <w:r w:rsidRPr="00061585">
        <w:rPr>
          <w:b/>
          <w:bCs/>
          <w:color w:val="000000" w:themeColor="text1"/>
        </w:rPr>
        <w:t xml:space="preserve">PRAVILNIK </w:t>
      </w:r>
      <w:r w:rsidRPr="00061585">
        <w:rPr>
          <w:b/>
          <w:color w:val="000000" w:themeColor="text1"/>
        </w:rPr>
        <w:t xml:space="preserve">O </w:t>
      </w:r>
      <w:r>
        <w:rPr>
          <w:b/>
          <w:color w:val="000000" w:themeColor="text1"/>
        </w:rPr>
        <w:t>ZONAMA RASV</w:t>
      </w:r>
      <w:r w:rsidR="00A22F61">
        <w:rPr>
          <w:b/>
          <w:color w:val="000000" w:themeColor="text1"/>
        </w:rPr>
        <w:t>I</w:t>
      </w:r>
      <w:r>
        <w:rPr>
          <w:b/>
          <w:color w:val="000000" w:themeColor="text1"/>
        </w:rPr>
        <w:t>JETLJENOSTI, DOPUŠTENIM</w:t>
      </w:r>
      <w:r w:rsidRPr="00061585">
        <w:rPr>
          <w:b/>
          <w:color w:val="000000" w:themeColor="text1"/>
        </w:rPr>
        <w:t xml:space="preserve"> VRIJEDNOSTIMA </w:t>
      </w:r>
      <w:r>
        <w:rPr>
          <w:b/>
          <w:color w:val="000000" w:themeColor="text1"/>
        </w:rPr>
        <w:t>RASVJETLJAVANJA I NAČINIMA UPRAVLJANJA RASVJETNIM SUSTAVIMA</w:t>
      </w:r>
    </w:p>
    <w:p w14:paraId="62CCD066" w14:textId="77777777" w:rsidR="00D339D8" w:rsidRPr="00061585" w:rsidRDefault="00D339D8" w:rsidP="00D339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6663D50F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EF191E5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3476B1D1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48907E89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6A531EEA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1D5EC59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56D8D70A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57BE8A20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43C5D241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71FDF48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3CC59490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02E13620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4E62CFD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5D58A4B3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2CB3601D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787B0063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21CADD96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7EA394A3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648A268D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22F5DA72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4CCA1E7B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01003113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7F6757F3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3AA6125F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101B86BB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0B0C5A9A" w14:textId="77777777" w:rsidR="00D339D8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14:paraId="73FC6EEE" w14:textId="17D706A4" w:rsidR="00D339D8" w:rsidRPr="00061585" w:rsidRDefault="00D339D8" w:rsidP="00D339D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  <w:r w:rsidRPr="00061585">
        <w:rPr>
          <w:b/>
          <w:bCs/>
          <w:color w:val="000000" w:themeColor="text1"/>
          <w:szCs w:val="24"/>
        </w:rPr>
        <w:t xml:space="preserve">Zagreb, </w:t>
      </w:r>
      <w:proofErr w:type="spellStart"/>
      <w:r w:rsidR="002E276D">
        <w:rPr>
          <w:b/>
          <w:bCs/>
          <w:color w:val="000000" w:themeColor="text1"/>
          <w:szCs w:val="24"/>
        </w:rPr>
        <w:t>travanj</w:t>
      </w:r>
      <w:proofErr w:type="spellEnd"/>
      <w:r w:rsidRPr="00061585">
        <w:rPr>
          <w:b/>
          <w:bCs/>
          <w:color w:val="000000" w:themeColor="text1"/>
          <w:szCs w:val="24"/>
        </w:rPr>
        <w:t xml:space="preserve"> 20</w:t>
      </w:r>
      <w:r>
        <w:rPr>
          <w:b/>
          <w:bCs/>
          <w:color w:val="000000" w:themeColor="text1"/>
          <w:szCs w:val="24"/>
        </w:rPr>
        <w:t>20</w:t>
      </w:r>
      <w:r w:rsidRPr="00061585">
        <w:rPr>
          <w:b/>
          <w:bCs/>
          <w:color w:val="000000" w:themeColor="text1"/>
          <w:szCs w:val="24"/>
        </w:rPr>
        <w:t>.</w:t>
      </w:r>
    </w:p>
    <w:p w14:paraId="36388803" w14:textId="77777777" w:rsidR="00D339D8" w:rsidRDefault="00D339D8" w:rsidP="00D0459E">
      <w:pPr>
        <w:rPr>
          <w:lang w:val="hr-HR"/>
        </w:rPr>
      </w:pPr>
    </w:p>
    <w:p w14:paraId="31C6B621" w14:textId="67EAFB4E" w:rsidR="00D0459E" w:rsidRPr="00350AFA" w:rsidRDefault="00D339D8" w:rsidP="00D339D8">
      <w:pPr>
        <w:jc w:val="left"/>
        <w:rPr>
          <w:lang w:val="hr-HR"/>
        </w:rPr>
      </w:pPr>
      <w:r>
        <w:rPr>
          <w:lang w:val="hr-HR"/>
        </w:rPr>
        <w:br w:type="page"/>
      </w:r>
      <w:r w:rsidR="00D0459E" w:rsidRPr="00350AFA">
        <w:rPr>
          <w:lang w:val="hr-HR"/>
        </w:rPr>
        <w:lastRenderedPageBreak/>
        <w:t xml:space="preserve">Na temelju članka 9. Zakona o zaštiti od svjetlosnog onečišćenja (Narodne novine, broj 14/19), </w:t>
      </w:r>
      <w:r w:rsidR="00F76108">
        <w:rPr>
          <w:lang w:val="hr-HR"/>
        </w:rPr>
        <w:t>m</w:t>
      </w:r>
      <w:r w:rsidR="00D0459E" w:rsidRPr="00350AFA">
        <w:rPr>
          <w:lang w:val="hr-HR"/>
        </w:rPr>
        <w:t>inistar zaštite okoliša i energetike</w:t>
      </w:r>
      <w:r w:rsidR="00F76108">
        <w:rPr>
          <w:lang w:val="hr-HR"/>
        </w:rPr>
        <w:t>,</w:t>
      </w:r>
      <w:r w:rsidR="00D0459E" w:rsidRPr="00350AFA">
        <w:rPr>
          <w:lang w:val="hr-HR"/>
        </w:rPr>
        <w:t xml:space="preserve"> </w:t>
      </w:r>
      <w:r w:rsidR="00F76108" w:rsidRPr="00F76108">
        <w:rPr>
          <w:lang w:val="hr-HR"/>
        </w:rPr>
        <w:t>uz prethodno mišljenje ministra nadležnog za poslove prostornog uređenja i gradnje i ministra</w:t>
      </w:r>
      <w:r w:rsidR="00F76108">
        <w:rPr>
          <w:lang w:val="hr-HR"/>
        </w:rPr>
        <w:t xml:space="preserve"> nadležnog za poslove zdravstva, </w:t>
      </w:r>
      <w:r w:rsidR="00D0459E" w:rsidRPr="00350AFA">
        <w:rPr>
          <w:lang w:val="hr-HR"/>
        </w:rPr>
        <w:t>donio je</w:t>
      </w:r>
    </w:p>
    <w:p w14:paraId="2F45DE11" w14:textId="77777777" w:rsidR="00D0459E" w:rsidRPr="00350AFA" w:rsidRDefault="00D0459E" w:rsidP="00D0459E">
      <w:pPr>
        <w:rPr>
          <w:lang w:val="hr-HR"/>
        </w:rPr>
      </w:pPr>
    </w:p>
    <w:p w14:paraId="2664EFFE" w14:textId="68050520" w:rsidR="0041050F" w:rsidRPr="00350AFA" w:rsidRDefault="00D0459E" w:rsidP="00D0459E">
      <w:pPr>
        <w:pStyle w:val="Naslov"/>
        <w:rPr>
          <w:lang w:val="hr-HR"/>
        </w:rPr>
      </w:pPr>
      <w:r w:rsidRPr="00350AFA">
        <w:rPr>
          <w:lang w:val="hr-HR"/>
        </w:rPr>
        <w:t>PRAVILNIK O ZONAMA RASV</w:t>
      </w:r>
      <w:r w:rsidR="00260176">
        <w:rPr>
          <w:lang w:val="hr-HR"/>
        </w:rPr>
        <w:t>I</w:t>
      </w:r>
      <w:r w:rsidRPr="00350AFA">
        <w:rPr>
          <w:lang w:val="hr-HR"/>
        </w:rPr>
        <w:t>JETLJENOSTI, DOPUŠTENIM VRIJEDNOSTIMA RASVJETLJAVANJA I NAČINIMA UPRAVLJANJA RASVJETNIM SUSTAVIMA</w:t>
      </w:r>
    </w:p>
    <w:p w14:paraId="0957B77F" w14:textId="77777777" w:rsidR="00D0459E" w:rsidRPr="00350AFA" w:rsidRDefault="00D0459E" w:rsidP="00D0459E">
      <w:pPr>
        <w:rPr>
          <w:lang w:val="hr-HR"/>
        </w:rPr>
      </w:pPr>
    </w:p>
    <w:p w14:paraId="57857C98" w14:textId="7A20980E" w:rsidR="00E77291" w:rsidRPr="00F945D3" w:rsidRDefault="00011290" w:rsidP="00011290">
      <w:pPr>
        <w:jc w:val="center"/>
        <w:rPr>
          <w:lang w:val="hr-HR"/>
        </w:rPr>
      </w:pPr>
      <w:r>
        <w:rPr>
          <w:b/>
          <w:lang w:val="hr-HR"/>
        </w:rPr>
        <w:t xml:space="preserve">I. </w:t>
      </w:r>
      <w:r w:rsidR="00D0459E" w:rsidRPr="00350AFA">
        <w:rPr>
          <w:b/>
          <w:lang w:val="hr-HR"/>
        </w:rPr>
        <w:t>OPĆE ODREDBE</w:t>
      </w:r>
    </w:p>
    <w:p w14:paraId="4D586BD8" w14:textId="77777777" w:rsidR="00D0459E" w:rsidRPr="00350AFA" w:rsidRDefault="00D0459E" w:rsidP="00E41FFA">
      <w:pPr>
        <w:pStyle w:val="Naslov2"/>
        <w:spacing w:after="120" w:line="240" w:lineRule="auto"/>
        <w:jc w:val="center"/>
      </w:pPr>
      <w:proofErr w:type="spellStart"/>
      <w:r w:rsidRPr="00350AFA">
        <w:t>Članak</w:t>
      </w:r>
      <w:proofErr w:type="spellEnd"/>
      <w:r w:rsidRPr="00350AFA">
        <w:t xml:space="preserve"> 1.</w:t>
      </w:r>
    </w:p>
    <w:p w14:paraId="542E15F5" w14:textId="77777777" w:rsidR="00D0459E" w:rsidRPr="00350AFA" w:rsidRDefault="00D0459E" w:rsidP="00D0459E">
      <w:pPr>
        <w:rPr>
          <w:lang w:val="hr-HR"/>
        </w:rPr>
      </w:pPr>
      <w:r w:rsidRPr="00350AFA">
        <w:rPr>
          <w:lang w:val="hr-HR"/>
        </w:rPr>
        <w:t>Ovim Pravilnikom propisuju se obvezni načini i uvjeti upravljanja rasvjetljavanjem, zone rasvijetljenosti i zaštite, najviše dopuštene vrijednosti rasvjetljavanja, uvjeti za odabir i postavljanje svjetiljki, kriteriji energetske učinkovitosti, uvjeti i najviše dopuštene vrijednosti korelirane temperature boje izvora svjetlosti, obveze jedinica lokalne samouprave (dalje u tekstu: JLS) vezano za propisane standarde, kao i druga pitanja u vezi s tim.</w:t>
      </w:r>
    </w:p>
    <w:p w14:paraId="76BE015D" w14:textId="77777777" w:rsidR="00D0459E" w:rsidRPr="00350AFA" w:rsidRDefault="00D0459E" w:rsidP="00D0459E">
      <w:pPr>
        <w:spacing w:after="0" w:line="240" w:lineRule="auto"/>
        <w:ind w:left="851" w:hanging="284"/>
        <w:rPr>
          <w:lang w:val="hr-HR"/>
        </w:rPr>
      </w:pPr>
    </w:p>
    <w:p w14:paraId="72475574" w14:textId="23FE4082" w:rsidR="00D0459E" w:rsidRPr="00350AFA" w:rsidRDefault="00D0459E" w:rsidP="00E41FFA">
      <w:pPr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 xml:space="preserve">Članak </w:t>
      </w:r>
      <w:r w:rsidR="003D59E0">
        <w:rPr>
          <w:lang w:val="hr-HR"/>
        </w:rPr>
        <w:t>2</w:t>
      </w:r>
      <w:r w:rsidRPr="00350AFA">
        <w:rPr>
          <w:lang w:val="hr-HR"/>
        </w:rPr>
        <w:t>.</w:t>
      </w:r>
    </w:p>
    <w:p w14:paraId="427E863D" w14:textId="544194C2" w:rsidR="00D0459E" w:rsidRPr="00350AFA" w:rsidRDefault="00D0459E" w:rsidP="002E276D">
      <w:pPr>
        <w:spacing w:after="0" w:line="240" w:lineRule="auto"/>
        <w:rPr>
          <w:lang w:val="hr-HR"/>
        </w:rPr>
      </w:pPr>
      <w:r w:rsidRPr="00350AFA">
        <w:rPr>
          <w:lang w:val="hr-HR"/>
        </w:rPr>
        <w:t xml:space="preserve">(1) </w:t>
      </w:r>
      <w:r w:rsidR="002E276D" w:rsidRPr="002E276D">
        <w:rPr>
          <w:lang w:val="hr-HR"/>
        </w:rPr>
        <w:t>Rasvjeta mora biti projektirana, izgrađena i održava</w:t>
      </w:r>
      <w:r w:rsidR="002E276D">
        <w:rPr>
          <w:lang w:val="hr-HR"/>
        </w:rPr>
        <w:t xml:space="preserve">na sukladno Zakonu o zaštiti od </w:t>
      </w:r>
      <w:r w:rsidR="002E276D" w:rsidRPr="002E276D">
        <w:rPr>
          <w:lang w:val="hr-HR"/>
        </w:rPr>
        <w:t xml:space="preserve">svjetlosnog onečišćenja, odredbama ovoga Pravilnika, </w:t>
      </w:r>
      <w:r w:rsidR="002E276D">
        <w:rPr>
          <w:lang w:val="hr-HR"/>
        </w:rPr>
        <w:t xml:space="preserve">zahtjevima i uvjetima utvrđenim </w:t>
      </w:r>
      <w:r w:rsidR="002E276D" w:rsidRPr="002E276D">
        <w:rPr>
          <w:lang w:val="hr-HR"/>
        </w:rPr>
        <w:t>posebnim propisima kojim se uređuje područje građenja, zaštit</w:t>
      </w:r>
      <w:r w:rsidR="002E276D">
        <w:rPr>
          <w:lang w:val="hr-HR"/>
        </w:rPr>
        <w:t xml:space="preserve">e okoliša i prirode, energetske </w:t>
      </w:r>
      <w:r w:rsidR="002E276D" w:rsidRPr="002E276D">
        <w:rPr>
          <w:lang w:val="hr-HR"/>
        </w:rPr>
        <w:t>učinkovitosti te pravilima arhitektonskih, građevinskih, elek</w:t>
      </w:r>
      <w:r w:rsidR="002E276D">
        <w:rPr>
          <w:lang w:val="hr-HR"/>
        </w:rPr>
        <w:t>trotehničkih i ostalih struka u području rasvjete.</w:t>
      </w:r>
    </w:p>
    <w:p w14:paraId="57AA24CD" w14:textId="77777777" w:rsidR="00607C55" w:rsidRDefault="00607C55" w:rsidP="00D0459E">
      <w:pPr>
        <w:spacing w:after="0" w:line="240" w:lineRule="auto"/>
        <w:rPr>
          <w:lang w:val="hr-HR"/>
        </w:rPr>
      </w:pPr>
    </w:p>
    <w:p w14:paraId="0AF0AB54" w14:textId="244073E0" w:rsidR="00D0459E" w:rsidRPr="00350AFA" w:rsidRDefault="00D0459E" w:rsidP="00D0459E">
      <w:pPr>
        <w:spacing w:after="0" w:line="240" w:lineRule="auto"/>
        <w:rPr>
          <w:lang w:val="hr-HR"/>
        </w:rPr>
      </w:pPr>
      <w:r w:rsidRPr="00350AFA">
        <w:rPr>
          <w:lang w:val="hr-HR"/>
        </w:rPr>
        <w:t>(2) Projekt rasvjete, kao i izvedba projektnog rješenja, moraju biti izrađeni tako da svjetiljke budu spremne za uključivanje u napredni sustav upravljanja (</w:t>
      </w:r>
      <w:proofErr w:type="spellStart"/>
      <w:r w:rsidRPr="00350AFA">
        <w:rPr>
          <w:lang w:val="hr-HR"/>
        </w:rPr>
        <w:t>Smart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city</w:t>
      </w:r>
      <w:proofErr w:type="spellEnd"/>
      <w:r w:rsidRPr="00350AFA">
        <w:rPr>
          <w:lang w:val="hr-HR"/>
        </w:rPr>
        <w:t>).</w:t>
      </w:r>
    </w:p>
    <w:p w14:paraId="4DE96ED6" w14:textId="77777777" w:rsidR="00D0459E" w:rsidRPr="00350AFA" w:rsidRDefault="00D0459E" w:rsidP="00D0459E">
      <w:pPr>
        <w:spacing w:after="0" w:line="240" w:lineRule="auto"/>
        <w:rPr>
          <w:lang w:val="hr-HR"/>
        </w:rPr>
      </w:pPr>
    </w:p>
    <w:p w14:paraId="0F4DDFDC" w14:textId="7802193A" w:rsidR="00D0459E" w:rsidRPr="00350AFA" w:rsidRDefault="00D0459E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 xml:space="preserve">Članak </w:t>
      </w:r>
      <w:r w:rsidR="003D59E0">
        <w:rPr>
          <w:lang w:val="hr-HR"/>
        </w:rPr>
        <w:t>3</w:t>
      </w:r>
      <w:r w:rsidRPr="00350AFA">
        <w:rPr>
          <w:lang w:val="hr-HR"/>
        </w:rPr>
        <w:t>.</w:t>
      </w:r>
    </w:p>
    <w:p w14:paraId="3991C5C7" w14:textId="77777777" w:rsidR="00D0459E" w:rsidRPr="00350AFA" w:rsidRDefault="00D0459E" w:rsidP="00D0459E">
      <w:pPr>
        <w:rPr>
          <w:lang w:val="hr-HR"/>
        </w:rPr>
      </w:pPr>
      <w:r w:rsidRPr="00350AFA">
        <w:rPr>
          <w:lang w:val="hr-HR"/>
        </w:rPr>
        <w:t>(1) Pojmovi koji se koriste u ovome Pravilniku imaju sljedeće značenje:</w:t>
      </w:r>
    </w:p>
    <w:p w14:paraId="285D2861" w14:textId="2737A7A2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1)</w:t>
      </w:r>
      <w:r w:rsidR="00D0459E" w:rsidRPr="00350AFA">
        <w:rPr>
          <w:lang w:val="hr-HR"/>
        </w:rPr>
        <w:tab/>
        <w:t>cestovna rasvjeta je vanjska rasvjeta koja se koristi za rasvjetljavanje cesta i drugih prometnih površina</w:t>
      </w:r>
    </w:p>
    <w:p w14:paraId="18E2D6D9" w14:textId="210C1546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2)</w:t>
      </w:r>
      <w:r w:rsidR="00D0459E" w:rsidRPr="00350AFA">
        <w:rPr>
          <w:lang w:val="hr-HR"/>
        </w:rPr>
        <w:tab/>
        <w:t xml:space="preserve">ekološka mreža </w:t>
      </w:r>
      <w:r w:rsidR="00A677C0">
        <w:rPr>
          <w:lang w:val="hr-HR"/>
        </w:rPr>
        <w:t xml:space="preserve">Natura 2000 (u daljnjem tekstu: </w:t>
      </w:r>
      <w:r w:rsidR="00D0459E" w:rsidRPr="00350AFA">
        <w:rPr>
          <w:lang w:val="hr-HR"/>
        </w:rPr>
        <w:t>ekološka mreža) je koherentna europska ekološka mreža sastavljena od područja u kojima se nalaze prirodni stanišni tipovi i staništa divljih vrsta od interesa za Europsku uniju, a omogućuje očuvanje ili, kad je to potrebno, povrat u povoljno stanje očuvanja određenih prirodnih stanišnih tipova i staništa vrsta u njihovu prirod</w:t>
      </w:r>
      <w:r w:rsidR="00567094" w:rsidRPr="00350AFA">
        <w:rPr>
          <w:lang w:val="hr-HR"/>
        </w:rPr>
        <w:t>nom području rasprostranjenosti</w:t>
      </w:r>
    </w:p>
    <w:p w14:paraId="515912DB" w14:textId="08483F1C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3)</w:t>
      </w:r>
      <w:r w:rsidR="00D0459E" w:rsidRPr="00350AFA">
        <w:rPr>
          <w:lang w:val="hr-HR"/>
        </w:rPr>
        <w:tab/>
        <w:t>korelirana boja 3 000 K</w:t>
      </w:r>
      <w:r w:rsidR="00422D9F">
        <w:rPr>
          <w:lang w:val="hr-HR"/>
        </w:rPr>
        <w:t>elvina (u daljnjem tekstu: K)</w:t>
      </w:r>
      <w:r w:rsidR="00D0459E" w:rsidRPr="00350AFA">
        <w:rPr>
          <w:lang w:val="hr-HR"/>
        </w:rPr>
        <w:t xml:space="preserve">  je ona </w:t>
      </w:r>
      <w:r w:rsidR="00422D9F">
        <w:rPr>
          <w:lang w:val="hr-HR"/>
        </w:rPr>
        <w:t xml:space="preserve">korelirana temperatura boje (dalje u tekstu: </w:t>
      </w:r>
      <w:r w:rsidR="00D0459E" w:rsidRPr="00350AFA">
        <w:rPr>
          <w:lang w:val="hr-HR"/>
        </w:rPr>
        <w:t>CCT</w:t>
      </w:r>
      <w:r w:rsidR="00422D9F">
        <w:rPr>
          <w:lang w:val="hr-HR"/>
        </w:rPr>
        <w:t>)</w:t>
      </w:r>
      <w:r w:rsidR="00D0459E" w:rsidRPr="00350AFA">
        <w:rPr>
          <w:lang w:val="hr-HR"/>
        </w:rPr>
        <w:t xml:space="preserve"> koja je određena i odnosom s/p &lt; 1,28,  gdje „s“ predstavlja noćni vid (</w:t>
      </w:r>
      <w:proofErr w:type="spellStart"/>
      <w:r w:rsidR="00D0459E" w:rsidRPr="00350AFA">
        <w:rPr>
          <w:lang w:val="hr-HR"/>
        </w:rPr>
        <w:t>scotopic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view</w:t>
      </w:r>
      <w:proofErr w:type="spellEnd"/>
      <w:r w:rsidR="00D0459E" w:rsidRPr="00350AFA">
        <w:rPr>
          <w:lang w:val="hr-HR"/>
        </w:rPr>
        <w:t xml:space="preserve">), a „p“ dnevni vid </w:t>
      </w:r>
      <w:r w:rsidR="0064734B">
        <w:rPr>
          <w:lang w:val="hr-HR"/>
        </w:rPr>
        <w:t>(</w:t>
      </w:r>
      <w:proofErr w:type="spellStart"/>
      <w:r w:rsidR="00D0459E" w:rsidRPr="00350AFA">
        <w:rPr>
          <w:lang w:val="hr-HR"/>
        </w:rPr>
        <w:t>photopic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view</w:t>
      </w:r>
      <w:proofErr w:type="spellEnd"/>
      <w:r w:rsidR="00D0459E" w:rsidRPr="00350AFA">
        <w:rPr>
          <w:lang w:val="hr-HR"/>
        </w:rPr>
        <w:t xml:space="preserve">). Broj „&lt; 1,28“ pozicionira izvor svjetlosti u područje </w:t>
      </w:r>
      <w:proofErr w:type="spellStart"/>
      <w:r w:rsidR="00D0459E" w:rsidRPr="00350AFA">
        <w:rPr>
          <w:lang w:val="hr-HR"/>
        </w:rPr>
        <w:t>mezopskog</w:t>
      </w:r>
      <w:proofErr w:type="spellEnd"/>
      <w:r w:rsidR="00D0459E" w:rsidRPr="00350AFA">
        <w:rPr>
          <w:lang w:val="hr-HR"/>
        </w:rPr>
        <w:t xml:space="preserve"> vida (</w:t>
      </w:r>
      <w:proofErr w:type="spellStart"/>
      <w:r w:rsidR="00D0459E" w:rsidRPr="00350AFA">
        <w:rPr>
          <w:lang w:val="hr-HR"/>
        </w:rPr>
        <w:t>mesopic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view</w:t>
      </w:r>
      <w:proofErr w:type="spellEnd"/>
      <w:r w:rsidR="00D0459E" w:rsidRPr="00350AFA">
        <w:rPr>
          <w:lang w:val="hr-HR"/>
        </w:rPr>
        <w:t>) relevantnog za cestovnu rasvjetu kada se primjenjuje izvor svjetlosti čiji je CCT ≤ 3 000 K</w:t>
      </w:r>
    </w:p>
    <w:p w14:paraId="61353519" w14:textId="1231BD57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4)</w:t>
      </w:r>
      <w:r w:rsidR="00D0459E" w:rsidRPr="00350AFA">
        <w:rPr>
          <w:lang w:val="hr-HR"/>
        </w:rPr>
        <w:tab/>
        <w:t>kut svjetlosnog snopa (simetrični) (</w:t>
      </w:r>
      <w:proofErr w:type="spellStart"/>
      <w:r w:rsidR="00D0459E" w:rsidRPr="00350AFA">
        <w:rPr>
          <w:lang w:val="hr-HR"/>
        </w:rPr>
        <w:t>beam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angle</w:t>
      </w:r>
      <w:proofErr w:type="spellEnd"/>
      <w:r w:rsidR="00D0459E" w:rsidRPr="00350AFA">
        <w:rPr>
          <w:lang w:val="hr-HR"/>
        </w:rPr>
        <w:t>) svjetiljke je izlazni kut svjetlosnog snopa na čijim rubovima razina svjetlosne jakosti opada na 50</w:t>
      </w:r>
      <w:r w:rsidR="00947200">
        <w:rPr>
          <w:lang w:val="hr-HR"/>
        </w:rPr>
        <w:t xml:space="preserve"> </w:t>
      </w:r>
      <w:r w:rsidR="00D0459E" w:rsidRPr="00350AFA">
        <w:rPr>
          <w:lang w:val="hr-HR"/>
        </w:rPr>
        <w:t xml:space="preserve">% od maksimalne vrijednosti </w:t>
      </w:r>
    </w:p>
    <w:p w14:paraId="5142DC3E" w14:textId="2CCB71C3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lastRenderedPageBreak/>
        <w:t>5)</w:t>
      </w:r>
      <w:r w:rsidR="00D0459E" w:rsidRPr="00350AFA">
        <w:rPr>
          <w:lang w:val="hr-HR"/>
        </w:rPr>
        <w:tab/>
        <w:t>napredni sustav upravljanja gradom (</w:t>
      </w:r>
      <w:proofErr w:type="spellStart"/>
      <w:r w:rsidR="00D0459E" w:rsidRPr="00350AFA">
        <w:rPr>
          <w:lang w:val="hr-HR"/>
        </w:rPr>
        <w:t>Smart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city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concept</w:t>
      </w:r>
      <w:proofErr w:type="spellEnd"/>
      <w:r w:rsidR="00D0459E" w:rsidRPr="00350AFA">
        <w:rPr>
          <w:lang w:val="hr-HR"/>
        </w:rPr>
        <w:t>) predstavlja sustav koji integrira informacijsku i komunikacijsku tehnologiju (IKT), te različite fizičke uređaje povezane na mrežu Internet stvari (</w:t>
      </w:r>
      <w:proofErr w:type="spellStart"/>
      <w:r w:rsidR="00D0459E" w:rsidRPr="00350AFA">
        <w:rPr>
          <w:lang w:val="hr-HR"/>
        </w:rPr>
        <w:t>IoT</w:t>
      </w:r>
      <w:proofErr w:type="spellEnd"/>
      <w:r w:rsidR="00D0459E" w:rsidRPr="00350AFA">
        <w:rPr>
          <w:lang w:val="hr-HR"/>
        </w:rPr>
        <w:t xml:space="preserve">) kako bi se </w:t>
      </w:r>
      <w:proofErr w:type="spellStart"/>
      <w:r w:rsidR="00D0459E" w:rsidRPr="00350AFA">
        <w:rPr>
          <w:lang w:val="hr-HR"/>
        </w:rPr>
        <w:t>optimirala</w:t>
      </w:r>
      <w:proofErr w:type="spellEnd"/>
      <w:r w:rsidR="00D0459E" w:rsidRPr="00350AFA">
        <w:rPr>
          <w:lang w:val="hr-HR"/>
        </w:rPr>
        <w:t xml:space="preserve"> učinkovitost gradskog poslovanja i usluga i povezali s građanima. Napredni sustav upravljanja, u smislu ovoga Pravilnika, mora biti zasnovan na otvorenim standardima koji omogućavaju povezivanje i integraciju sustava u veće platforme namijenjene </w:t>
      </w:r>
      <w:r w:rsidR="00A677C0">
        <w:rPr>
          <w:lang w:val="hr-HR"/>
        </w:rPr>
        <w:t>„</w:t>
      </w:r>
      <w:proofErr w:type="spellStart"/>
      <w:r w:rsidR="00D0459E" w:rsidRPr="00350AFA">
        <w:rPr>
          <w:lang w:val="hr-HR"/>
        </w:rPr>
        <w:t>Smart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city</w:t>
      </w:r>
      <w:proofErr w:type="spellEnd"/>
      <w:r w:rsidR="00D0459E" w:rsidRPr="00350AFA">
        <w:rPr>
          <w:lang w:val="hr-HR"/>
        </w:rPr>
        <w:t>” konceptu. Za uključenje u napredni sustav upravljanja, u smislu ovoga Pravilnika, smatra se da svjetiljke trebaju biti opremljene programib</w:t>
      </w:r>
      <w:r w:rsidR="00A677C0">
        <w:rPr>
          <w:lang w:val="hr-HR"/>
        </w:rPr>
        <w:t>ilnim upravljačkim programom (</w:t>
      </w:r>
      <w:r w:rsidR="00D0459E" w:rsidRPr="00350AFA">
        <w:rPr>
          <w:lang w:val="hr-HR"/>
        </w:rPr>
        <w:t>driver) koji ima mogućnost kreiranja autonomnih scena raznih razina u više koraka, mogućnost regulacije svjetlosnog toka daljinskom kontrolom razina osvijetljenosti (ili snage) dodavanjem nadglednika (</w:t>
      </w:r>
      <w:proofErr w:type="spellStart"/>
      <w:r w:rsidR="00D0459E" w:rsidRPr="00350AFA">
        <w:rPr>
          <w:lang w:val="hr-HR"/>
        </w:rPr>
        <w:t>contoller</w:t>
      </w:r>
      <w:proofErr w:type="spellEnd"/>
      <w:r w:rsidR="00D0459E" w:rsidRPr="00350AFA">
        <w:rPr>
          <w:lang w:val="hr-HR"/>
        </w:rPr>
        <w:t>), odnosno biti spremno za sustav Internet stvari (</w:t>
      </w:r>
      <w:proofErr w:type="spellStart"/>
      <w:r w:rsidR="00D0459E" w:rsidRPr="00350AFA">
        <w:rPr>
          <w:lang w:val="hr-HR"/>
        </w:rPr>
        <w:t>IoT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ready</w:t>
      </w:r>
      <w:proofErr w:type="spellEnd"/>
      <w:r w:rsidR="00D0459E" w:rsidRPr="00350AFA">
        <w:rPr>
          <w:lang w:val="hr-HR"/>
        </w:rPr>
        <w:t xml:space="preserve">) s opcijom samostalnog GPS pozicioniranja </w:t>
      </w:r>
    </w:p>
    <w:p w14:paraId="0D082067" w14:textId="34336245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6)</w:t>
      </w:r>
      <w:r w:rsidR="00D0459E" w:rsidRPr="00350AFA">
        <w:rPr>
          <w:lang w:val="hr-HR"/>
        </w:rPr>
        <w:tab/>
        <w:t>onečišćujuće svjetlo (</w:t>
      </w:r>
      <w:r w:rsidR="00A677C0">
        <w:rPr>
          <w:lang w:val="hr-HR"/>
        </w:rPr>
        <w:t xml:space="preserve">dalje u tekstu: </w:t>
      </w:r>
      <w:r w:rsidR="00D0459E" w:rsidRPr="00350AFA">
        <w:rPr>
          <w:lang w:val="hr-HR"/>
        </w:rPr>
        <w:t>OS) (</w:t>
      </w:r>
      <w:proofErr w:type="spellStart"/>
      <w:r w:rsidR="00D0459E" w:rsidRPr="00350AFA">
        <w:rPr>
          <w:lang w:val="hr-HR"/>
        </w:rPr>
        <w:t>pollutant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light</w:t>
      </w:r>
      <w:proofErr w:type="spellEnd"/>
      <w:r w:rsidR="00D0459E" w:rsidRPr="00350AFA">
        <w:rPr>
          <w:lang w:val="hr-HR"/>
        </w:rPr>
        <w:t>) je onaj dio ukupnog svjetlosnog toka svjetiljke koji se isijava prema nebu</w:t>
      </w:r>
    </w:p>
    <w:p w14:paraId="0BCFB5C9" w14:textId="52CF5872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7)</w:t>
      </w:r>
      <w:r w:rsidR="00D0459E" w:rsidRPr="00350AFA">
        <w:rPr>
          <w:lang w:val="hr-HR"/>
        </w:rPr>
        <w:tab/>
        <w:t xml:space="preserve">park tamnog neba je točno određeno područje koje se odlikuje odličnom ili izvrsnom kvalitetom zvjezdanog noćnog neba i krajobraza zaštićeno zbog svoje prirodne i/ili kulturne i </w:t>
      </w:r>
      <w:proofErr w:type="spellStart"/>
      <w:r w:rsidR="00D0459E" w:rsidRPr="00350AFA">
        <w:rPr>
          <w:lang w:val="hr-HR"/>
        </w:rPr>
        <w:t>baštinske</w:t>
      </w:r>
      <w:proofErr w:type="spellEnd"/>
      <w:r w:rsidR="00D0459E" w:rsidRPr="00350AFA">
        <w:rPr>
          <w:lang w:val="hr-HR"/>
        </w:rPr>
        <w:t xml:space="preserve"> vrijednosti i koje se koristi u znanstvene i obrazovne svrhe te posjete javnosti</w:t>
      </w:r>
    </w:p>
    <w:p w14:paraId="3A7D937F" w14:textId="7480957D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8)</w:t>
      </w:r>
      <w:r w:rsidR="00D0459E" w:rsidRPr="00350AFA">
        <w:rPr>
          <w:lang w:val="hr-HR"/>
        </w:rPr>
        <w:tab/>
        <w:t xml:space="preserve">prijelazi za divlje životinje su </w:t>
      </w:r>
      <w:r w:rsidR="00607C55">
        <w:rPr>
          <w:lang w:val="hr-HR"/>
        </w:rPr>
        <w:t>građevine (</w:t>
      </w:r>
      <w:r w:rsidR="00D0459E" w:rsidRPr="00350AFA">
        <w:rPr>
          <w:lang w:val="hr-HR"/>
        </w:rPr>
        <w:t>objekti</w:t>
      </w:r>
      <w:r w:rsidR="00607C55">
        <w:rPr>
          <w:lang w:val="hr-HR"/>
        </w:rPr>
        <w:t>)</w:t>
      </w:r>
      <w:r w:rsidR="00D0459E" w:rsidRPr="00350AFA">
        <w:rPr>
          <w:lang w:val="hr-HR"/>
        </w:rPr>
        <w:t xml:space="preserve"> i/ili tereni ispod i/ili iznad </w:t>
      </w:r>
      <w:r w:rsidR="00607C55">
        <w:rPr>
          <w:lang w:val="hr-HR"/>
        </w:rPr>
        <w:t>građevina (</w:t>
      </w:r>
      <w:r w:rsidR="00D0459E" w:rsidRPr="00350AFA">
        <w:rPr>
          <w:lang w:val="hr-HR"/>
        </w:rPr>
        <w:t>objekata</w:t>
      </w:r>
      <w:r w:rsidR="00607C55">
        <w:rPr>
          <w:lang w:val="hr-HR"/>
        </w:rPr>
        <w:t>)</w:t>
      </w:r>
      <w:r w:rsidR="00D0459E" w:rsidRPr="00350AFA">
        <w:rPr>
          <w:lang w:val="hr-HR"/>
        </w:rPr>
        <w:t xml:space="preserve"> kao što su propusti za vodu, prolazi, prijelazi, mostovi, vijadukti, tuneli odnosno posebno (namjenski) izgrađeni prijelazi kao što su tunelski prolazi za vodozemce, cijevi i podzemni kanali za male sisavce, zeleni mostovi, vijadukti i tuneli</w:t>
      </w:r>
    </w:p>
    <w:p w14:paraId="7E9040CE" w14:textId="26FF85EF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9)</w:t>
      </w:r>
      <w:r w:rsidR="00D0459E" w:rsidRPr="00350AFA">
        <w:rPr>
          <w:lang w:val="hr-HR"/>
        </w:rPr>
        <w:tab/>
        <w:t>provalno svjetlo (</w:t>
      </w:r>
      <w:r w:rsidR="00A677C0">
        <w:rPr>
          <w:lang w:val="hr-HR"/>
        </w:rPr>
        <w:t xml:space="preserve">dalje u tekstu: </w:t>
      </w:r>
      <w:r w:rsidR="00D0459E" w:rsidRPr="00350AFA">
        <w:rPr>
          <w:lang w:val="hr-HR"/>
        </w:rPr>
        <w:t>PS) (</w:t>
      </w:r>
      <w:proofErr w:type="spellStart"/>
      <w:r w:rsidR="00D0459E" w:rsidRPr="00350AFA">
        <w:rPr>
          <w:lang w:val="hr-HR"/>
        </w:rPr>
        <w:t>light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trespass</w:t>
      </w:r>
      <w:proofErr w:type="spellEnd"/>
      <w:r w:rsidR="00D0459E" w:rsidRPr="00350AFA">
        <w:rPr>
          <w:lang w:val="hr-HR"/>
        </w:rPr>
        <w:t>) je onečišćujuće svjetlo, a radi se o dijelu maksimalnog dijela ukupnog svjetlosnog toka svjetiljke koji rasvjetljava površinu u susjedstvu koja nije u vlasništvu investitora rasvjete. To je onaj dio svjetlosnog toka koji rasvjetljava prostor između rasipnog svjetla i horizontale obzorja svjetiljke</w:t>
      </w:r>
    </w:p>
    <w:p w14:paraId="7F131E96" w14:textId="41EFF140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10)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 xml:space="preserve">rasipno svjetlo </w:t>
      </w:r>
      <w:r w:rsidR="00652DF6">
        <w:rPr>
          <w:lang w:val="hr-HR"/>
        </w:rPr>
        <w:t>(</w:t>
      </w:r>
      <w:r w:rsidR="00A677C0">
        <w:rPr>
          <w:lang w:val="hr-HR"/>
        </w:rPr>
        <w:t xml:space="preserve">dalje u tekstu: </w:t>
      </w:r>
      <w:r w:rsidR="00652DF6">
        <w:rPr>
          <w:lang w:val="hr-HR"/>
        </w:rPr>
        <w:t>RS)</w:t>
      </w:r>
      <w:r w:rsidR="00F710E1">
        <w:rPr>
          <w:lang w:val="hr-HR"/>
        </w:rPr>
        <w:t xml:space="preserve"> </w:t>
      </w:r>
      <w:r w:rsidR="00D0459E" w:rsidRPr="00350AFA">
        <w:rPr>
          <w:lang w:val="hr-HR"/>
        </w:rPr>
        <w:t>(</w:t>
      </w:r>
      <w:proofErr w:type="spellStart"/>
      <w:r w:rsidR="00D0459E" w:rsidRPr="00350AFA">
        <w:rPr>
          <w:lang w:val="hr-HR"/>
        </w:rPr>
        <w:t>spill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light</w:t>
      </w:r>
      <w:proofErr w:type="spellEnd"/>
      <w:r w:rsidR="00D0459E" w:rsidRPr="00350AFA">
        <w:rPr>
          <w:lang w:val="hr-HR"/>
        </w:rPr>
        <w:t>) je onaj dio svjetlosnog toka svjetiljke koji ne rasvjetljava samo površinu koja se želi rasvijetliti nego susjedne površine za koje ne postoji namjera rasvjetljavanja</w:t>
      </w:r>
    </w:p>
    <w:p w14:paraId="1B895528" w14:textId="13B494A0" w:rsidR="00D0459E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11)</w:t>
      </w:r>
      <w:r w:rsidR="006127D9">
        <w:rPr>
          <w:lang w:val="hr-HR"/>
        </w:rPr>
        <w:t xml:space="preserve"> </w:t>
      </w:r>
      <w:r w:rsidR="00D0459E" w:rsidRPr="00350AFA">
        <w:rPr>
          <w:lang w:val="hr-HR"/>
        </w:rPr>
        <w:t>rasvijetljenost je fizikalna veličina kojom se opisuje količina svjetla koja padne na od</w:t>
      </w:r>
      <w:r w:rsidR="00A677C0">
        <w:rPr>
          <w:lang w:val="hr-HR"/>
        </w:rPr>
        <w:t>ređenu površinu (jedinica luks (dalje u tekstu: lx)); lx</w:t>
      </w:r>
      <w:r w:rsidR="00D0459E" w:rsidRPr="00350AFA">
        <w:rPr>
          <w:lang w:val="hr-HR"/>
        </w:rPr>
        <w:t xml:space="preserve"> je izvedena jedinica </w:t>
      </w:r>
      <w:r w:rsidR="00422D9F">
        <w:rPr>
          <w:lang w:val="hr-HR"/>
        </w:rPr>
        <w:t>Međunarodnog sustava jedinica (</w:t>
      </w:r>
      <w:r w:rsidR="00F710E1">
        <w:rPr>
          <w:lang w:val="hr-HR"/>
        </w:rPr>
        <w:t xml:space="preserve">u daljnjem tekstu: </w:t>
      </w:r>
      <w:r w:rsidR="00422D9F">
        <w:rPr>
          <w:lang w:val="hr-HR"/>
        </w:rPr>
        <w:t>SI</w:t>
      </w:r>
      <w:r w:rsidR="00F710E1">
        <w:rPr>
          <w:lang w:val="hr-HR"/>
        </w:rPr>
        <w:t xml:space="preserve"> sustav</w:t>
      </w:r>
      <w:r w:rsidR="00422D9F">
        <w:rPr>
          <w:lang w:val="hr-HR"/>
        </w:rPr>
        <w:t>)</w:t>
      </w:r>
      <w:r w:rsidR="00D0459E" w:rsidRPr="00350AFA">
        <w:rPr>
          <w:lang w:val="hr-HR"/>
        </w:rPr>
        <w:t xml:space="preserve"> i predstavlja osvijetljenost površine </w:t>
      </w:r>
      <w:r w:rsidR="006F4FFF">
        <w:rPr>
          <w:lang w:val="hr-HR"/>
        </w:rPr>
        <w:t>jednog</w:t>
      </w:r>
      <w:r w:rsidR="00D0459E" w:rsidRPr="00350AFA">
        <w:rPr>
          <w:lang w:val="hr-HR"/>
        </w:rPr>
        <w:t xml:space="preserve"> kvadratnog metra na koju pada ravnomjerno raspodijeljen svjetlosni tok od </w:t>
      </w:r>
      <w:r w:rsidR="006F4FFF">
        <w:rPr>
          <w:lang w:val="hr-HR"/>
        </w:rPr>
        <w:t xml:space="preserve"> jednog</w:t>
      </w:r>
      <w:r w:rsidR="00D0459E" w:rsidRPr="00350AFA">
        <w:rPr>
          <w:lang w:val="hr-HR"/>
        </w:rPr>
        <w:t xml:space="preserve"> lumena</w:t>
      </w:r>
    </w:p>
    <w:p w14:paraId="5B7787D0" w14:textId="3E73F84F" w:rsidR="006127D9" w:rsidRDefault="006127D9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 xml:space="preserve">12) </w:t>
      </w:r>
      <w:r w:rsidRPr="006127D9">
        <w:rPr>
          <w:lang w:val="hr-HR"/>
        </w:rPr>
        <w:t xml:space="preserve">RGB je kratica za aditivni model boja Red (crvena) Green (zelena) Blue (plava) kod kojeg se zbrajanjem osnovnih boja dobiva bijela boja, opisana s tri vrijednosti: dio crvene, dio zelene i dio plave boje u kojem svaki dio boje varira između </w:t>
      </w:r>
      <w:r>
        <w:rPr>
          <w:lang w:val="hr-HR"/>
        </w:rPr>
        <w:t xml:space="preserve">nula </w:t>
      </w:r>
      <w:r w:rsidRPr="006127D9">
        <w:rPr>
          <w:lang w:val="hr-HR"/>
        </w:rPr>
        <w:t xml:space="preserve">% i </w:t>
      </w:r>
      <w:r>
        <w:rPr>
          <w:lang w:val="hr-HR"/>
        </w:rPr>
        <w:t xml:space="preserve">100 </w:t>
      </w:r>
      <w:r w:rsidRPr="006127D9">
        <w:rPr>
          <w:lang w:val="hr-HR"/>
        </w:rPr>
        <w:t>%</w:t>
      </w:r>
      <w:r>
        <w:rPr>
          <w:lang w:val="hr-HR"/>
        </w:rPr>
        <w:t xml:space="preserve"> (dalje u tekstu: RGB)</w:t>
      </w:r>
    </w:p>
    <w:p w14:paraId="0209C732" w14:textId="5747A19D" w:rsidR="006127D9" w:rsidRDefault="00B23C3F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 xml:space="preserve">13) </w:t>
      </w:r>
      <w:r w:rsidRPr="00B23C3F">
        <w:rPr>
          <w:lang w:val="hr-HR"/>
        </w:rPr>
        <w:t xml:space="preserve">RGBA je kratica za aditivni </w:t>
      </w:r>
      <w:proofErr w:type="spellStart"/>
      <w:r w:rsidRPr="00B23C3F">
        <w:rPr>
          <w:lang w:val="hr-HR"/>
        </w:rPr>
        <w:t>trokanalni</w:t>
      </w:r>
      <w:proofErr w:type="spellEnd"/>
      <w:r w:rsidRPr="00B23C3F">
        <w:rPr>
          <w:lang w:val="hr-HR"/>
        </w:rPr>
        <w:t xml:space="preserve"> aditivni RGB model boja s dodanim četvrtim alfa kanalom koji određuje prozirnost</w:t>
      </w:r>
      <w:r>
        <w:rPr>
          <w:lang w:val="hr-HR"/>
        </w:rPr>
        <w:t xml:space="preserve"> (dalje u tekstu: RGBA)</w:t>
      </w:r>
      <w:r w:rsidRPr="00B23C3F">
        <w:rPr>
          <w:lang w:val="hr-HR"/>
        </w:rPr>
        <w:t>.</w:t>
      </w:r>
    </w:p>
    <w:p w14:paraId="1E97C1D5" w14:textId="4014783B" w:rsidR="006127D9" w:rsidRPr="00350AFA" w:rsidRDefault="006127D9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14) RGBW</w:t>
      </w:r>
      <w:r w:rsidRPr="006127D9">
        <w:rPr>
          <w:lang w:val="hr-HR"/>
        </w:rPr>
        <w:t xml:space="preserve"> je kratica za aditivni RGB model boja kod kojeg se uz zbrajanje osnovnih nalazi i bijela boja s ciljem pojačanja intenziteta bijele boje</w:t>
      </w:r>
      <w:r>
        <w:rPr>
          <w:lang w:val="hr-HR"/>
        </w:rPr>
        <w:t xml:space="preserve"> </w:t>
      </w:r>
      <w:r w:rsidRPr="006127D9">
        <w:rPr>
          <w:lang w:val="hr-HR"/>
        </w:rPr>
        <w:t>(dalje u tekstu: RGB</w:t>
      </w:r>
      <w:r>
        <w:rPr>
          <w:lang w:val="hr-HR"/>
        </w:rPr>
        <w:t>W</w:t>
      </w:r>
      <w:r w:rsidRPr="006127D9">
        <w:rPr>
          <w:lang w:val="hr-HR"/>
        </w:rPr>
        <w:t>).</w:t>
      </w:r>
    </w:p>
    <w:p w14:paraId="7E94B253" w14:textId="7C6B7628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</w:t>
      </w:r>
      <w:r w:rsidR="006127D9">
        <w:rPr>
          <w:lang w:val="hr-HR"/>
        </w:rPr>
        <w:t>5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sjaj neba (</w:t>
      </w:r>
      <w:proofErr w:type="spellStart"/>
      <w:r w:rsidR="00D0459E" w:rsidRPr="00350AFA">
        <w:rPr>
          <w:lang w:val="hr-HR"/>
        </w:rPr>
        <w:t>sky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glow</w:t>
      </w:r>
      <w:proofErr w:type="spellEnd"/>
      <w:r w:rsidR="00D0459E" w:rsidRPr="00350AFA">
        <w:rPr>
          <w:lang w:val="hr-HR"/>
        </w:rPr>
        <w:t>) je osvijetljenost noćnog neba koja nastaje kao posljedica širenja svjetla bilo od svjetiljki koje emitiraju izravno prema gore ili se odbijaju od zemlje. Svjetlost se raspršuj</w:t>
      </w:r>
      <w:r w:rsidR="00A677C0">
        <w:rPr>
          <w:lang w:val="hr-HR"/>
        </w:rPr>
        <w:t>e</w:t>
      </w:r>
      <w:r w:rsidR="00D0459E" w:rsidRPr="00350AFA">
        <w:rPr>
          <w:lang w:val="hr-HR"/>
        </w:rPr>
        <w:t xml:space="preserve"> na molekulama prašine i plinova u atmosferi, stvarajući blistavu pozadinu. Nebeski sjaj je vrlo promjenjiv i ovisan je o neposrednim vremenskim uvjetima, količini prašine i plina u atmosferi, količini svjetlosti usmjerenoj prema nebu </w:t>
      </w:r>
      <w:r w:rsidR="00D0459E" w:rsidRPr="00350AFA">
        <w:rPr>
          <w:lang w:val="hr-HR"/>
        </w:rPr>
        <w:lastRenderedPageBreak/>
        <w:t>i smjeru iz kojeg se gleda. Sjaj neba mjeri se u magnitudama po kvadratnoj lučnoj sekundi. Sastoji se od dvije zasebne komponente i to:</w:t>
      </w:r>
    </w:p>
    <w:p w14:paraId="298A0F58" w14:textId="72BCAC6F" w:rsidR="00D0459E" w:rsidRPr="00350AFA" w:rsidRDefault="00D0459E" w:rsidP="00E41FFA">
      <w:pPr>
        <w:spacing w:before="60" w:after="60" w:line="240" w:lineRule="auto"/>
        <w:ind w:left="1134" w:hanging="284"/>
        <w:rPr>
          <w:lang w:val="hr-HR"/>
        </w:rPr>
      </w:pPr>
      <w:r w:rsidRPr="00350AFA">
        <w:rPr>
          <w:lang w:val="hr-HR"/>
        </w:rPr>
        <w:tab/>
      </w:r>
      <w:r w:rsidR="008314AE">
        <w:rPr>
          <w:lang w:val="hr-HR"/>
        </w:rPr>
        <w:t xml:space="preserve">- </w:t>
      </w:r>
      <w:r w:rsidRPr="00350AFA">
        <w:rPr>
          <w:lang w:val="hr-HR"/>
        </w:rPr>
        <w:t>prirodna osvijetljenost neba – onaj dio sjaja neba koji se može pripisati zračenju nebeskih izvora i svjetlosnih procesa u Zemljinoj gornjoj atmosferi i</w:t>
      </w:r>
    </w:p>
    <w:p w14:paraId="307B59BE" w14:textId="3B60B2AD" w:rsidR="00D0459E" w:rsidRPr="00350AFA" w:rsidRDefault="009D66FC" w:rsidP="00E41FFA">
      <w:pPr>
        <w:spacing w:before="60" w:after="60" w:line="240" w:lineRule="auto"/>
        <w:ind w:left="1134" w:hanging="284"/>
        <w:rPr>
          <w:lang w:val="hr-HR"/>
        </w:rPr>
      </w:pPr>
      <w:r>
        <w:rPr>
          <w:lang w:val="hr-HR"/>
        </w:rPr>
        <w:tab/>
      </w:r>
      <w:r w:rsidR="008314AE">
        <w:rPr>
          <w:lang w:val="hr-HR"/>
        </w:rPr>
        <w:t xml:space="preserve">- </w:t>
      </w:r>
      <w:r w:rsidR="00D0459E" w:rsidRPr="00350AFA">
        <w:rPr>
          <w:lang w:val="hr-HR"/>
        </w:rPr>
        <w:t>čovjekovim djelovanjem osvijetljenost neba – onaj dio osvijetljenosti neba koji se može pripisati djelovanju čovjeka u smislu postave izvora zračenja (npr. umjetna vanjska rasvjeta), uključujući zračenje koje se emitira izravno prema gore i zračenje koje se odražava s površine Zemlje.</w:t>
      </w:r>
    </w:p>
    <w:p w14:paraId="072E9F66" w14:textId="41C9BEB8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</w:t>
      </w:r>
      <w:r w:rsidR="006127D9">
        <w:rPr>
          <w:lang w:val="hr-HR"/>
        </w:rPr>
        <w:t>6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sustav s promjenjivom temperaturom boje (</w:t>
      </w:r>
      <w:proofErr w:type="spellStart"/>
      <w:r w:rsidR="00D0459E" w:rsidRPr="00350AFA">
        <w:rPr>
          <w:lang w:val="hr-HR"/>
        </w:rPr>
        <w:t>tuneable</w:t>
      </w:r>
      <w:proofErr w:type="spellEnd"/>
      <w:r w:rsidR="00D0459E" w:rsidRPr="00350AFA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white</w:t>
      </w:r>
      <w:proofErr w:type="spellEnd"/>
      <w:r w:rsidR="00D0459E" w:rsidRPr="00350AFA">
        <w:rPr>
          <w:lang w:val="hr-HR"/>
        </w:rPr>
        <w:t xml:space="preserve"> system) predstavlja rasvjetni sustav s dinamičnom promjenom korelirane boje</w:t>
      </w:r>
    </w:p>
    <w:p w14:paraId="22A5C993" w14:textId="53F4D076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</w:t>
      </w:r>
      <w:r w:rsidR="006127D9">
        <w:rPr>
          <w:lang w:val="hr-HR"/>
        </w:rPr>
        <w:t>7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sustav upravljanja rasvjetom je automatizirani sustav koji omogućuje upr</w:t>
      </w:r>
      <w:r w:rsidR="00A677C0">
        <w:rPr>
          <w:lang w:val="hr-HR"/>
        </w:rPr>
        <w:t xml:space="preserve">avljanje s povezanom rasvjetom, </w:t>
      </w:r>
      <w:r w:rsidR="00D0459E" w:rsidRPr="00350AFA">
        <w:rPr>
          <w:lang w:val="hr-HR"/>
        </w:rPr>
        <w:t xml:space="preserve">a omogućuje upravljanje intenzitetom, vremenom uključivanja-isključivanja i vremenima promjene intenziteta te definiranje dinamičkih scena rasvjete; u slučaju korištenja </w:t>
      </w:r>
      <w:r w:rsidR="00D0459E" w:rsidRPr="006127D9">
        <w:rPr>
          <w:lang w:val="hr-HR"/>
        </w:rPr>
        <w:t>RGB ili RGBW</w:t>
      </w:r>
      <w:r w:rsidR="00D0459E" w:rsidRPr="00350AFA">
        <w:rPr>
          <w:lang w:val="hr-HR"/>
        </w:rPr>
        <w:t xml:space="preserve"> svjetiljka omogućuje i vremensko definiranje promjena boja i intenziteta rasvjete</w:t>
      </w:r>
    </w:p>
    <w:p w14:paraId="4D32C4BF" w14:textId="564DA864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</w:t>
      </w:r>
      <w:r w:rsidR="006127D9">
        <w:rPr>
          <w:lang w:val="hr-HR"/>
        </w:rPr>
        <w:t>8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svjetiljka je električna naprava (fiksna ili prenosiva) koja ima ugrađen jedan ili više izvora svjetlosti, a namijenjena je emisiji, usmjeravanju ili filtriranju svjetla;</w:t>
      </w:r>
    </w:p>
    <w:p w14:paraId="2FB2C401" w14:textId="06B86081" w:rsidR="00D0459E" w:rsidRPr="00350AFA" w:rsidRDefault="00755E4C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1</w:t>
      </w:r>
      <w:r w:rsidR="006127D9">
        <w:rPr>
          <w:lang w:val="hr-HR"/>
        </w:rPr>
        <w:t>9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 xml:space="preserve">svjetlina ili </w:t>
      </w:r>
      <w:proofErr w:type="spellStart"/>
      <w:r w:rsidR="00D0459E" w:rsidRPr="00350AFA">
        <w:rPr>
          <w:lang w:val="hr-HR"/>
        </w:rPr>
        <w:t>luminancija</w:t>
      </w:r>
      <w:proofErr w:type="spellEnd"/>
      <w:r w:rsidR="00D0459E" w:rsidRPr="00350AFA">
        <w:rPr>
          <w:lang w:val="hr-HR"/>
        </w:rPr>
        <w:t xml:space="preserve"> je svjetlosna jakost koju neki izvor svjetlosti emitira ili reflektira po jedinici površine od 1m</w:t>
      </w:r>
      <w:r w:rsidR="00D0459E" w:rsidRPr="00FB0FB6">
        <w:rPr>
          <w:vertAlign w:val="superscript"/>
          <w:lang w:val="hr-HR"/>
        </w:rPr>
        <w:t>2</w:t>
      </w:r>
      <w:r w:rsidR="00D0459E" w:rsidRPr="00350AFA">
        <w:rPr>
          <w:lang w:val="hr-HR"/>
        </w:rPr>
        <w:t xml:space="preserve"> (jedinica cd/m</w:t>
      </w:r>
      <w:r w:rsidR="00D0459E" w:rsidRPr="00FB0FB6">
        <w:rPr>
          <w:vertAlign w:val="superscript"/>
          <w:lang w:val="hr-HR"/>
        </w:rPr>
        <w:t>2</w:t>
      </w:r>
      <w:r w:rsidR="00D0459E" w:rsidRPr="00350AFA">
        <w:rPr>
          <w:lang w:val="hr-HR"/>
        </w:rPr>
        <w:t xml:space="preserve">), </w:t>
      </w:r>
      <w:proofErr w:type="spellStart"/>
      <w:r w:rsidR="00D0459E" w:rsidRPr="00350AFA">
        <w:rPr>
          <w:lang w:val="hr-HR"/>
        </w:rPr>
        <w:t>Candela</w:t>
      </w:r>
      <w:proofErr w:type="spellEnd"/>
      <w:r w:rsidR="00D0459E" w:rsidRPr="00350AFA">
        <w:rPr>
          <w:lang w:val="hr-HR"/>
        </w:rPr>
        <w:t xml:space="preserve"> na kvadratni metar (</w:t>
      </w:r>
      <w:r w:rsidR="00395AF9">
        <w:rPr>
          <w:lang w:val="hr-HR"/>
        </w:rPr>
        <w:t xml:space="preserve">dalje u tekstu: </w:t>
      </w:r>
      <w:r w:rsidR="00D0459E" w:rsidRPr="00350AFA">
        <w:rPr>
          <w:lang w:val="hr-HR"/>
        </w:rPr>
        <w:t xml:space="preserve">cd/m2) je izvedena jedinica i definirana je kao svjetlina homogenog izvora svjetlosti ravne površine veličine 1 kvadratnog metra, koji zrači svjetlosnom jačinom od 1 </w:t>
      </w:r>
      <w:proofErr w:type="spellStart"/>
      <w:r w:rsidR="00D0459E" w:rsidRPr="00350AFA">
        <w:rPr>
          <w:lang w:val="hr-HR"/>
        </w:rPr>
        <w:t>candele</w:t>
      </w:r>
      <w:proofErr w:type="spellEnd"/>
      <w:r w:rsidR="00D0459E" w:rsidRPr="00350AFA">
        <w:rPr>
          <w:lang w:val="hr-HR"/>
        </w:rPr>
        <w:t xml:space="preserve"> pravokutno na tu površinu. Svjetlina (</w:t>
      </w:r>
      <w:proofErr w:type="spellStart"/>
      <w:r w:rsidR="00D0459E" w:rsidRPr="00350AFA">
        <w:rPr>
          <w:lang w:val="hr-HR"/>
        </w:rPr>
        <w:t>luminancija</w:t>
      </w:r>
      <w:proofErr w:type="spellEnd"/>
      <w:r w:rsidR="00D0459E" w:rsidRPr="00350AFA">
        <w:rPr>
          <w:lang w:val="hr-HR"/>
        </w:rPr>
        <w:t xml:space="preserve">) je jedina </w:t>
      </w:r>
      <w:proofErr w:type="spellStart"/>
      <w:r w:rsidR="00D0459E" w:rsidRPr="00350AFA">
        <w:rPr>
          <w:lang w:val="hr-HR"/>
        </w:rPr>
        <w:t>svjetlotehnička</w:t>
      </w:r>
      <w:proofErr w:type="spellEnd"/>
      <w:r w:rsidR="00D0459E" w:rsidRPr="00350AFA">
        <w:rPr>
          <w:lang w:val="hr-HR"/>
        </w:rPr>
        <w:t xml:space="preserve"> veličina koju čovječje oko neposredno osjeća</w:t>
      </w:r>
    </w:p>
    <w:p w14:paraId="7816346D" w14:textId="737A9CDB" w:rsidR="00D0459E" w:rsidRPr="00350AFA" w:rsidRDefault="006127D9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20</w:t>
      </w:r>
      <w:r w:rsidR="00755E4C"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 xml:space="preserve">svjetlosna jakost izvora svjetlosti opisuje snagu elektromagnetskog zračenja izvora u području frekvencija vidljive svjetlosti (jedinica </w:t>
      </w:r>
      <w:proofErr w:type="spellStart"/>
      <w:r w:rsidR="00D0459E" w:rsidRPr="00350AFA">
        <w:rPr>
          <w:lang w:val="hr-HR"/>
        </w:rPr>
        <w:t>Candela</w:t>
      </w:r>
      <w:proofErr w:type="spellEnd"/>
      <w:r w:rsidR="00D0459E" w:rsidRPr="00350AFA">
        <w:rPr>
          <w:lang w:val="hr-HR"/>
        </w:rPr>
        <w:t xml:space="preserve"> (</w:t>
      </w:r>
      <w:r w:rsidR="00395AF9">
        <w:rPr>
          <w:lang w:val="hr-HR"/>
        </w:rPr>
        <w:t xml:space="preserve">dalje u tekstu: </w:t>
      </w:r>
      <w:r w:rsidR="00D0459E" w:rsidRPr="00350AFA">
        <w:rPr>
          <w:lang w:val="hr-HR"/>
        </w:rPr>
        <w:t xml:space="preserve">cd)); </w:t>
      </w:r>
      <w:r w:rsidR="00395AF9">
        <w:rPr>
          <w:lang w:val="hr-HR"/>
        </w:rPr>
        <w:t>cd</w:t>
      </w:r>
      <w:r w:rsidR="00D0459E" w:rsidRPr="00350AFA">
        <w:rPr>
          <w:lang w:val="hr-HR"/>
        </w:rPr>
        <w:t xml:space="preserve"> je osnovna mjerna jedinica SI sustava, a definirana je kao svjetlosna jakost, usmjerena prema određenom smjeru od izvora, koji emitira monokromatsko (jednobojno) zračenje, frekvencije 540 x 1012 Hz i da je svjetlosna jakost u tom smjeru 1/683 W po steradijanu (pomoćna jedinica SI sustava za mjerenje prostornog kuta)</w:t>
      </w:r>
    </w:p>
    <w:p w14:paraId="06E6202E" w14:textId="07B82FE7" w:rsidR="00D0459E" w:rsidRPr="00350AFA" w:rsidRDefault="006127D9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21</w:t>
      </w:r>
      <w:r w:rsidR="00755E4C"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svjetlosna refleksija je dio svjetlosti koje je napustilo površinu koja se rasvjetljava, a koji je po intenzitetu manji za iznos apsorbirane svjetlosti rasvijetljene površine</w:t>
      </w:r>
    </w:p>
    <w:p w14:paraId="456D2B73" w14:textId="4FB37A75" w:rsidR="00D0459E" w:rsidRPr="00350AFA" w:rsidRDefault="006127D9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22</w:t>
      </w:r>
      <w:r w:rsidR="00755E4C"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svjetlosni sustav je električni sklop sastavljen od jednog ili više izvora svjetlosti i uređaja koji omogućuju da taj izvor emitira svjetlost te u ovisnosti o vrsti svjetlosti može biti:</w:t>
      </w:r>
    </w:p>
    <w:p w14:paraId="0828B119" w14:textId="77777777" w:rsidR="00D0459E" w:rsidRPr="00350AFA" w:rsidRDefault="00D0459E" w:rsidP="00E41FFA">
      <w:pPr>
        <w:spacing w:before="60" w:after="60" w:line="240" w:lineRule="auto"/>
        <w:ind w:left="1134" w:hanging="284"/>
        <w:rPr>
          <w:lang w:val="hr-HR"/>
        </w:rPr>
      </w:pPr>
      <w:r w:rsidRPr="00350AFA">
        <w:rPr>
          <w:lang w:val="hr-HR"/>
        </w:rPr>
        <w:t>-</w:t>
      </w:r>
      <w:r w:rsidRPr="00350AFA">
        <w:rPr>
          <w:lang w:val="hr-HR"/>
        </w:rPr>
        <w:tab/>
        <w:t>svjetlosni sustav koji emitira svijetlost vidljivog dijela spektra iz područja od 380 do 780 nm (</w:t>
      </w:r>
      <w:r w:rsidRPr="00011290">
        <w:rPr>
          <w:lang w:val="hr-HR"/>
        </w:rPr>
        <w:t>RGB</w:t>
      </w:r>
      <w:r w:rsidRPr="00350AFA">
        <w:rPr>
          <w:lang w:val="hr-HR"/>
        </w:rPr>
        <w:t xml:space="preserve"> sustav)</w:t>
      </w:r>
    </w:p>
    <w:p w14:paraId="1C1EC927" w14:textId="77777777" w:rsidR="00D0459E" w:rsidRPr="00350AFA" w:rsidRDefault="00D0459E" w:rsidP="00E41FFA">
      <w:pPr>
        <w:spacing w:before="60" w:after="60" w:line="240" w:lineRule="auto"/>
        <w:ind w:left="1134" w:hanging="284"/>
        <w:rPr>
          <w:lang w:val="hr-HR"/>
        </w:rPr>
      </w:pPr>
      <w:r w:rsidRPr="00350AFA">
        <w:rPr>
          <w:lang w:val="hr-HR"/>
        </w:rPr>
        <w:t>-</w:t>
      </w:r>
      <w:r w:rsidRPr="00350AFA">
        <w:rPr>
          <w:lang w:val="hr-HR"/>
        </w:rPr>
        <w:tab/>
        <w:t>svjetlosni sustav koji kombinira svijetlost vidljivog dijela spektra iz područja od 380 do 780 nm (RGB izvore svjetlosti) i bijelu svijetlost (</w:t>
      </w:r>
      <w:r w:rsidRPr="00011290">
        <w:rPr>
          <w:lang w:val="hr-HR"/>
        </w:rPr>
        <w:t>RGBW</w:t>
      </w:r>
      <w:r w:rsidRPr="00350AFA">
        <w:rPr>
          <w:lang w:val="hr-HR"/>
        </w:rPr>
        <w:t xml:space="preserve"> sustav)</w:t>
      </w:r>
    </w:p>
    <w:p w14:paraId="64179211" w14:textId="77777777" w:rsidR="00D0459E" w:rsidRPr="00350AFA" w:rsidRDefault="00D0459E" w:rsidP="00E41FFA">
      <w:pPr>
        <w:spacing w:before="60" w:after="60" w:line="240" w:lineRule="auto"/>
        <w:ind w:left="1134" w:hanging="284"/>
        <w:rPr>
          <w:lang w:val="hr-HR"/>
        </w:rPr>
      </w:pPr>
      <w:r w:rsidRPr="00350AFA">
        <w:rPr>
          <w:lang w:val="hr-HR"/>
        </w:rPr>
        <w:t>-</w:t>
      </w:r>
      <w:r w:rsidRPr="00350AFA">
        <w:rPr>
          <w:lang w:val="hr-HR"/>
        </w:rPr>
        <w:tab/>
        <w:t xml:space="preserve">svjetlosni sustav koji kombinira svijetlost vidljivog dijela spektra iz područja od 380 do 780 nm (RGB izvore svjetlosti) i monokromatsku </w:t>
      </w:r>
      <w:proofErr w:type="spellStart"/>
      <w:r w:rsidRPr="00350AFA">
        <w:rPr>
          <w:lang w:val="hr-HR"/>
        </w:rPr>
        <w:t>ambra</w:t>
      </w:r>
      <w:proofErr w:type="spellEnd"/>
      <w:r w:rsidRPr="00350AFA">
        <w:rPr>
          <w:lang w:val="hr-HR"/>
        </w:rPr>
        <w:t xml:space="preserve"> svjetlost (</w:t>
      </w:r>
      <w:r w:rsidRPr="00011290">
        <w:rPr>
          <w:lang w:val="hr-HR"/>
        </w:rPr>
        <w:t>RGBA</w:t>
      </w:r>
      <w:r w:rsidRPr="00350AFA">
        <w:rPr>
          <w:lang w:val="hr-HR"/>
        </w:rPr>
        <w:t xml:space="preserve"> sustav).</w:t>
      </w:r>
    </w:p>
    <w:p w14:paraId="774B7927" w14:textId="166F5A52" w:rsidR="00D0459E" w:rsidRPr="00350AFA" w:rsidRDefault="008E3BB2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2</w:t>
      </w:r>
      <w:r w:rsidR="006127D9">
        <w:rPr>
          <w:lang w:val="hr-HR"/>
        </w:rPr>
        <w:t>3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proofErr w:type="spellStart"/>
      <w:r w:rsidR="00D0459E" w:rsidRPr="00350AFA">
        <w:rPr>
          <w:lang w:val="hr-HR"/>
        </w:rPr>
        <w:t>svjetlostaj</w:t>
      </w:r>
      <w:proofErr w:type="spellEnd"/>
      <w:r w:rsidR="00D0459E" w:rsidRPr="00350AFA">
        <w:rPr>
          <w:lang w:val="hr-HR"/>
        </w:rPr>
        <w:t xml:space="preserve"> (</w:t>
      </w:r>
      <w:proofErr w:type="spellStart"/>
      <w:r w:rsidR="00D0459E" w:rsidRPr="00350AFA">
        <w:rPr>
          <w:lang w:val="hr-HR"/>
        </w:rPr>
        <w:t>Curfew</w:t>
      </w:r>
      <w:proofErr w:type="spellEnd"/>
      <w:r w:rsidR="00D0459E" w:rsidRPr="00350AFA">
        <w:rPr>
          <w:lang w:val="hr-HR"/>
        </w:rPr>
        <w:t xml:space="preserve">) predstavlja vremenski period noći za čijeg trajanja se vanjska rasvjeta gasi ili smanjuje na propisanu odgovarajuću razinu. </w:t>
      </w:r>
      <w:r w:rsidR="00C0550E" w:rsidRPr="00350AFA">
        <w:rPr>
          <w:lang w:val="hr-HR"/>
        </w:rPr>
        <w:t>JLS</w:t>
      </w:r>
      <w:r w:rsidR="00D0459E" w:rsidRPr="00350AFA">
        <w:rPr>
          <w:lang w:val="hr-HR"/>
        </w:rPr>
        <w:t xml:space="preserve"> i Grad Zagreb </w:t>
      </w:r>
      <w:r w:rsidR="00947200">
        <w:rPr>
          <w:lang w:val="hr-HR"/>
        </w:rPr>
        <w:t>P</w:t>
      </w:r>
      <w:r w:rsidR="00D0459E" w:rsidRPr="00350AFA">
        <w:rPr>
          <w:lang w:val="hr-HR"/>
        </w:rPr>
        <w:t xml:space="preserve">lanom rasvjete definiraju početak </w:t>
      </w:r>
      <w:proofErr w:type="spellStart"/>
      <w:r w:rsidR="00D0459E" w:rsidRPr="00350AFA">
        <w:rPr>
          <w:lang w:val="hr-HR"/>
        </w:rPr>
        <w:t>svjetlostaja</w:t>
      </w:r>
      <w:proofErr w:type="spellEnd"/>
      <w:r w:rsidR="00D0459E" w:rsidRPr="00350AFA">
        <w:rPr>
          <w:lang w:val="hr-HR"/>
        </w:rPr>
        <w:t xml:space="preserve"> koji može odstupati maksimalno do jednog sata u odnosu na sredinu noći. Noć u smislu ovog</w:t>
      </w:r>
      <w:r w:rsidR="00395AF9">
        <w:rPr>
          <w:lang w:val="hr-HR"/>
        </w:rPr>
        <w:t>a</w:t>
      </w:r>
      <w:r w:rsidR="00D0459E" w:rsidRPr="00350AFA">
        <w:rPr>
          <w:lang w:val="hr-HR"/>
        </w:rPr>
        <w:t xml:space="preserve"> pravilnika pr</w:t>
      </w:r>
      <w:r w:rsidR="00960F32" w:rsidRPr="00350AFA">
        <w:rPr>
          <w:lang w:val="hr-HR"/>
        </w:rPr>
        <w:t>edstavlja period od zalaska sun</w:t>
      </w:r>
      <w:r w:rsidR="00D0459E" w:rsidRPr="00350AFA">
        <w:rPr>
          <w:lang w:val="hr-HR"/>
        </w:rPr>
        <w:t xml:space="preserve">ca do zore.  </w:t>
      </w:r>
    </w:p>
    <w:p w14:paraId="2573CB59" w14:textId="33FE1822" w:rsidR="00D0459E" w:rsidRPr="00350AFA" w:rsidRDefault="008E3BB2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lastRenderedPageBreak/>
        <w:t>2</w:t>
      </w:r>
      <w:r w:rsidR="006127D9">
        <w:rPr>
          <w:lang w:val="hr-HR"/>
        </w:rPr>
        <w:t>4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turizam je gospodarska djelatnost koja obuhvaća turistička kretanja i sve odnose koji proizlaze iz takvih kretanja</w:t>
      </w:r>
    </w:p>
    <w:p w14:paraId="664CEAAC" w14:textId="6A1A69DD" w:rsidR="00D0459E" w:rsidRPr="00350AFA" w:rsidRDefault="008E3BB2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2</w:t>
      </w:r>
      <w:r w:rsidR="006127D9">
        <w:rPr>
          <w:lang w:val="hr-HR"/>
        </w:rPr>
        <w:t>5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ukupno proizvedeni svjetlosni tok svjetiljke LOR (</w:t>
      </w:r>
      <w:proofErr w:type="spellStart"/>
      <w:r w:rsidR="00D0459E" w:rsidRPr="00350AFA">
        <w:rPr>
          <w:lang w:val="hr-HR"/>
        </w:rPr>
        <w:t>Light</w:t>
      </w:r>
      <w:proofErr w:type="spellEnd"/>
      <w:r w:rsidR="00D0459E" w:rsidRPr="00350AFA">
        <w:rPr>
          <w:lang w:val="hr-HR"/>
        </w:rPr>
        <w:t xml:space="preserve"> Output </w:t>
      </w:r>
      <w:proofErr w:type="spellStart"/>
      <w:r w:rsidR="00D0459E" w:rsidRPr="00350AFA">
        <w:rPr>
          <w:lang w:val="hr-HR"/>
        </w:rPr>
        <w:t>Ratio</w:t>
      </w:r>
      <w:proofErr w:type="spellEnd"/>
      <w:r w:rsidR="00D0459E" w:rsidRPr="00350AFA">
        <w:rPr>
          <w:lang w:val="hr-HR"/>
        </w:rPr>
        <w:t>) je ukupno proizvedeni svjetlosni tok svjetiljke koji se dijeli na ULOR i na DLOR</w:t>
      </w:r>
    </w:p>
    <w:p w14:paraId="2FD3C46B" w14:textId="5546A912" w:rsidR="00D0459E" w:rsidRPr="00350AFA" w:rsidRDefault="00D0459E" w:rsidP="00E41FFA">
      <w:pPr>
        <w:spacing w:before="60" w:after="60" w:line="240" w:lineRule="auto"/>
        <w:ind w:left="993" w:hanging="143"/>
        <w:rPr>
          <w:lang w:val="hr-HR"/>
        </w:rPr>
      </w:pPr>
      <w:r w:rsidRPr="00350AFA">
        <w:rPr>
          <w:lang w:val="hr-HR"/>
        </w:rPr>
        <w:t>- ULOR (</w:t>
      </w:r>
      <w:proofErr w:type="spellStart"/>
      <w:r w:rsidRPr="00350AFA">
        <w:rPr>
          <w:lang w:val="hr-HR"/>
        </w:rPr>
        <w:t>Upward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Light</w:t>
      </w:r>
      <w:proofErr w:type="spellEnd"/>
      <w:r w:rsidRPr="00350AFA">
        <w:rPr>
          <w:lang w:val="hr-HR"/>
        </w:rPr>
        <w:t xml:space="preserve"> Output </w:t>
      </w:r>
      <w:proofErr w:type="spellStart"/>
      <w:r w:rsidRPr="00350AFA">
        <w:rPr>
          <w:lang w:val="hr-HR"/>
        </w:rPr>
        <w:t>Ratio</w:t>
      </w:r>
      <w:proofErr w:type="spellEnd"/>
      <w:r w:rsidRPr="00350AFA">
        <w:rPr>
          <w:lang w:val="hr-HR"/>
        </w:rPr>
        <w:t>) predstavlja dio svjetlosnog toka kojeg svjetiljka isijava iznad horizontale u odnosu na ukupni svjetlosni tok svjetiljke. Podrazumijeva se da je svjetiljka montirana prema tvorničkim parametrima.</w:t>
      </w:r>
    </w:p>
    <w:p w14:paraId="6A2300FB" w14:textId="12D0F4E7" w:rsidR="00D0459E" w:rsidRPr="00350AFA" w:rsidRDefault="00D0459E" w:rsidP="00E41FFA">
      <w:pPr>
        <w:spacing w:before="60" w:after="60" w:line="240" w:lineRule="auto"/>
        <w:ind w:left="993" w:hanging="143"/>
        <w:rPr>
          <w:lang w:val="hr-HR"/>
        </w:rPr>
      </w:pPr>
      <w:r w:rsidRPr="00350AFA">
        <w:rPr>
          <w:lang w:val="hr-HR"/>
        </w:rPr>
        <w:t xml:space="preserve">- </w:t>
      </w:r>
      <w:proofErr w:type="spellStart"/>
      <w:r w:rsidRPr="00350AFA">
        <w:rPr>
          <w:lang w:val="hr-HR"/>
        </w:rPr>
        <w:t>ULORinst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Upward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Light</w:t>
      </w:r>
      <w:proofErr w:type="spellEnd"/>
      <w:r w:rsidRPr="00350AFA">
        <w:rPr>
          <w:lang w:val="hr-HR"/>
        </w:rPr>
        <w:t xml:space="preserve"> Output </w:t>
      </w:r>
      <w:proofErr w:type="spellStart"/>
      <w:r w:rsidRPr="00350AFA">
        <w:rPr>
          <w:lang w:val="hr-HR"/>
        </w:rPr>
        <w:t>Ratio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installed</w:t>
      </w:r>
      <w:proofErr w:type="spellEnd"/>
      <w:r w:rsidRPr="00350AFA">
        <w:rPr>
          <w:lang w:val="hr-HR"/>
        </w:rPr>
        <w:t>) predstavlja dio svjetlosnog toka kojeg na drugačiji način montirana svjetiljka u odnosu na tvorničke parametre isijava iznad horizontale u odnosu na ukupni svjetlosni tok svjetiljke;</w:t>
      </w:r>
    </w:p>
    <w:p w14:paraId="5BE97B4B" w14:textId="583BB7ED" w:rsidR="00D0459E" w:rsidRPr="00350AFA" w:rsidRDefault="00D0459E" w:rsidP="00E41FFA">
      <w:pPr>
        <w:spacing w:before="60" w:after="60" w:line="240" w:lineRule="auto"/>
        <w:ind w:left="993" w:hanging="143"/>
        <w:rPr>
          <w:lang w:val="hr-HR"/>
        </w:rPr>
      </w:pPr>
      <w:r w:rsidRPr="00350AFA">
        <w:rPr>
          <w:lang w:val="hr-HR"/>
        </w:rPr>
        <w:t>- DLOR (</w:t>
      </w:r>
      <w:proofErr w:type="spellStart"/>
      <w:r w:rsidRPr="00350AFA">
        <w:rPr>
          <w:lang w:val="hr-HR"/>
        </w:rPr>
        <w:t>Downward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Light</w:t>
      </w:r>
      <w:proofErr w:type="spellEnd"/>
      <w:r w:rsidRPr="00350AFA">
        <w:rPr>
          <w:lang w:val="hr-HR"/>
        </w:rPr>
        <w:t xml:space="preserve"> Output </w:t>
      </w:r>
      <w:proofErr w:type="spellStart"/>
      <w:r w:rsidRPr="00350AFA">
        <w:rPr>
          <w:lang w:val="hr-HR"/>
        </w:rPr>
        <w:t>Ratio</w:t>
      </w:r>
      <w:proofErr w:type="spellEnd"/>
      <w:r w:rsidRPr="00350AFA">
        <w:rPr>
          <w:lang w:val="hr-HR"/>
        </w:rPr>
        <w:t>) predstavlja dio svjetlosnog toka kojeg svjetiljka isijava ispod horizontale u odnosu na ukupni svjetlosni tok svjetiljke. DLOR se dijeli na korisno svjetlo</w:t>
      </w:r>
      <w:r w:rsidR="00395AF9">
        <w:rPr>
          <w:lang w:val="hr-HR"/>
        </w:rPr>
        <w:t xml:space="preserve"> </w:t>
      </w:r>
      <w:r w:rsidRPr="00350AFA">
        <w:rPr>
          <w:lang w:val="hr-HR"/>
        </w:rPr>
        <w:t xml:space="preserve">(KS), </w:t>
      </w:r>
      <w:r w:rsidR="00395AF9">
        <w:rPr>
          <w:lang w:val="hr-HR"/>
        </w:rPr>
        <w:t>RS</w:t>
      </w:r>
      <w:r w:rsidRPr="00350AFA">
        <w:rPr>
          <w:lang w:val="hr-HR"/>
        </w:rPr>
        <w:t xml:space="preserve"> i na provalno svjetlo </w:t>
      </w:r>
      <w:r w:rsidR="00395AF9">
        <w:rPr>
          <w:lang w:val="hr-HR"/>
        </w:rPr>
        <w:t>PS</w:t>
      </w:r>
    </w:p>
    <w:p w14:paraId="272BCB7B" w14:textId="312B12A2" w:rsidR="00D0459E" w:rsidRPr="00350AFA" w:rsidRDefault="008E3BB2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2</w:t>
      </w:r>
      <w:r w:rsidR="006127D9">
        <w:rPr>
          <w:lang w:val="hr-HR"/>
        </w:rPr>
        <w:t>6</w:t>
      </w:r>
      <w:r>
        <w:rPr>
          <w:lang w:val="hr-HR"/>
        </w:rPr>
        <w:t>)</w:t>
      </w:r>
      <w:r w:rsidR="002E276D">
        <w:rPr>
          <w:lang w:val="hr-HR"/>
        </w:rPr>
        <w:t xml:space="preserve"> </w:t>
      </w:r>
      <w:r w:rsidR="00D0459E" w:rsidRPr="00350AFA">
        <w:rPr>
          <w:lang w:val="hr-HR"/>
        </w:rPr>
        <w:t>zaštićen</w:t>
      </w:r>
      <w:r w:rsidR="002E276D">
        <w:rPr>
          <w:lang w:val="hr-HR"/>
        </w:rPr>
        <w:t>a</w:t>
      </w:r>
      <w:r w:rsidR="00D0459E" w:rsidRPr="00350AFA">
        <w:rPr>
          <w:lang w:val="hr-HR"/>
        </w:rPr>
        <w:t xml:space="preserve"> područja sukladno propisu kojim se uređuje zaštita prirode u Republici Hrvatskoj su: nacionalni parkovi, parkovi prirode, strogi i posebni rezervati, regionalni parkovi, značajni krajobrazi, spomenici prirode, park šume i spomenici </w:t>
      </w:r>
      <w:proofErr w:type="spellStart"/>
      <w:r w:rsidR="00D0459E" w:rsidRPr="00350AFA">
        <w:rPr>
          <w:lang w:val="hr-HR"/>
        </w:rPr>
        <w:t>parkovne</w:t>
      </w:r>
      <w:proofErr w:type="spellEnd"/>
      <w:r w:rsidR="00D0459E" w:rsidRPr="00350AFA">
        <w:rPr>
          <w:lang w:val="hr-HR"/>
        </w:rPr>
        <w:t xml:space="preserve"> arhitekture </w:t>
      </w:r>
    </w:p>
    <w:p w14:paraId="562A025A" w14:textId="0FD23B39" w:rsidR="00D0459E" w:rsidRPr="00350AFA" w:rsidRDefault="008E3BB2" w:rsidP="00E41FFA">
      <w:pPr>
        <w:spacing w:before="60" w:after="60" w:line="240" w:lineRule="auto"/>
        <w:ind w:left="851" w:hanging="284"/>
        <w:rPr>
          <w:lang w:val="hr-HR"/>
        </w:rPr>
      </w:pPr>
      <w:r>
        <w:rPr>
          <w:lang w:val="hr-HR"/>
        </w:rPr>
        <w:t>2</w:t>
      </w:r>
      <w:r w:rsidR="006127D9">
        <w:rPr>
          <w:lang w:val="hr-HR"/>
        </w:rPr>
        <w:t>7</w:t>
      </w:r>
      <w:r>
        <w:rPr>
          <w:lang w:val="hr-HR"/>
        </w:rPr>
        <w:t>)</w:t>
      </w:r>
      <w:r w:rsidR="00112857">
        <w:rPr>
          <w:lang w:val="hr-HR"/>
        </w:rPr>
        <w:t xml:space="preserve"> </w:t>
      </w:r>
      <w:r w:rsidR="00D0459E" w:rsidRPr="00350AFA">
        <w:rPr>
          <w:lang w:val="hr-HR"/>
        </w:rPr>
        <w:t>zvjezdarnica je građevina ili konstrukcija opremljena instrumentima za opažanje nebeskih objeka</w:t>
      </w:r>
      <w:r w:rsidR="00E41FFA">
        <w:rPr>
          <w:lang w:val="hr-HR"/>
        </w:rPr>
        <w:t>ta kojom upravlja pravna osoba.</w:t>
      </w:r>
    </w:p>
    <w:p w14:paraId="24A91A47" w14:textId="77777777" w:rsidR="004B2D76" w:rsidRPr="00350AFA" w:rsidRDefault="004B2D76" w:rsidP="004B2D76">
      <w:pPr>
        <w:spacing w:after="0" w:line="240" w:lineRule="auto"/>
        <w:ind w:left="851" w:hanging="284"/>
        <w:rPr>
          <w:lang w:val="hr-HR"/>
        </w:rPr>
      </w:pPr>
    </w:p>
    <w:p w14:paraId="0661D8A2" w14:textId="77777777" w:rsidR="00D0459E" w:rsidRPr="00350AFA" w:rsidRDefault="00D0459E" w:rsidP="00D0459E">
      <w:pPr>
        <w:rPr>
          <w:lang w:val="hr-HR"/>
        </w:rPr>
      </w:pPr>
      <w:r w:rsidRPr="00350AFA">
        <w:rPr>
          <w:lang w:val="hr-HR"/>
        </w:rPr>
        <w:t>(2) Osim pojmova iz stavka 1. ovoga članka, pojmovi koji se koriste u ovom Pravilniku sukladni su pojmovima utvrđenima u Zakonu o zaštiti od svjetlosnog onečišćenja.</w:t>
      </w:r>
    </w:p>
    <w:p w14:paraId="1E563A36" w14:textId="3A8E4656" w:rsidR="003D59E0" w:rsidRDefault="00D0459E" w:rsidP="003D59E0">
      <w:pPr>
        <w:rPr>
          <w:lang w:val="hr-HR"/>
        </w:rPr>
      </w:pPr>
      <w:r w:rsidRPr="00350AFA">
        <w:rPr>
          <w:lang w:val="hr-HR"/>
        </w:rPr>
        <w:t>(3) Za norme i metode mjerenja navedene u ovom Pravilniku, primjenjuju se zadnja važeća izdanja istih objavljena u službenom glasilu Hrvatskog zavoda za norme.</w:t>
      </w:r>
    </w:p>
    <w:p w14:paraId="7F2D37AA" w14:textId="77777777" w:rsidR="003D59E0" w:rsidRPr="00350AFA" w:rsidRDefault="003D59E0" w:rsidP="003D59E0">
      <w:pPr>
        <w:rPr>
          <w:lang w:val="hr-HR"/>
        </w:rPr>
      </w:pPr>
    </w:p>
    <w:p w14:paraId="6D03E123" w14:textId="16CF4363" w:rsidR="003D59E0" w:rsidRPr="00350AFA" w:rsidRDefault="003D59E0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 xml:space="preserve">Članak </w:t>
      </w:r>
      <w:r>
        <w:rPr>
          <w:lang w:val="hr-HR"/>
        </w:rPr>
        <w:t>4</w:t>
      </w:r>
      <w:r w:rsidRPr="00350AFA">
        <w:rPr>
          <w:lang w:val="hr-HR"/>
        </w:rPr>
        <w:t>.</w:t>
      </w:r>
    </w:p>
    <w:p w14:paraId="48E0EC68" w14:textId="77777777" w:rsidR="003D59E0" w:rsidRPr="00350AFA" w:rsidRDefault="003D59E0" w:rsidP="003D59E0">
      <w:pPr>
        <w:rPr>
          <w:lang w:val="hr-HR"/>
        </w:rPr>
      </w:pPr>
      <w:r w:rsidRPr="00350AFA">
        <w:rPr>
          <w:lang w:val="hr-HR"/>
        </w:rPr>
        <w:t>Odredbe ovoga Pravilnika ne odnose se na:</w:t>
      </w:r>
    </w:p>
    <w:p w14:paraId="77DA32CF" w14:textId="77777777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1)</w:t>
      </w:r>
      <w:r w:rsidRPr="00350AFA">
        <w:rPr>
          <w:lang w:val="hr-HR"/>
        </w:rPr>
        <w:tab/>
        <w:t>rasvjetljavanja proizvodnog pogona i energetskih objekata koje je namijenjeno proizvodnom procesu za vrijeme rada te 30 minuta prije početka i 30 minuta nakon završetka rada, u skladu s tehnološkim procesom, radnim okolišem i propisima zaštite na radu te ostalih industrijskih postrojenja, građevina, zona i područja vezanih za gospodarske djelatnosti pritom poštujući zabranu korištenja izvora svjetlosti bilo koje vrste usmjerenih u nebo</w:t>
      </w:r>
    </w:p>
    <w:p w14:paraId="08DC3806" w14:textId="5E3965F4" w:rsidR="003D59E0" w:rsidRPr="00350AFA" w:rsidRDefault="003D59E0" w:rsidP="000219C4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 xml:space="preserve">2) </w:t>
      </w:r>
      <w:r w:rsidR="000219C4" w:rsidRPr="000219C4">
        <w:rPr>
          <w:lang w:val="hr-HR"/>
        </w:rPr>
        <w:t>uklanjanje posljedica prirodnih nepogoda, veli</w:t>
      </w:r>
      <w:r w:rsidR="000219C4">
        <w:rPr>
          <w:lang w:val="hr-HR"/>
        </w:rPr>
        <w:t xml:space="preserve">kih nesreća i katastrofa te pri </w:t>
      </w:r>
      <w:r w:rsidR="000219C4" w:rsidRPr="000219C4">
        <w:rPr>
          <w:lang w:val="hr-HR"/>
        </w:rPr>
        <w:t>drugim izvanrednim događajima ili okolnostima koje mogu izazvati veće materijalne štete</w:t>
      </w:r>
      <w:r w:rsidR="000219C4">
        <w:rPr>
          <w:lang w:val="hr-HR"/>
        </w:rPr>
        <w:t xml:space="preserve">, ugrožavati zdravlje i živote </w:t>
      </w:r>
      <w:r w:rsidR="000219C4" w:rsidRPr="000219C4">
        <w:rPr>
          <w:lang w:val="hr-HR"/>
        </w:rPr>
        <w:t>ljudi te u većim razmjerima narušavati okoliš</w:t>
      </w:r>
    </w:p>
    <w:p w14:paraId="035DE55F" w14:textId="77777777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3)</w:t>
      </w:r>
      <w:r w:rsidRPr="00350AFA">
        <w:rPr>
          <w:lang w:val="hr-HR"/>
        </w:rPr>
        <w:tab/>
        <w:t>sigurnosnu rasvjetu, ako je njezin rad uređen propisima kojima se uređuju tehnički sigurnosni sustavi</w:t>
      </w:r>
    </w:p>
    <w:p w14:paraId="443520EA" w14:textId="77777777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4)</w:t>
      </w:r>
      <w:r w:rsidRPr="00350AFA">
        <w:rPr>
          <w:lang w:val="hr-HR"/>
        </w:rPr>
        <w:tab/>
        <w:t>vojne, obrambene ili zaštitne djelatnosti na područjima za potrebe obrane, zaštite, spašavanja i pomoći od prirodnih i drugih nepogoda, određenih posebnim propisima</w:t>
      </w:r>
    </w:p>
    <w:p w14:paraId="453C7BB6" w14:textId="3216E694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5)</w:t>
      </w:r>
      <w:r w:rsidRPr="00350AFA">
        <w:rPr>
          <w:lang w:val="hr-HR"/>
        </w:rPr>
        <w:tab/>
        <w:t xml:space="preserve">rasvjetu za zaštitu osoba i građevina koje se štite u skladu s propisima zaštite određenih osoba, </w:t>
      </w:r>
      <w:r w:rsidR="00607C55">
        <w:rPr>
          <w:lang w:val="hr-HR"/>
        </w:rPr>
        <w:t>građevina</w:t>
      </w:r>
      <w:r w:rsidRPr="00350AFA">
        <w:rPr>
          <w:lang w:val="hr-HR"/>
        </w:rPr>
        <w:t xml:space="preserve"> i okoliša</w:t>
      </w:r>
    </w:p>
    <w:p w14:paraId="3C62D2A1" w14:textId="77777777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6)</w:t>
      </w:r>
      <w:r w:rsidRPr="00350AFA">
        <w:rPr>
          <w:lang w:val="hr-HR"/>
        </w:rPr>
        <w:tab/>
        <w:t>signalizaciju u zračnom, cestovnom, željezničkom, pomorskom prometu i prometu na unutarnjim vodama i sigurnosti plovidbe, u skladu s posebnim propisima</w:t>
      </w:r>
    </w:p>
    <w:p w14:paraId="36373857" w14:textId="77777777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7)</w:t>
      </w:r>
      <w:r w:rsidRPr="00350AFA">
        <w:rPr>
          <w:lang w:val="hr-HR"/>
        </w:rPr>
        <w:tab/>
        <w:t>plinsku javnu rasvjetu</w:t>
      </w:r>
    </w:p>
    <w:p w14:paraId="7F7930E0" w14:textId="38885DF2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lastRenderedPageBreak/>
        <w:t>8)</w:t>
      </w:r>
      <w:r w:rsidRPr="00350AFA">
        <w:rPr>
          <w:lang w:val="hr-HR"/>
        </w:rPr>
        <w:tab/>
        <w:t>rasvjetu ribarskih, putničkih te ostalih plovnih sredstava koja se koriste u gospodarske i druge svrhe, kao što je signalizacija te rasvjeta za ribolov</w:t>
      </w:r>
      <w:r w:rsidR="00607C55">
        <w:rPr>
          <w:lang w:val="hr-HR"/>
        </w:rPr>
        <w:t>,</w:t>
      </w:r>
      <w:r w:rsidRPr="00350AFA">
        <w:rPr>
          <w:lang w:val="hr-HR"/>
        </w:rPr>
        <w:t xml:space="preserve"> refleksije koje nastaju na vodnim površinama prilikom rasvjetljavanja </w:t>
      </w:r>
      <w:r w:rsidR="00607C55">
        <w:rPr>
          <w:lang w:val="hr-HR"/>
        </w:rPr>
        <w:t>građevina (objekata)</w:t>
      </w:r>
      <w:r w:rsidRPr="00350AFA">
        <w:rPr>
          <w:lang w:val="hr-HR"/>
        </w:rPr>
        <w:t xml:space="preserve"> u blizini vodnih površina, mora, rijeka i jezera </w:t>
      </w:r>
    </w:p>
    <w:p w14:paraId="67550852" w14:textId="77777777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 xml:space="preserve">9) </w:t>
      </w:r>
      <w:r>
        <w:rPr>
          <w:lang w:val="hr-HR"/>
        </w:rPr>
        <w:tab/>
      </w:r>
      <w:r w:rsidRPr="00350AFA">
        <w:rPr>
          <w:lang w:val="hr-HR"/>
        </w:rPr>
        <w:t>cestovnu, pješačku i drugu rasvjetu unutar tunela, pothodnika i podvožnjaka</w:t>
      </w:r>
    </w:p>
    <w:p w14:paraId="442D10E0" w14:textId="2F7B81F5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 xml:space="preserve">10) </w:t>
      </w:r>
      <w:r w:rsidRPr="00350AFA">
        <w:rPr>
          <w:lang w:val="hr-HR"/>
        </w:rPr>
        <w:t xml:space="preserve">fontane, bazene na otvorenom i slične </w:t>
      </w:r>
      <w:r w:rsidR="00607C55">
        <w:rPr>
          <w:lang w:val="hr-HR"/>
        </w:rPr>
        <w:t>građevine</w:t>
      </w:r>
      <w:r w:rsidRPr="00350AFA">
        <w:rPr>
          <w:lang w:val="hr-HR"/>
        </w:rPr>
        <w:t xml:space="preserve"> </w:t>
      </w:r>
    </w:p>
    <w:p w14:paraId="0FED281C" w14:textId="77777777" w:rsidR="003D59E0" w:rsidRPr="00350AFA" w:rsidRDefault="003D59E0" w:rsidP="003D59E0">
      <w:pPr>
        <w:tabs>
          <w:tab w:val="left" w:pos="1418"/>
        </w:tabs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 xml:space="preserve">11) </w:t>
      </w:r>
      <w:r w:rsidRPr="00350AFA">
        <w:rPr>
          <w:lang w:val="hr-HR"/>
        </w:rPr>
        <w:t>priredbe u svrhu promocije kulturnih sadržaja i očuvanje tradicije i promocije nacionalnih i regionalnih običaja kao i druge priredbe predviđene Planom rasvjete JLS i</w:t>
      </w:r>
    </w:p>
    <w:p w14:paraId="18287FA2" w14:textId="77777777" w:rsidR="003D59E0" w:rsidRPr="00350AFA" w:rsidRDefault="003D59E0" w:rsidP="003D59E0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 xml:space="preserve">12) </w:t>
      </w:r>
      <w:r w:rsidRPr="00350AFA">
        <w:rPr>
          <w:lang w:val="hr-HR"/>
        </w:rPr>
        <w:t>svjetlosne instalacije ili svjetlosne skulpture koje se smatraju artefaktom.</w:t>
      </w:r>
    </w:p>
    <w:p w14:paraId="624FF20C" w14:textId="6C554CA4" w:rsidR="00112857" w:rsidRDefault="00112857" w:rsidP="00D0459E">
      <w:pPr>
        <w:rPr>
          <w:lang w:val="hr-HR"/>
        </w:rPr>
      </w:pPr>
    </w:p>
    <w:p w14:paraId="5C1150A2" w14:textId="58470642" w:rsidR="00DB3CDC" w:rsidRPr="00350AFA" w:rsidRDefault="00DB3CDC" w:rsidP="00DB3CDC">
      <w:pPr>
        <w:jc w:val="center"/>
        <w:rPr>
          <w:b/>
          <w:lang w:val="hr-HR"/>
        </w:rPr>
      </w:pPr>
      <w:r w:rsidRPr="00350AFA">
        <w:rPr>
          <w:b/>
          <w:lang w:val="hr-HR"/>
        </w:rPr>
        <w:t>II</w:t>
      </w:r>
      <w:r w:rsidR="00652DF6">
        <w:rPr>
          <w:b/>
          <w:lang w:val="hr-HR"/>
        </w:rPr>
        <w:t>.</w:t>
      </w:r>
      <w:r w:rsidRPr="00350AFA">
        <w:rPr>
          <w:b/>
          <w:lang w:val="hr-HR"/>
        </w:rPr>
        <w:t xml:space="preserve"> STANDARDI UPRAVLJANJA RASVJETLJENOSTI OKOLIŠA</w:t>
      </w:r>
    </w:p>
    <w:p w14:paraId="1F4F4BAB" w14:textId="77777777" w:rsidR="00952AC3" w:rsidRPr="00422D9F" w:rsidRDefault="00952AC3" w:rsidP="00952AC3">
      <w:pPr>
        <w:pStyle w:val="Naslov2"/>
        <w:jc w:val="center"/>
        <w:rPr>
          <w:b/>
          <w:lang w:val="it-IT"/>
        </w:rPr>
      </w:pPr>
      <w:r w:rsidRPr="00422D9F">
        <w:rPr>
          <w:b/>
          <w:lang w:val="it-IT"/>
        </w:rPr>
        <w:t xml:space="preserve">Zone </w:t>
      </w:r>
      <w:proofErr w:type="spellStart"/>
      <w:r w:rsidRPr="00422D9F">
        <w:rPr>
          <w:b/>
          <w:lang w:val="it-IT"/>
        </w:rPr>
        <w:t>rasvijetljenosti</w:t>
      </w:r>
      <w:proofErr w:type="spellEnd"/>
    </w:p>
    <w:p w14:paraId="4016996A" w14:textId="77777777" w:rsidR="00D0459E" w:rsidRPr="00350AFA" w:rsidRDefault="00D0459E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5.</w:t>
      </w:r>
    </w:p>
    <w:p w14:paraId="3E085D7C" w14:textId="77777777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>(1) Područje Republike Hrvatske dijeli se na zone rasvijetljenosti zavisno od sadržaja i aktivnosti koje se u tom prostoru nalaze.</w:t>
      </w:r>
    </w:p>
    <w:p w14:paraId="61F7400D" w14:textId="77777777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>(2) Zone rasvijetljenosti su:</w:t>
      </w:r>
    </w:p>
    <w:p w14:paraId="6561230A" w14:textId="4956047F" w:rsidR="00952AC3" w:rsidRPr="00350AFA" w:rsidRDefault="00C86D35" w:rsidP="00952AC3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952AC3" w:rsidRPr="00350AFA">
        <w:rPr>
          <w:lang w:val="hr-HR"/>
        </w:rPr>
        <w:tab/>
        <w:t>E0 – područja prirodne rasvijetljenosti</w:t>
      </w:r>
    </w:p>
    <w:p w14:paraId="5A8A1B2F" w14:textId="03F749B1" w:rsidR="00952AC3" w:rsidRPr="00350AFA" w:rsidRDefault="00C86D35" w:rsidP="00952AC3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952AC3" w:rsidRPr="00350AFA">
        <w:rPr>
          <w:lang w:val="hr-HR"/>
        </w:rPr>
        <w:tab/>
        <w:t>E1 – područja tamnog krajolika</w:t>
      </w:r>
    </w:p>
    <w:p w14:paraId="7F41D122" w14:textId="40D2BEB4" w:rsidR="00952AC3" w:rsidRPr="00350AFA" w:rsidRDefault="00C86D35" w:rsidP="00952AC3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952AC3" w:rsidRPr="00350AFA">
        <w:rPr>
          <w:lang w:val="hr-HR"/>
        </w:rPr>
        <w:tab/>
        <w:t>E2 – područja niske ambijentalne rasvijetljenosti</w:t>
      </w:r>
    </w:p>
    <w:p w14:paraId="1B00F73F" w14:textId="6FEACA17" w:rsidR="00952AC3" w:rsidRPr="00350AFA" w:rsidRDefault="00C86D35" w:rsidP="00952AC3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952AC3" w:rsidRPr="00350AFA">
        <w:rPr>
          <w:lang w:val="hr-HR"/>
        </w:rPr>
        <w:tab/>
        <w:t>E3 – područja srednje ambijentalne rasvijetljenosti i</w:t>
      </w:r>
    </w:p>
    <w:p w14:paraId="0F19E2F6" w14:textId="1D57D83B" w:rsidR="00952AC3" w:rsidRPr="00350AFA" w:rsidRDefault="00C86D35" w:rsidP="00952AC3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952AC3" w:rsidRPr="00350AFA">
        <w:rPr>
          <w:lang w:val="hr-HR"/>
        </w:rPr>
        <w:tab/>
        <w:t>E4 – područja visoke ambijentalne rasvijetljenosti.</w:t>
      </w:r>
    </w:p>
    <w:p w14:paraId="6F24BE3F" w14:textId="77777777" w:rsidR="00952AC3" w:rsidRPr="00350AFA" w:rsidRDefault="00952AC3" w:rsidP="00952AC3">
      <w:pPr>
        <w:spacing w:before="120" w:after="120" w:line="240" w:lineRule="auto"/>
        <w:rPr>
          <w:lang w:val="hr-HR"/>
        </w:rPr>
      </w:pPr>
      <w:r w:rsidRPr="00350AFA">
        <w:rPr>
          <w:lang w:val="hr-HR"/>
        </w:rPr>
        <w:t xml:space="preserve">(3) Klasifikacija zona rasvijetljenosti i kriteriji za klasifikaciju dani su u </w:t>
      </w:r>
      <w:r w:rsidRPr="00350AFA">
        <w:rPr>
          <w:b/>
          <w:lang w:val="hr-HR"/>
        </w:rPr>
        <w:t>Prilogu I.</w:t>
      </w:r>
      <w:r w:rsidRPr="00350AFA">
        <w:rPr>
          <w:lang w:val="hr-HR"/>
        </w:rPr>
        <w:t xml:space="preserve"> točki A. ovoga Pravilnika.</w:t>
      </w:r>
    </w:p>
    <w:p w14:paraId="6FA370A5" w14:textId="77777777" w:rsidR="00952AC3" w:rsidRPr="00350AFA" w:rsidRDefault="00952AC3" w:rsidP="00952AC3">
      <w:pPr>
        <w:spacing w:before="120" w:after="120" w:line="240" w:lineRule="auto"/>
        <w:rPr>
          <w:lang w:val="hr-HR"/>
        </w:rPr>
      </w:pPr>
      <w:r w:rsidRPr="00350AFA">
        <w:rPr>
          <w:lang w:val="hr-HR"/>
        </w:rPr>
        <w:t>(4) Rasvijetljenost pojedinih površina u pojedinoj zoni rasvijetljenosti zavisi od njene namjene.</w:t>
      </w:r>
    </w:p>
    <w:p w14:paraId="6C254A39" w14:textId="77777777" w:rsidR="00952AC3" w:rsidRPr="00350AFA" w:rsidRDefault="00952AC3" w:rsidP="00952AC3">
      <w:pPr>
        <w:spacing w:before="120" w:after="120" w:line="240" w:lineRule="auto"/>
        <w:rPr>
          <w:lang w:val="hr-HR"/>
        </w:rPr>
      </w:pPr>
      <w:r w:rsidRPr="00350AFA">
        <w:rPr>
          <w:lang w:val="hr-HR"/>
        </w:rPr>
        <w:t>(5) U svim zonama rasvijetljenosti nije dopušteno izravno osvjetljavanje strogo zaštićenih vrsta osjetljivih na svjetlosno onečišćenje, odnosno izravno osvjetljavanje njihovih skloništa i ključnih staništa, kao ni tamnih koridora kretanja od skloništa do ključnih staništa.</w:t>
      </w:r>
    </w:p>
    <w:p w14:paraId="6D9D5647" w14:textId="77777777" w:rsidR="00D0459E" w:rsidRPr="00350AFA" w:rsidRDefault="00952AC3" w:rsidP="00952AC3">
      <w:pPr>
        <w:spacing w:before="120" w:after="120" w:line="240" w:lineRule="auto"/>
        <w:rPr>
          <w:lang w:val="hr-HR"/>
        </w:rPr>
      </w:pPr>
      <w:r w:rsidRPr="00350AFA">
        <w:rPr>
          <w:lang w:val="hr-HR"/>
        </w:rPr>
        <w:t xml:space="preserve">(6) JLS odnosno Grad Zagreb dužni su, na temelju kriterija za klasifikaciju iz </w:t>
      </w:r>
      <w:r w:rsidRPr="00350AFA">
        <w:rPr>
          <w:b/>
          <w:lang w:val="hr-HR"/>
        </w:rPr>
        <w:t>Priloga I. točke A.</w:t>
      </w:r>
      <w:r w:rsidRPr="00350AFA">
        <w:rPr>
          <w:lang w:val="hr-HR"/>
        </w:rPr>
        <w:t xml:space="preserve"> ovoga Pravilnika, u Planu rasvjete definirati zone rasvijetljenosti za područje koje je u njihovoj nadležnosti.</w:t>
      </w:r>
    </w:p>
    <w:p w14:paraId="4803DF73" w14:textId="77777777" w:rsidR="00952AC3" w:rsidRPr="00350AFA" w:rsidRDefault="00952AC3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6.</w:t>
      </w:r>
    </w:p>
    <w:p w14:paraId="57A009C8" w14:textId="77777777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 xml:space="preserve">(1) Rasvjetu koja se nalazi u zaštićenim područjima, odnosno pretežno zonama rasvijetljenosti E0 i E1, kao i u ekološkoj mreži JLS i Grad Zagreb dužne su opisati i upisati u Plan rasvjete. </w:t>
      </w:r>
    </w:p>
    <w:p w14:paraId="31A410AE" w14:textId="77777777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>(2) U parkovima tamnog neba dopuštena je samo orijentacijska rasvjeta za pješake.</w:t>
      </w:r>
    </w:p>
    <w:p w14:paraId="7E20A093" w14:textId="22418CB4" w:rsidR="00952AC3" w:rsidRDefault="00952AC3" w:rsidP="00952AC3">
      <w:pPr>
        <w:rPr>
          <w:lang w:val="hr-HR"/>
        </w:rPr>
      </w:pPr>
      <w:r w:rsidRPr="00350AFA">
        <w:rPr>
          <w:lang w:val="hr-HR"/>
        </w:rPr>
        <w:t xml:space="preserve">(3) Maksimalna rasvijetljenost orijentacijske rasvjete iz stavka 3. ovoga članka može biti do </w:t>
      </w:r>
      <w:r w:rsidR="008314AE">
        <w:rPr>
          <w:lang w:val="hr-HR"/>
        </w:rPr>
        <w:t xml:space="preserve">jedan </w:t>
      </w:r>
      <w:r w:rsidRPr="00350AFA">
        <w:rPr>
          <w:lang w:val="hr-HR"/>
        </w:rPr>
        <w:t xml:space="preserve">lx bez obveze zadovoljavanja ostalih </w:t>
      </w:r>
      <w:proofErr w:type="spellStart"/>
      <w:r w:rsidRPr="00350AFA">
        <w:rPr>
          <w:lang w:val="hr-HR"/>
        </w:rPr>
        <w:t>svjetlotehničkih</w:t>
      </w:r>
      <w:proofErr w:type="spellEnd"/>
      <w:r w:rsidRPr="00350AFA">
        <w:rPr>
          <w:lang w:val="hr-HR"/>
        </w:rPr>
        <w:t xml:space="preserve"> parametara uz zabranu prodora svjetlosnog toka iznad horizontale.</w:t>
      </w:r>
    </w:p>
    <w:p w14:paraId="1FD8EBC4" w14:textId="5FD97A98" w:rsidR="00E41FFA" w:rsidRDefault="00E41FFA" w:rsidP="00952AC3">
      <w:pPr>
        <w:rPr>
          <w:lang w:val="hr-HR"/>
        </w:rPr>
      </w:pPr>
    </w:p>
    <w:p w14:paraId="3541027E" w14:textId="1A097D7C" w:rsidR="00E41FFA" w:rsidRDefault="00E41FFA" w:rsidP="00952AC3">
      <w:pPr>
        <w:rPr>
          <w:lang w:val="hr-HR"/>
        </w:rPr>
      </w:pPr>
    </w:p>
    <w:p w14:paraId="791FAC20" w14:textId="4F1B3CAA" w:rsidR="00E41FFA" w:rsidRDefault="00E41FFA" w:rsidP="00952AC3">
      <w:pPr>
        <w:rPr>
          <w:lang w:val="hr-HR"/>
        </w:rPr>
      </w:pPr>
    </w:p>
    <w:p w14:paraId="62F3151B" w14:textId="77777777" w:rsidR="00E41FFA" w:rsidRPr="00350AFA" w:rsidRDefault="00E41FFA" w:rsidP="00952AC3">
      <w:pPr>
        <w:rPr>
          <w:lang w:val="hr-HR"/>
        </w:rPr>
      </w:pPr>
    </w:p>
    <w:p w14:paraId="44BD1E8A" w14:textId="77777777" w:rsidR="00DB3CDC" w:rsidRPr="00350AFA" w:rsidRDefault="00DB3CDC" w:rsidP="00DB3CDC">
      <w:pPr>
        <w:jc w:val="center"/>
        <w:rPr>
          <w:b/>
          <w:lang w:val="hr-HR"/>
        </w:rPr>
      </w:pPr>
      <w:r w:rsidRPr="00350AFA">
        <w:rPr>
          <w:b/>
          <w:lang w:val="hr-HR"/>
        </w:rPr>
        <w:t>III. NAČINI I UVJETI UPRAVLJANJA RASVJETLJAVANJEM</w:t>
      </w:r>
    </w:p>
    <w:p w14:paraId="264966C8" w14:textId="77777777" w:rsidR="00952AC3" w:rsidRPr="00350AFA" w:rsidRDefault="00952AC3" w:rsidP="00952AC3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Vanjska rasvjeta</w:t>
      </w:r>
    </w:p>
    <w:p w14:paraId="68F8C78B" w14:textId="77777777" w:rsidR="00952AC3" w:rsidRPr="00350AFA" w:rsidRDefault="00952AC3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7.</w:t>
      </w:r>
    </w:p>
    <w:p w14:paraId="2B0C04E0" w14:textId="77777777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 xml:space="preserve">(1) Vanjska rasvjeta koja se koristi za rasvjetljavanje okoliša, a uključuje cestovnu, javnu, dekorativnu, krajobraznu, prigodnu te rasvjetu za zaštitu i oglasne ploče, uz uvjete propisane ovisno o namjeni rasvjete, vezano uz emisije na otvorima građevina, mora udovoljavati graničnim vrijednostima iz </w:t>
      </w:r>
      <w:r w:rsidRPr="00350AFA">
        <w:rPr>
          <w:b/>
          <w:lang w:val="hr-HR"/>
        </w:rPr>
        <w:t>Priloga II.</w:t>
      </w:r>
      <w:r w:rsidRPr="00350AFA">
        <w:rPr>
          <w:lang w:val="hr-HR"/>
        </w:rPr>
        <w:t xml:space="preserve"> ovoga Pravilnika.</w:t>
      </w:r>
    </w:p>
    <w:p w14:paraId="0723D600" w14:textId="77777777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 xml:space="preserve">(2) Maksimalne razine vertikalne rasvijetljenosti na otvorima građevina s obzirom na zonu rasvijetljenosti u kojima se građevina nalazi propisane su </w:t>
      </w:r>
      <w:r w:rsidRPr="00350AFA">
        <w:rPr>
          <w:b/>
          <w:lang w:val="hr-HR"/>
        </w:rPr>
        <w:t>Prilogom II.</w:t>
      </w:r>
      <w:r w:rsidRPr="00350AFA">
        <w:rPr>
          <w:lang w:val="hr-HR"/>
        </w:rPr>
        <w:t xml:space="preserve"> ovoga Pravilnika.</w:t>
      </w:r>
    </w:p>
    <w:p w14:paraId="04D58290" w14:textId="4D564792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 xml:space="preserve">(3) Maksimalne razine svjetline površine na otvorima (vrata, prozori) stambenih </w:t>
      </w:r>
      <w:r w:rsidR="00607C55">
        <w:rPr>
          <w:lang w:val="hr-HR"/>
        </w:rPr>
        <w:t>građevina</w:t>
      </w:r>
      <w:r w:rsidRPr="00350AFA">
        <w:rPr>
          <w:lang w:val="hr-HR"/>
        </w:rPr>
        <w:t xml:space="preserve"> koji spadaju u nepokretna kulturna dobra s obzirom na zonu rasvijetljenosti u kojima se građevina nalazi propisane su </w:t>
      </w:r>
      <w:r w:rsidRPr="00350AFA">
        <w:rPr>
          <w:b/>
          <w:lang w:val="hr-HR"/>
        </w:rPr>
        <w:t>Prilogom II.</w:t>
      </w:r>
      <w:r w:rsidRPr="00350AFA">
        <w:rPr>
          <w:lang w:val="hr-HR"/>
        </w:rPr>
        <w:t xml:space="preserve"> ovoga Pravilnika.</w:t>
      </w:r>
    </w:p>
    <w:p w14:paraId="0DFE8982" w14:textId="77777777" w:rsidR="00952AC3" w:rsidRPr="00350AFA" w:rsidRDefault="00952AC3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8.</w:t>
      </w:r>
    </w:p>
    <w:p w14:paraId="78EE06BB" w14:textId="77777777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 xml:space="preserve">(1) U svrhu zaštite zvjezdarnica propisuju se zaštitne zone oko zvjezdarnica. </w:t>
      </w:r>
    </w:p>
    <w:p w14:paraId="5E853136" w14:textId="1561A132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 xml:space="preserve">(2) Zaštitne zone iz stavka 1. ovoga članka definirane su polumjerom obveznih zona kojem se pripisuje određena zona rasvijetljenosti iz </w:t>
      </w:r>
      <w:r w:rsidRPr="00350AFA">
        <w:rPr>
          <w:b/>
          <w:lang w:val="hr-HR"/>
        </w:rPr>
        <w:t>Priloga I.</w:t>
      </w:r>
      <w:r w:rsidRPr="00350AFA">
        <w:rPr>
          <w:lang w:val="hr-HR"/>
        </w:rPr>
        <w:t xml:space="preserve"> ovog</w:t>
      </w:r>
      <w:r w:rsidR="00934E49">
        <w:rPr>
          <w:lang w:val="hr-HR"/>
        </w:rPr>
        <w:t>a</w:t>
      </w:r>
      <w:r w:rsidRPr="00350AFA">
        <w:rPr>
          <w:lang w:val="hr-HR"/>
        </w:rPr>
        <w:t xml:space="preserve"> Pravilnika.</w:t>
      </w:r>
    </w:p>
    <w:p w14:paraId="36BDD96E" w14:textId="5D71C677" w:rsidR="00952AC3" w:rsidRPr="00350AFA" w:rsidRDefault="00952AC3" w:rsidP="00952AC3">
      <w:pPr>
        <w:rPr>
          <w:lang w:val="hr-HR"/>
        </w:rPr>
      </w:pPr>
      <w:r w:rsidRPr="00350AFA">
        <w:rPr>
          <w:lang w:val="hr-HR"/>
        </w:rPr>
        <w:t xml:space="preserve">(3) Zaštitne zone oko zvjezdarnica i pripadajuće zone rasvijetljenosti definirane su u </w:t>
      </w:r>
      <w:r w:rsidRPr="00350AFA">
        <w:rPr>
          <w:b/>
          <w:lang w:val="hr-HR"/>
        </w:rPr>
        <w:t>Prilogu VII.</w:t>
      </w:r>
      <w:r w:rsidRPr="00350AFA">
        <w:rPr>
          <w:lang w:val="hr-HR"/>
        </w:rPr>
        <w:t xml:space="preserve"> ovog</w:t>
      </w:r>
      <w:r w:rsidR="00934E49">
        <w:rPr>
          <w:lang w:val="hr-HR"/>
        </w:rPr>
        <w:t>a</w:t>
      </w:r>
      <w:r w:rsidRPr="00350AFA">
        <w:rPr>
          <w:lang w:val="hr-HR"/>
        </w:rPr>
        <w:t xml:space="preserve"> Pravilnika.</w:t>
      </w:r>
    </w:p>
    <w:p w14:paraId="2C4B319F" w14:textId="77777777" w:rsidR="00AE0159" w:rsidRPr="00350AFA" w:rsidRDefault="00AE0159" w:rsidP="00AE0159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Dekorativna rasvjeta</w:t>
      </w:r>
    </w:p>
    <w:p w14:paraId="5BBB6060" w14:textId="77777777" w:rsidR="00AE0159" w:rsidRPr="00350AFA" w:rsidRDefault="00AE0159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9.</w:t>
      </w:r>
    </w:p>
    <w:p w14:paraId="3E6D24E2" w14:textId="77777777" w:rsidR="00AE0159" w:rsidRPr="00350AFA" w:rsidRDefault="00AE0159" w:rsidP="00AE0159">
      <w:pPr>
        <w:rPr>
          <w:lang w:val="hr-HR"/>
        </w:rPr>
      </w:pPr>
      <w:r w:rsidRPr="00350AFA">
        <w:rPr>
          <w:lang w:val="hr-HR"/>
        </w:rPr>
        <w:t>(1) Nije dopuštena dekorativna rasvjeta u zonama rasvijetljenosti E0 i E1.</w:t>
      </w:r>
    </w:p>
    <w:p w14:paraId="7C2CBC0D" w14:textId="77777777" w:rsidR="00AE0159" w:rsidRPr="00350AFA" w:rsidRDefault="00AE0159" w:rsidP="00AE0159">
      <w:pPr>
        <w:rPr>
          <w:lang w:val="hr-HR"/>
        </w:rPr>
      </w:pPr>
      <w:r w:rsidRPr="00350AFA">
        <w:rPr>
          <w:lang w:val="hr-HR"/>
        </w:rPr>
        <w:t>(2) Dekorativna rasvjeta dopuštena je u zonama E2, E3 i E4.</w:t>
      </w:r>
    </w:p>
    <w:p w14:paraId="5B3749A3" w14:textId="1DD948DF" w:rsidR="00AE0159" w:rsidRPr="00350AFA" w:rsidRDefault="00AE0159" w:rsidP="00AE0159">
      <w:pPr>
        <w:rPr>
          <w:lang w:val="hr-HR"/>
        </w:rPr>
      </w:pPr>
      <w:r w:rsidRPr="00350AFA">
        <w:rPr>
          <w:lang w:val="hr-HR"/>
        </w:rPr>
        <w:t xml:space="preserve">(3) Iznimno od odredbe stavka 1. ovoga članka moguće je korištenje dekorativne rasvjete u zonama rasvijetljenosti E0 i E1 u određenom vremenskom periodu definiranom u Planu rasvjete koji donose </w:t>
      </w:r>
      <w:r w:rsidR="004B2D76" w:rsidRPr="00350AFA">
        <w:rPr>
          <w:lang w:val="hr-HR"/>
        </w:rPr>
        <w:t>JLS</w:t>
      </w:r>
      <w:r w:rsidRPr="00350AFA">
        <w:rPr>
          <w:lang w:val="hr-HR"/>
        </w:rPr>
        <w:t xml:space="preserve"> i </w:t>
      </w:r>
      <w:r w:rsidR="00934E49">
        <w:rPr>
          <w:lang w:val="hr-HR"/>
        </w:rPr>
        <w:t>G</w:t>
      </w:r>
      <w:r w:rsidRPr="00350AFA">
        <w:rPr>
          <w:lang w:val="hr-HR"/>
        </w:rPr>
        <w:t>rad Zagreb za svoje područje.</w:t>
      </w:r>
    </w:p>
    <w:p w14:paraId="7310E96C" w14:textId="66D1559F" w:rsidR="00AE0159" w:rsidRPr="00350AFA" w:rsidRDefault="00AE0159" w:rsidP="00AE0159">
      <w:pPr>
        <w:rPr>
          <w:lang w:val="hr-HR"/>
        </w:rPr>
      </w:pPr>
      <w:r w:rsidRPr="00350AFA">
        <w:rPr>
          <w:lang w:val="hr-HR"/>
        </w:rPr>
        <w:t>(4) Udio svjetlosnog toka rasvjetnih tijela dekorativne rasvjete iznad horizontalne ravnine m</w:t>
      </w:r>
      <w:r w:rsidR="00934E49">
        <w:rPr>
          <w:lang w:val="hr-HR"/>
        </w:rPr>
        <w:t>ože biti i veći od 0,0</w:t>
      </w:r>
      <w:r w:rsidR="00947200">
        <w:rPr>
          <w:lang w:val="hr-HR"/>
        </w:rPr>
        <w:t xml:space="preserve"> </w:t>
      </w:r>
      <w:r w:rsidRPr="00350AFA">
        <w:rPr>
          <w:lang w:val="hr-HR"/>
        </w:rPr>
        <w:t xml:space="preserve">% uz uvjet da svjetlost </w:t>
      </w:r>
      <w:r w:rsidR="00837230">
        <w:rPr>
          <w:lang w:val="hr-HR"/>
        </w:rPr>
        <w:t xml:space="preserve">bude </w:t>
      </w:r>
      <w:r w:rsidRPr="00350AFA">
        <w:rPr>
          <w:lang w:val="hr-HR"/>
        </w:rPr>
        <w:t xml:space="preserve">usmjerena prema </w:t>
      </w:r>
      <w:r w:rsidR="00607C55">
        <w:rPr>
          <w:lang w:val="hr-HR"/>
        </w:rPr>
        <w:t>građevini</w:t>
      </w:r>
      <w:r w:rsidRPr="00350AFA">
        <w:rPr>
          <w:lang w:val="hr-HR"/>
        </w:rPr>
        <w:t xml:space="preserve"> i ne izlaz</w:t>
      </w:r>
      <w:r w:rsidR="00837230">
        <w:rPr>
          <w:lang w:val="hr-HR"/>
        </w:rPr>
        <w:t>i</w:t>
      </w:r>
      <w:r w:rsidRPr="00350AFA">
        <w:rPr>
          <w:lang w:val="hr-HR"/>
        </w:rPr>
        <w:t xml:space="preserve"> iz gabarita osvjetljavanja.</w:t>
      </w:r>
    </w:p>
    <w:p w14:paraId="6AD7D40F" w14:textId="4B035B25" w:rsidR="00AE0159" w:rsidRPr="00350AFA" w:rsidRDefault="00AE0159" w:rsidP="00AE0159">
      <w:pPr>
        <w:rPr>
          <w:lang w:val="hr-HR"/>
        </w:rPr>
      </w:pPr>
      <w:r w:rsidRPr="00350AFA">
        <w:rPr>
          <w:lang w:val="hr-HR"/>
        </w:rPr>
        <w:t xml:space="preserve">(5) Iznimno od odredbe stavka 4. ovoga članka u slučajevima specifičnog oblika </w:t>
      </w:r>
      <w:r w:rsidR="00607C55">
        <w:rPr>
          <w:lang w:val="hr-HR"/>
        </w:rPr>
        <w:t xml:space="preserve">građevine </w:t>
      </w:r>
      <w:r w:rsidRPr="00350AFA">
        <w:rPr>
          <w:lang w:val="hr-HR"/>
        </w:rPr>
        <w:t xml:space="preserve">ili dijela </w:t>
      </w:r>
      <w:r w:rsidR="006124C1">
        <w:rPr>
          <w:lang w:val="hr-HR"/>
        </w:rPr>
        <w:t>građevine</w:t>
      </w:r>
      <w:r w:rsidRPr="00350AFA">
        <w:rPr>
          <w:lang w:val="hr-HR"/>
        </w:rPr>
        <w:t xml:space="preserve"> kojeg se želi osvijetliti, a kojeg nije moguće drukčije osvijetliti, dozvoljeno je da svjetlosni tok (do </w:t>
      </w:r>
      <w:r w:rsidR="00A02BFA">
        <w:rPr>
          <w:lang w:val="hr-HR"/>
        </w:rPr>
        <w:t>deset posto</w:t>
      </w:r>
      <w:r w:rsidR="00646CF8">
        <w:rPr>
          <w:lang w:val="hr-HR"/>
        </w:rPr>
        <w:t>)</w:t>
      </w:r>
      <w:r w:rsidR="00A02BFA">
        <w:rPr>
          <w:lang w:val="hr-HR"/>
        </w:rPr>
        <w:t xml:space="preserve"> </w:t>
      </w:r>
      <w:r w:rsidRPr="00350AFA">
        <w:rPr>
          <w:lang w:val="hr-HR"/>
        </w:rPr>
        <w:t xml:space="preserve">ne završava na </w:t>
      </w:r>
      <w:r w:rsidR="006124C1">
        <w:rPr>
          <w:lang w:val="hr-HR"/>
        </w:rPr>
        <w:t>građevini</w:t>
      </w:r>
      <w:r w:rsidRPr="00350AFA">
        <w:rPr>
          <w:lang w:val="hr-HR"/>
        </w:rPr>
        <w:t xml:space="preserve"> uz udovoljavanje odredbi članka 10. ovoga Pravilnika. </w:t>
      </w:r>
    </w:p>
    <w:p w14:paraId="74EF3F27" w14:textId="4EF45EA3" w:rsidR="00AE0159" w:rsidRPr="00350AFA" w:rsidRDefault="00AE0159" w:rsidP="00AE0159">
      <w:pPr>
        <w:rPr>
          <w:lang w:val="hr-HR"/>
        </w:rPr>
      </w:pPr>
      <w:r w:rsidRPr="00350AFA">
        <w:rPr>
          <w:lang w:val="hr-HR"/>
        </w:rPr>
        <w:t xml:space="preserve">(6) Odredbe stavka 5. ovoga članka odnose se na </w:t>
      </w:r>
      <w:r w:rsidR="006124C1">
        <w:rPr>
          <w:lang w:val="hr-HR"/>
        </w:rPr>
        <w:t>građevine</w:t>
      </w:r>
      <w:r w:rsidRPr="00350AFA">
        <w:rPr>
          <w:lang w:val="hr-HR"/>
        </w:rPr>
        <w:t xml:space="preserve"> ili </w:t>
      </w:r>
      <w:r w:rsidR="006124C1">
        <w:rPr>
          <w:lang w:val="hr-HR"/>
        </w:rPr>
        <w:t xml:space="preserve">dijelove </w:t>
      </w:r>
      <w:r w:rsidRPr="00350AFA">
        <w:rPr>
          <w:lang w:val="hr-HR"/>
        </w:rPr>
        <w:t>građevine kao što su: tornjevi, vrhovi tornjeva, dimnjaci, građevine nepravilnog, piramidalnog i stožastog, rešetkastog i/ili šupljeg oblika.</w:t>
      </w:r>
    </w:p>
    <w:p w14:paraId="1956B72D" w14:textId="77777777" w:rsidR="00330E0B" w:rsidRPr="00350AFA" w:rsidRDefault="00330E0B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lastRenderedPageBreak/>
        <w:t>Članak 10.</w:t>
      </w:r>
    </w:p>
    <w:p w14:paraId="2EBE0481" w14:textId="554E2A83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(1) Maksimalna vrijednost rasvijetljenosti površine dekorativne rasvjete iznosi 30</w:t>
      </w:r>
      <w:r w:rsidR="00646CF8">
        <w:rPr>
          <w:lang w:val="hr-HR"/>
        </w:rPr>
        <w:t xml:space="preserve"> </w:t>
      </w:r>
      <w:r w:rsidR="007E3D66">
        <w:rPr>
          <w:lang w:val="hr-HR"/>
        </w:rPr>
        <w:t xml:space="preserve">lx </w:t>
      </w:r>
      <w:r w:rsidRPr="00350AFA">
        <w:rPr>
          <w:lang w:val="hr-HR"/>
        </w:rPr>
        <w:t xml:space="preserve">u naseljenim područjima i 20 </w:t>
      </w:r>
      <w:r w:rsidR="007E3D66">
        <w:rPr>
          <w:lang w:val="hr-HR"/>
        </w:rPr>
        <w:t xml:space="preserve">lx </w:t>
      </w:r>
      <w:r w:rsidRPr="00350AFA">
        <w:rPr>
          <w:lang w:val="hr-HR"/>
        </w:rPr>
        <w:t>u nenaseljenim područjima.</w:t>
      </w:r>
    </w:p>
    <w:p w14:paraId="4ABF8375" w14:textId="32C1D2EF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(2) Dekorativna rasvjeta mora biti izvedena s mogućnošću reguliranja intenziteta unutar područja od 100 do </w:t>
      </w:r>
      <w:r w:rsidR="007A2819">
        <w:rPr>
          <w:lang w:val="hr-HR"/>
        </w:rPr>
        <w:t xml:space="preserve">nula </w:t>
      </w:r>
      <w:r w:rsidRPr="00350AFA">
        <w:rPr>
          <w:lang w:val="hr-HR"/>
        </w:rPr>
        <w:t>%.</w:t>
      </w:r>
    </w:p>
    <w:p w14:paraId="3022FAFE" w14:textId="20027AEB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(3) Za vrijeme </w:t>
      </w:r>
      <w:proofErr w:type="spellStart"/>
      <w:r w:rsidRPr="00350AFA">
        <w:rPr>
          <w:lang w:val="hr-HR"/>
        </w:rPr>
        <w:t>svjetlostaja</w:t>
      </w:r>
      <w:proofErr w:type="spellEnd"/>
      <w:r w:rsidRPr="00350AFA">
        <w:rPr>
          <w:lang w:val="hr-HR"/>
        </w:rPr>
        <w:t xml:space="preserve"> intenzitet dekorativne rasvjete </w:t>
      </w:r>
      <w:r w:rsidR="00934E49">
        <w:rPr>
          <w:lang w:val="hr-HR"/>
        </w:rPr>
        <w:t>se mora smanjiti na najmanje 50</w:t>
      </w:r>
      <w:r w:rsidR="00947200">
        <w:rPr>
          <w:lang w:val="hr-HR"/>
        </w:rPr>
        <w:t xml:space="preserve"> </w:t>
      </w:r>
      <w:r w:rsidRPr="00350AFA">
        <w:rPr>
          <w:lang w:val="hr-HR"/>
        </w:rPr>
        <w:t>% po</w:t>
      </w:r>
      <w:r w:rsidR="00E41FFA">
        <w:rPr>
          <w:lang w:val="hr-HR"/>
        </w:rPr>
        <w:t>četnog intenziteta ili ugasiti.</w:t>
      </w:r>
    </w:p>
    <w:p w14:paraId="4903B3CC" w14:textId="5638FC8B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(4) Iznimno od odredbe iz stavka 3. </w:t>
      </w:r>
      <w:r w:rsidR="0059769F" w:rsidRPr="00350AFA">
        <w:rPr>
          <w:lang w:val="hr-HR"/>
        </w:rPr>
        <w:t xml:space="preserve">ovoga članka </w:t>
      </w:r>
      <w:r w:rsidRPr="00350AFA">
        <w:rPr>
          <w:lang w:val="hr-HR"/>
        </w:rPr>
        <w:t>intenzitet dekorativne rasvjete u vrijem</w:t>
      </w:r>
      <w:r w:rsidR="0059769F" w:rsidRPr="00350AFA">
        <w:rPr>
          <w:lang w:val="hr-HR"/>
        </w:rPr>
        <w:t xml:space="preserve">e </w:t>
      </w:r>
      <w:proofErr w:type="spellStart"/>
      <w:r w:rsidR="0059769F" w:rsidRPr="00350AFA">
        <w:rPr>
          <w:lang w:val="hr-HR"/>
        </w:rPr>
        <w:t>svjetlostaja</w:t>
      </w:r>
      <w:proofErr w:type="spellEnd"/>
      <w:r w:rsidR="0059769F" w:rsidRPr="00350AFA">
        <w:rPr>
          <w:lang w:val="hr-HR"/>
        </w:rPr>
        <w:t xml:space="preserve"> može biti i više </w:t>
      </w:r>
      <w:r w:rsidR="00934E49">
        <w:rPr>
          <w:lang w:val="hr-HR"/>
        </w:rPr>
        <w:t>od 50</w:t>
      </w:r>
      <w:r w:rsidR="00947200">
        <w:rPr>
          <w:lang w:val="hr-HR"/>
        </w:rPr>
        <w:t xml:space="preserve"> </w:t>
      </w:r>
      <w:r w:rsidRPr="00350AFA">
        <w:rPr>
          <w:lang w:val="hr-HR"/>
        </w:rPr>
        <w:t>%  ako se dekorativna rasvjeta koristi kao dio javnih priredbi.</w:t>
      </w:r>
    </w:p>
    <w:p w14:paraId="2E156490" w14:textId="770F19B2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(5) Izuzeća iz stavka 4. ovoga članka definiraju se </w:t>
      </w:r>
      <w:r w:rsidR="001D1203" w:rsidRPr="00350AFA">
        <w:rPr>
          <w:lang w:val="hr-HR"/>
        </w:rPr>
        <w:t xml:space="preserve">Planom </w:t>
      </w:r>
      <w:r w:rsidRPr="00350AFA">
        <w:rPr>
          <w:lang w:val="hr-HR"/>
        </w:rPr>
        <w:t xml:space="preserve">dekorativne i vanjske rasvjete koji donose </w:t>
      </w:r>
      <w:r w:rsidR="00DE505D" w:rsidRPr="00350AFA">
        <w:rPr>
          <w:lang w:val="hr-HR"/>
        </w:rPr>
        <w:t>JLS</w:t>
      </w:r>
      <w:r w:rsidRPr="00350AFA">
        <w:rPr>
          <w:lang w:val="hr-HR"/>
        </w:rPr>
        <w:t xml:space="preserve"> i </w:t>
      </w:r>
      <w:r w:rsidR="00934E49">
        <w:rPr>
          <w:lang w:val="hr-HR"/>
        </w:rPr>
        <w:t>G</w:t>
      </w:r>
      <w:r w:rsidR="00E41FFA">
        <w:rPr>
          <w:lang w:val="hr-HR"/>
        </w:rPr>
        <w:t>rad Zagreb za svoje područje.</w:t>
      </w:r>
    </w:p>
    <w:p w14:paraId="05BFBEC9" w14:textId="50C5F184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(5) Ako se koristi izuzeće iz stavka 4. ovoga članka, </w:t>
      </w:r>
      <w:r w:rsidR="008314AE">
        <w:rPr>
          <w:lang w:val="hr-HR"/>
        </w:rPr>
        <w:t xml:space="preserve">jedan </w:t>
      </w:r>
      <w:r w:rsidRPr="00350AFA">
        <w:rPr>
          <w:lang w:val="hr-HR"/>
        </w:rPr>
        <w:t>sat po završetku javne priredbe na dekorativnu rasvjetu primjenjuju se odredbe iz stavka 3. ovoga članka.</w:t>
      </w:r>
    </w:p>
    <w:p w14:paraId="2806C9A9" w14:textId="77777777" w:rsidR="00330E0B" w:rsidRPr="00350AFA" w:rsidRDefault="00330E0B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11.</w:t>
      </w:r>
    </w:p>
    <w:p w14:paraId="27732B6B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(1) Ovisno o tipu građevine, vrsti i boji podloge moguće je koristiti svjetiljke sa statičnom ili dinamičkom </w:t>
      </w:r>
      <w:proofErr w:type="spellStart"/>
      <w:r w:rsidRPr="00350AFA">
        <w:rPr>
          <w:lang w:val="hr-HR"/>
        </w:rPr>
        <w:t>koreliranom</w:t>
      </w:r>
      <w:proofErr w:type="spellEnd"/>
      <w:r w:rsidRPr="00350AFA">
        <w:rPr>
          <w:lang w:val="hr-HR"/>
        </w:rPr>
        <w:t xml:space="preserve"> temperaturom boje.</w:t>
      </w:r>
    </w:p>
    <w:p w14:paraId="0855653E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(2) Za dekorativnu rasvjetu moguće je koristiti sustav s promjenjivom temperaturom boje i RGB, RGBW i RGBA, samo kako je opisano i predviđeno Planom rasvjete JLS.</w:t>
      </w:r>
    </w:p>
    <w:p w14:paraId="4F19A5EF" w14:textId="77777777" w:rsidR="00330E0B" w:rsidRPr="00350AFA" w:rsidRDefault="00330E0B" w:rsidP="00330E0B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Krajobrazna rasvjeta</w:t>
      </w:r>
    </w:p>
    <w:p w14:paraId="25FF9452" w14:textId="77777777" w:rsidR="00330E0B" w:rsidRPr="00350AFA" w:rsidRDefault="00330E0B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12.</w:t>
      </w:r>
    </w:p>
    <w:p w14:paraId="58E9E71A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(1) Nije dopuštena krajobrazna rasvjeta u zonama rasvijetljenosti E0 i E1.</w:t>
      </w:r>
    </w:p>
    <w:p w14:paraId="2053BE11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(2) Krajobrazna rasvjeta dopuštena je u zonama E2, E3 i E4.</w:t>
      </w:r>
    </w:p>
    <w:p w14:paraId="47AF620D" w14:textId="54FD333A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(3) Iznimno od odredbe stavka 1. ovoga članka moguće je korištenje krajobrazne rasvjete u zoni rasvijetljenosti E1 u određenom vremenskom periodu definiranom u Planu rasvjete koji donose </w:t>
      </w:r>
      <w:r w:rsidR="00DE505D" w:rsidRPr="00350AFA">
        <w:rPr>
          <w:lang w:val="hr-HR"/>
        </w:rPr>
        <w:t>JLS</w:t>
      </w:r>
      <w:r w:rsidRPr="00350AFA">
        <w:rPr>
          <w:lang w:val="hr-HR"/>
        </w:rPr>
        <w:t xml:space="preserve"> i </w:t>
      </w:r>
      <w:r w:rsidR="00934E49">
        <w:rPr>
          <w:lang w:val="hr-HR"/>
        </w:rPr>
        <w:t>G</w:t>
      </w:r>
      <w:r w:rsidRPr="00350AFA">
        <w:rPr>
          <w:lang w:val="hr-HR"/>
        </w:rPr>
        <w:t xml:space="preserve">rad Zagreb za svoje područje. </w:t>
      </w:r>
    </w:p>
    <w:p w14:paraId="2E515854" w14:textId="6248F96F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(4) Udio svjetlosnog toka rasvjetnih tijela krajobrazne rasvjete iznad horizontalne ravnine može biti i veći od </w:t>
      </w:r>
      <w:r w:rsidR="00947200">
        <w:rPr>
          <w:lang w:val="hr-HR"/>
        </w:rPr>
        <w:t>0,0</w:t>
      </w:r>
      <w:r w:rsidRPr="00350AFA">
        <w:rPr>
          <w:lang w:val="hr-HR"/>
        </w:rPr>
        <w:t xml:space="preserve"> % uz uvjet da svjetlost usmjerena prema zelenilu ili raslinju ne izlaze iz gabarita osvjetljavanja.</w:t>
      </w:r>
    </w:p>
    <w:p w14:paraId="01B64C8F" w14:textId="74206386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(5) Iznimno od odredbe stavka 4. ovoga članka u slučajevima specifičnog oblika zelenila ili raslinja ili dijela kojeg se želi osvijetliti, a kojeg nije moguće drukčije osvijetliti dozvoljeno je da svjetlosni tok ne završava na zelenilu ili raslinju uz udovoljavanje odredbi</w:t>
      </w:r>
      <w:r w:rsidR="001E3D15">
        <w:rPr>
          <w:lang w:val="hr-HR"/>
        </w:rPr>
        <w:t xml:space="preserve"> </w:t>
      </w:r>
      <w:r w:rsidRPr="001E3D15">
        <w:rPr>
          <w:lang w:val="hr-HR"/>
        </w:rPr>
        <w:t xml:space="preserve">članka 13. ovoga </w:t>
      </w:r>
      <w:r w:rsidRPr="00350AFA">
        <w:rPr>
          <w:lang w:val="hr-HR"/>
        </w:rPr>
        <w:t xml:space="preserve">Pravilnika. </w:t>
      </w:r>
    </w:p>
    <w:p w14:paraId="49A3CCB6" w14:textId="24960F83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(6) Kod novo realiziranih projekata pejzažne arhitekture širina toka projektirane rasvjete ne smije izlaziti iz gabarita očekivanog rasta zelenila ili ra</w:t>
      </w:r>
      <w:r w:rsidR="00ED799A">
        <w:rPr>
          <w:lang w:val="hr-HR"/>
        </w:rPr>
        <w:t>slinja u vremenu od najmanje 50</w:t>
      </w:r>
      <w:r w:rsidR="00947200">
        <w:rPr>
          <w:lang w:val="hr-HR"/>
        </w:rPr>
        <w:t xml:space="preserve"> </w:t>
      </w:r>
      <w:r w:rsidRPr="00350AFA">
        <w:rPr>
          <w:lang w:val="hr-HR"/>
        </w:rPr>
        <w:t>% životnog vijeka trajanja postavljene svjetiljke.</w:t>
      </w:r>
    </w:p>
    <w:p w14:paraId="2BF135E4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(7) Za gabarit zelenila ili raslinja uzima se u obzir kad biljka dosegne svoj razvojni maksimum na godišnjoj razini (cvjetanje u proljeće).</w:t>
      </w:r>
    </w:p>
    <w:p w14:paraId="5FAD3927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lastRenderedPageBreak/>
        <w:t>(8)  Krajobrazna rasvjeta bjelogoričnog bilja koje tokom zime ostaje bez vlastitog pokrova, u zimskom periodu mora biti isključena.</w:t>
      </w:r>
    </w:p>
    <w:p w14:paraId="13767865" w14:textId="77777777" w:rsidR="00330E0B" w:rsidRPr="00350AFA" w:rsidRDefault="00330E0B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13.</w:t>
      </w:r>
    </w:p>
    <w:p w14:paraId="42F56B65" w14:textId="5E332A2B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(1) Maksimalna vrijednost rasvij</w:t>
      </w:r>
      <w:r w:rsidR="00ED799A">
        <w:rPr>
          <w:lang w:val="hr-HR"/>
        </w:rPr>
        <w:t xml:space="preserve">etljenosti površine krajobrazne </w:t>
      </w:r>
      <w:r w:rsidRPr="00350AFA">
        <w:rPr>
          <w:lang w:val="hr-HR"/>
        </w:rPr>
        <w:t xml:space="preserve">rasvjete iznosi 20 </w:t>
      </w:r>
      <w:r w:rsidR="007E3D66">
        <w:rPr>
          <w:lang w:val="hr-HR"/>
        </w:rPr>
        <w:t>lx</w:t>
      </w:r>
      <w:r w:rsidR="00646CF8">
        <w:rPr>
          <w:lang w:val="hr-HR"/>
        </w:rPr>
        <w:t xml:space="preserve"> </w:t>
      </w:r>
      <w:r w:rsidRPr="00350AFA">
        <w:rPr>
          <w:lang w:val="hr-HR"/>
        </w:rPr>
        <w:t>u naseljenim područjima i 15 l</w:t>
      </w:r>
      <w:r w:rsidR="007E3D66">
        <w:rPr>
          <w:lang w:val="hr-HR"/>
        </w:rPr>
        <w:t xml:space="preserve">x </w:t>
      </w:r>
      <w:r w:rsidRPr="00350AFA">
        <w:rPr>
          <w:lang w:val="hr-HR"/>
        </w:rPr>
        <w:t>u nenaseljenim područjima.</w:t>
      </w:r>
    </w:p>
    <w:p w14:paraId="5C25DE14" w14:textId="19115452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(2) Krajobrazna rasvjeta mora biti izvedena s mogućnošću reguliranja intenziteta unutar područja od 100 do </w:t>
      </w:r>
      <w:r w:rsidR="000D4A17">
        <w:rPr>
          <w:lang w:val="hr-HR"/>
        </w:rPr>
        <w:t xml:space="preserve">nula </w:t>
      </w:r>
      <w:r w:rsidRPr="00350AFA">
        <w:rPr>
          <w:lang w:val="hr-HR"/>
        </w:rPr>
        <w:t>% .</w:t>
      </w:r>
    </w:p>
    <w:p w14:paraId="33C57DAF" w14:textId="2BDDD58E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(3) Za vrijeme </w:t>
      </w:r>
      <w:proofErr w:type="spellStart"/>
      <w:r w:rsidRPr="00350AFA">
        <w:rPr>
          <w:lang w:val="hr-HR"/>
        </w:rPr>
        <w:t>svjetlostaja</w:t>
      </w:r>
      <w:proofErr w:type="spellEnd"/>
      <w:r w:rsidRPr="00350AFA">
        <w:rPr>
          <w:lang w:val="hr-HR"/>
        </w:rPr>
        <w:t xml:space="preserve"> intenzitet krajobrazne rasvjete se m</w:t>
      </w:r>
      <w:r w:rsidR="00ED799A">
        <w:rPr>
          <w:lang w:val="hr-HR"/>
        </w:rPr>
        <w:t>ora smanjiti na najmanje 30</w:t>
      </w:r>
      <w:r w:rsidR="00947200">
        <w:rPr>
          <w:lang w:val="hr-HR"/>
        </w:rPr>
        <w:t xml:space="preserve"> </w:t>
      </w:r>
      <w:r w:rsidRPr="00350AFA">
        <w:rPr>
          <w:lang w:val="hr-HR"/>
        </w:rPr>
        <w:t>% početnog intenziteta ili ugasiti.</w:t>
      </w:r>
    </w:p>
    <w:p w14:paraId="3A7362F0" w14:textId="78566E91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(4) Iznimno od odredbe iz stavka 3. </w:t>
      </w:r>
      <w:r w:rsidR="003F331A" w:rsidRPr="00350AFA">
        <w:rPr>
          <w:lang w:val="hr-HR"/>
        </w:rPr>
        <w:t xml:space="preserve">ovoga članka </w:t>
      </w:r>
      <w:r w:rsidRPr="00350AFA">
        <w:rPr>
          <w:lang w:val="hr-HR"/>
        </w:rPr>
        <w:t xml:space="preserve">intenzitet krajobrazne rasvjete u vrijeme </w:t>
      </w:r>
      <w:proofErr w:type="spellStart"/>
      <w:r w:rsidRPr="00350AFA">
        <w:rPr>
          <w:lang w:val="hr-HR"/>
        </w:rPr>
        <w:t>svje</w:t>
      </w:r>
      <w:r w:rsidR="00ED799A">
        <w:rPr>
          <w:lang w:val="hr-HR"/>
        </w:rPr>
        <w:t>tlostaja</w:t>
      </w:r>
      <w:proofErr w:type="spellEnd"/>
      <w:r w:rsidR="00ED799A">
        <w:rPr>
          <w:lang w:val="hr-HR"/>
        </w:rPr>
        <w:t xml:space="preserve"> može biti i više od 30</w:t>
      </w:r>
      <w:r w:rsidR="00947200">
        <w:rPr>
          <w:lang w:val="hr-HR"/>
        </w:rPr>
        <w:t xml:space="preserve"> </w:t>
      </w:r>
      <w:r w:rsidRPr="00350AFA">
        <w:rPr>
          <w:lang w:val="hr-HR"/>
        </w:rPr>
        <w:t xml:space="preserve">% početnog intenziteta ako se krajobrazna rasvjeta </w:t>
      </w:r>
      <w:r w:rsidR="003F331A" w:rsidRPr="00350AFA">
        <w:rPr>
          <w:lang w:val="hr-HR"/>
        </w:rPr>
        <w:t>koristi kao dio javnih priredbi.</w:t>
      </w:r>
    </w:p>
    <w:p w14:paraId="77A76C26" w14:textId="334B85C3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(5) Izuzeća iz stavka 4. ovoga članka definiraju se Planom </w:t>
      </w:r>
      <w:r w:rsidR="0021340B" w:rsidRPr="00350AFA">
        <w:rPr>
          <w:lang w:val="hr-HR"/>
        </w:rPr>
        <w:t>rasvjete</w:t>
      </w:r>
      <w:r w:rsidRPr="00350AFA">
        <w:rPr>
          <w:lang w:val="hr-HR"/>
        </w:rPr>
        <w:t xml:space="preserve"> koji donose </w:t>
      </w:r>
      <w:r w:rsidR="003F331A" w:rsidRPr="00350AFA">
        <w:rPr>
          <w:lang w:val="hr-HR"/>
        </w:rPr>
        <w:t>JLS</w:t>
      </w:r>
      <w:r w:rsidRPr="00350AFA">
        <w:rPr>
          <w:lang w:val="hr-HR"/>
        </w:rPr>
        <w:t xml:space="preserve"> i </w:t>
      </w:r>
      <w:r w:rsidR="00ED799A">
        <w:rPr>
          <w:lang w:val="hr-HR"/>
        </w:rPr>
        <w:t>G</w:t>
      </w:r>
      <w:r w:rsidR="00E41FFA">
        <w:rPr>
          <w:lang w:val="hr-HR"/>
        </w:rPr>
        <w:t>rad Zagreb za svoje područje.</w:t>
      </w:r>
    </w:p>
    <w:p w14:paraId="6CECDB46" w14:textId="5E9F45C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(6) Ako se koristi izuzeće iz stavka 4. ovoga članka, </w:t>
      </w:r>
      <w:r w:rsidR="00ED799A">
        <w:rPr>
          <w:lang w:val="hr-HR"/>
        </w:rPr>
        <w:t>jedan</w:t>
      </w:r>
      <w:r w:rsidRPr="00350AFA">
        <w:rPr>
          <w:lang w:val="hr-HR"/>
        </w:rPr>
        <w:t xml:space="preserve"> sat po završetku javne priredbe na krajobraznu rasvjetu primjenjuju se odredbe iz stavka 3. ovoga članka.</w:t>
      </w:r>
    </w:p>
    <w:p w14:paraId="55A4F4CE" w14:textId="77777777" w:rsidR="00330E0B" w:rsidRPr="00350AFA" w:rsidRDefault="00330E0B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14.</w:t>
      </w:r>
    </w:p>
    <w:p w14:paraId="34505DBA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Ovisno o vrsti zelenila ili raslinja moguće je koristiti svjetiljke sa statičnom, dinamičkom ili </w:t>
      </w:r>
      <w:r w:rsidRPr="006127D9">
        <w:rPr>
          <w:lang w:val="hr-HR"/>
        </w:rPr>
        <w:t>RGBW, RGBA i RGB</w:t>
      </w:r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koreliranom</w:t>
      </w:r>
      <w:proofErr w:type="spellEnd"/>
      <w:r w:rsidRPr="00350AFA">
        <w:rPr>
          <w:lang w:val="hr-HR"/>
        </w:rPr>
        <w:t xml:space="preserve"> temperaturom boje.</w:t>
      </w:r>
    </w:p>
    <w:p w14:paraId="0A2868B6" w14:textId="77777777" w:rsidR="00330E0B" w:rsidRPr="00350AFA" w:rsidRDefault="00330E0B" w:rsidP="00330E0B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Prirodna vodna tijela</w:t>
      </w:r>
    </w:p>
    <w:p w14:paraId="4B45D42D" w14:textId="77777777" w:rsidR="00330E0B" w:rsidRPr="00350AFA" w:rsidRDefault="00330E0B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15.</w:t>
      </w:r>
    </w:p>
    <w:p w14:paraId="50E995D1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(1) Nije dozvoljeno rabiti svjetlosne snopove bilo kakve vrste ili oblika usmjerene prema prirodnom vodnom tijelu. </w:t>
      </w:r>
    </w:p>
    <w:p w14:paraId="2C255A1B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>(2) Iznimno od odredbe stavka 1. ovoga članka dozvoljava se korištenje svjetlosnih snopova bilo kakve vrste ili oblika usmjerene prema vodnom tijelu u slučajevima kada se isti koriste:</w:t>
      </w:r>
    </w:p>
    <w:p w14:paraId="2FFE75DB" w14:textId="33B81ABD" w:rsidR="00330E0B" w:rsidRPr="00350AFA" w:rsidRDefault="000D4A17" w:rsidP="00330E0B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330E0B" w:rsidRPr="00350AFA">
        <w:rPr>
          <w:lang w:val="hr-HR"/>
        </w:rPr>
        <w:tab/>
        <w:t>kao rasvjeta nepokretnog kulturnog dobra kad su prirodna vodna tijela dio nepokretnog kulturnog dobra i to dio: grada, naselja, građevine ili njezin dio s okolišem, element povijesne opreme naselja, dio arheološkog nalazišta, krajolik ili njegov dio koji sadrži povijesno karakteristične strukture, dio vrtova, perivoja i parkova</w:t>
      </w:r>
    </w:p>
    <w:p w14:paraId="4FFC274D" w14:textId="12169793" w:rsidR="00330E0B" w:rsidRPr="00350AFA" w:rsidRDefault="000D4A17" w:rsidP="00330E0B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330E0B" w:rsidRPr="00350AFA">
        <w:rPr>
          <w:lang w:val="hr-HR"/>
        </w:rPr>
        <w:tab/>
        <w:t xml:space="preserve">kao privremena umjetnička instalacija na vodi ili u vodi uz vremensko ograničenje trajanja koje JLS i Grad </w:t>
      </w:r>
      <w:r w:rsidR="00E41FFA">
        <w:rPr>
          <w:lang w:val="hr-HR"/>
        </w:rPr>
        <w:t>Zagreb utvrđuju Planom rasvjete</w:t>
      </w:r>
    </w:p>
    <w:p w14:paraId="177C9F86" w14:textId="38E68E51" w:rsidR="00330E0B" w:rsidRPr="00350AFA" w:rsidRDefault="000D4A17" w:rsidP="00330E0B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330E0B" w:rsidRPr="00350AFA">
        <w:rPr>
          <w:lang w:val="hr-HR"/>
        </w:rPr>
        <w:tab/>
        <w:t xml:space="preserve">za potrebe priredbi ili velikih događaja u vremenu održavanja istih (zabave, koncerti i sl.) najranije </w:t>
      </w:r>
      <w:r>
        <w:rPr>
          <w:lang w:val="hr-HR"/>
        </w:rPr>
        <w:t>jedan</w:t>
      </w:r>
      <w:r w:rsidR="00330E0B" w:rsidRPr="00350AFA">
        <w:rPr>
          <w:lang w:val="hr-HR"/>
        </w:rPr>
        <w:t xml:space="preserve"> sat prije i  najkasnije </w:t>
      </w:r>
      <w:r>
        <w:rPr>
          <w:lang w:val="hr-HR"/>
        </w:rPr>
        <w:t>jedan</w:t>
      </w:r>
      <w:r w:rsidR="00330E0B" w:rsidRPr="00350AFA">
        <w:rPr>
          <w:lang w:val="hr-HR"/>
        </w:rPr>
        <w:t xml:space="preserve"> sat nakon završetka priredbe i</w:t>
      </w:r>
    </w:p>
    <w:p w14:paraId="23009666" w14:textId="53CB804B" w:rsidR="00330E0B" w:rsidRPr="00350AFA" w:rsidRDefault="000D4A17" w:rsidP="00330E0B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330E0B" w:rsidRPr="00350AFA">
        <w:rPr>
          <w:lang w:val="hr-HR"/>
        </w:rPr>
        <w:tab/>
        <w:t>za promociju prirodnih i kulturnih dobara koje JLS i Grad Zagreb utvrđuju Planom rasvjete uz vremensko ograničenje trajanja.</w:t>
      </w:r>
    </w:p>
    <w:p w14:paraId="68967BCD" w14:textId="10F77C58" w:rsidR="00330E0B" w:rsidRPr="00350AFA" w:rsidRDefault="00330E0B" w:rsidP="00330E0B">
      <w:pPr>
        <w:spacing w:before="120" w:line="240" w:lineRule="auto"/>
        <w:rPr>
          <w:lang w:val="hr-HR"/>
        </w:rPr>
      </w:pPr>
      <w:r w:rsidRPr="00350AFA">
        <w:rPr>
          <w:lang w:val="hr-HR"/>
        </w:rPr>
        <w:t>(3) Ako se koristi izuzeće iz stavka 2. ovoga članka maksimalna vrijednost rasvijetljenosti površine iznosi 20 l</w:t>
      </w:r>
      <w:r w:rsidR="007E3D66">
        <w:rPr>
          <w:lang w:val="hr-HR"/>
        </w:rPr>
        <w:t>x</w:t>
      </w:r>
      <w:r w:rsidRPr="00350AFA">
        <w:rPr>
          <w:lang w:val="hr-HR"/>
        </w:rPr>
        <w:t xml:space="preserve"> u naseljenim područjima i 15 l</w:t>
      </w:r>
      <w:r w:rsidR="007E3D66">
        <w:rPr>
          <w:lang w:val="hr-HR"/>
        </w:rPr>
        <w:t>x</w:t>
      </w:r>
      <w:r w:rsidRPr="00350AFA">
        <w:rPr>
          <w:lang w:val="hr-HR"/>
        </w:rPr>
        <w:t xml:space="preserve"> u nenaseljenim područjima.</w:t>
      </w:r>
    </w:p>
    <w:p w14:paraId="701862E0" w14:textId="77777777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lastRenderedPageBreak/>
        <w:t xml:space="preserve">(4) Cestovna i javna rasvjeta uz prirodna vodna tijela svojim usmjerenim i izlaznim tokom svjetlosti na vodenoj površini mora emitirati svjetlost manju od emisija propisanih u tablici  iz </w:t>
      </w:r>
      <w:r w:rsidRPr="00350AFA">
        <w:rPr>
          <w:b/>
          <w:lang w:val="hr-HR"/>
        </w:rPr>
        <w:t>Priloga VI.</w:t>
      </w:r>
      <w:r w:rsidRPr="00350AFA">
        <w:rPr>
          <w:lang w:val="hr-HR"/>
        </w:rPr>
        <w:t xml:space="preserve"> ovoga Pravilnika.</w:t>
      </w:r>
    </w:p>
    <w:p w14:paraId="729631CB" w14:textId="26DCA38B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(5) Za vrijeme </w:t>
      </w:r>
      <w:proofErr w:type="spellStart"/>
      <w:r w:rsidRPr="00350AFA">
        <w:rPr>
          <w:lang w:val="hr-HR"/>
        </w:rPr>
        <w:t>svjetlostaja</w:t>
      </w:r>
      <w:proofErr w:type="spellEnd"/>
      <w:r w:rsidRPr="00350AFA">
        <w:rPr>
          <w:lang w:val="hr-HR"/>
        </w:rPr>
        <w:t xml:space="preserve"> intenzitet rasvjete iz stavka 2. </w:t>
      </w:r>
      <w:r w:rsidR="00DF5757" w:rsidRPr="00350AFA">
        <w:rPr>
          <w:lang w:val="hr-HR"/>
        </w:rPr>
        <w:t xml:space="preserve">ovoga članka </w:t>
      </w:r>
      <w:r w:rsidRPr="00350AFA">
        <w:rPr>
          <w:lang w:val="hr-HR"/>
        </w:rPr>
        <w:t>se mora smanjiti</w:t>
      </w:r>
      <w:r w:rsidR="00ED799A">
        <w:rPr>
          <w:lang w:val="hr-HR"/>
        </w:rPr>
        <w:t xml:space="preserve"> na najmanje 30</w:t>
      </w:r>
      <w:r w:rsidR="00947200">
        <w:rPr>
          <w:lang w:val="hr-HR"/>
        </w:rPr>
        <w:t xml:space="preserve"> </w:t>
      </w:r>
      <w:r w:rsidRPr="00350AFA">
        <w:rPr>
          <w:lang w:val="hr-HR"/>
        </w:rPr>
        <w:t>% početnog intenziteta ili ugasiti.</w:t>
      </w:r>
    </w:p>
    <w:p w14:paraId="070133DB" w14:textId="797AD080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(6) Iznimno od odredbe iz stavka 5. </w:t>
      </w:r>
      <w:r w:rsidR="00DF5757" w:rsidRPr="00350AFA">
        <w:rPr>
          <w:lang w:val="hr-HR"/>
        </w:rPr>
        <w:t xml:space="preserve">ovoga članka </w:t>
      </w:r>
      <w:r w:rsidRPr="00350AFA">
        <w:rPr>
          <w:lang w:val="hr-HR"/>
        </w:rPr>
        <w:t xml:space="preserve">intenzitet </w:t>
      </w:r>
      <w:r w:rsidR="00DF5757" w:rsidRPr="00350AFA">
        <w:rPr>
          <w:lang w:val="hr-HR"/>
        </w:rPr>
        <w:t xml:space="preserve">rasvjete za vrijeme </w:t>
      </w:r>
      <w:proofErr w:type="spellStart"/>
      <w:r w:rsidR="00DF5757" w:rsidRPr="00350AFA">
        <w:rPr>
          <w:lang w:val="hr-HR"/>
        </w:rPr>
        <w:t>svjetlostaja</w:t>
      </w:r>
      <w:proofErr w:type="spellEnd"/>
      <w:r w:rsidR="00ED799A">
        <w:rPr>
          <w:lang w:val="hr-HR"/>
        </w:rPr>
        <w:t xml:space="preserve"> može biti i više od 30</w:t>
      </w:r>
      <w:r w:rsidR="00947200">
        <w:rPr>
          <w:lang w:val="hr-HR"/>
        </w:rPr>
        <w:t xml:space="preserve"> </w:t>
      </w:r>
      <w:r w:rsidRPr="00350AFA">
        <w:rPr>
          <w:lang w:val="hr-HR"/>
        </w:rPr>
        <w:t>% početnog intenziteta ako se rasvjeta koristi kao dio javnih priredbi.</w:t>
      </w:r>
    </w:p>
    <w:p w14:paraId="542F1CD1" w14:textId="02D2129C" w:rsidR="00330E0B" w:rsidRPr="00350AFA" w:rsidRDefault="00330E0B" w:rsidP="00330E0B">
      <w:pPr>
        <w:rPr>
          <w:lang w:val="hr-HR"/>
        </w:rPr>
      </w:pPr>
      <w:r w:rsidRPr="00350AFA">
        <w:rPr>
          <w:lang w:val="hr-HR"/>
        </w:rPr>
        <w:t xml:space="preserve">(7) Ako se koristi izuzeće iz stavka 6. ovoga članka, </w:t>
      </w:r>
      <w:r w:rsidR="00ED799A">
        <w:rPr>
          <w:lang w:val="hr-HR"/>
        </w:rPr>
        <w:t>jedan</w:t>
      </w:r>
      <w:r w:rsidRPr="00350AFA">
        <w:rPr>
          <w:lang w:val="hr-HR"/>
        </w:rPr>
        <w:t xml:space="preserve"> sat po završetku javne priredbe na krajobraznu rasvjetu primjenjuju se odredbe iz stavka 5. ovoga članka.</w:t>
      </w:r>
    </w:p>
    <w:p w14:paraId="2E7169F9" w14:textId="77777777" w:rsidR="00D24BA1" w:rsidRPr="00350AFA" w:rsidRDefault="00D24BA1" w:rsidP="00D24BA1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Cestovna rasvjeta i rasvjeta drugih prometnih površina</w:t>
      </w:r>
    </w:p>
    <w:p w14:paraId="4FFB4C73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16.</w:t>
      </w:r>
    </w:p>
    <w:p w14:paraId="76B0AD31" w14:textId="12BE57FB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(1) Cestovna rasvjeta u smislu ovoga Pravilnika podrazumijeva rasvjetu javnih cesta, ulica u naseljima i nerazvrstanih cesta sukladno posebnim propisima kojima se uređuje sigurnost prometa na cestama i kojima se uređuju ceste.</w:t>
      </w:r>
    </w:p>
    <w:p w14:paraId="72F133B3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(2) Rasvjeta drugih prometnih površina u smislu ovoga Pravilnika odnosi se na sve prometne površine sukladno posebnom propisu kojim se uređuje sigurnost prometa na cestama.</w:t>
      </w:r>
    </w:p>
    <w:p w14:paraId="2A594075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(3) Svrha cestovne rasvjete i rasvjete drugih prometnih površina je stvaranje uvjeta koji sudionicima u prometu osiguravaju dobru vidljivost i preglednost svih mogućih zapreka i detalja u cilju smanjenja opasnosti i rizika od nesreća i povećanja sigurnost pri kretanju.</w:t>
      </w:r>
    </w:p>
    <w:p w14:paraId="3D0A87AB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17.</w:t>
      </w:r>
    </w:p>
    <w:p w14:paraId="580389AE" w14:textId="2841C95B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(1) U sustavima rasvjete koja se koristi za rasvjetljavanje cesta i drugih prometnih površina moraju se primjenjivati samo ekološki prihvatljive svjetiljke čija je emisija svjetlosti u skladu s uvjetima propisanim Zakonom i čiji udio svjetlosnog toka iznad horizontal</w:t>
      </w:r>
      <w:r w:rsidR="006E5647" w:rsidRPr="00350AFA">
        <w:rPr>
          <w:lang w:val="hr-HR"/>
        </w:rPr>
        <w:t xml:space="preserve">ne ravnine mora biti </w:t>
      </w:r>
      <w:proofErr w:type="spellStart"/>
      <w:r w:rsidR="006E5647" w:rsidRPr="00350AFA">
        <w:rPr>
          <w:lang w:val="hr-HR"/>
        </w:rPr>
        <w:t>ULORinstal</w:t>
      </w:r>
      <w:proofErr w:type="spellEnd"/>
      <w:r w:rsidR="006E5647" w:rsidRPr="00350AFA">
        <w:rPr>
          <w:lang w:val="hr-HR"/>
        </w:rPr>
        <w:t xml:space="preserve"> </w:t>
      </w:r>
      <w:r w:rsidR="00572902">
        <w:rPr>
          <w:lang w:val="hr-HR"/>
        </w:rPr>
        <w:t xml:space="preserve">≤ 0,0 </w:t>
      </w:r>
      <w:r w:rsidRPr="00350AFA">
        <w:rPr>
          <w:lang w:val="hr-HR"/>
        </w:rPr>
        <w:t xml:space="preserve">%, uz maksimalnu </w:t>
      </w:r>
      <w:proofErr w:type="spellStart"/>
      <w:r w:rsidRPr="00350AFA">
        <w:rPr>
          <w:lang w:val="hr-HR"/>
        </w:rPr>
        <w:t>koreliranu</w:t>
      </w:r>
      <w:proofErr w:type="spellEnd"/>
      <w:r w:rsidRPr="00350AFA">
        <w:rPr>
          <w:lang w:val="hr-HR"/>
        </w:rPr>
        <w:t xml:space="preserve"> temperaturu boje do najviše 3 000 K.</w:t>
      </w:r>
    </w:p>
    <w:p w14:paraId="1AC5BAE5" w14:textId="705820CC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(2) Iznimno od odredbe iz stavka 1. ovoga </w:t>
      </w:r>
      <w:r w:rsidR="00DF5757" w:rsidRPr="00350AFA">
        <w:rPr>
          <w:lang w:val="hr-HR"/>
        </w:rPr>
        <w:t xml:space="preserve">članka u zaštićenim područjima </w:t>
      </w:r>
      <w:r w:rsidRPr="00350AFA">
        <w:rPr>
          <w:lang w:val="hr-HR"/>
        </w:rPr>
        <w:t>za rasvjetljavanje cesta i drugih prometnih površina moraju se primjenjivati samo ekološki prihvatljive svjetiljke čija je emisija svjetlosti u skladu s uvjetima propisanim Zakonom i čiji udio svjetlosnog toka iznad horizontalne rav</w:t>
      </w:r>
      <w:r w:rsidR="003D59E0">
        <w:rPr>
          <w:lang w:val="hr-HR"/>
        </w:rPr>
        <w:t xml:space="preserve">nine mora biti </w:t>
      </w:r>
      <w:proofErr w:type="spellStart"/>
      <w:r w:rsidR="003D59E0">
        <w:rPr>
          <w:lang w:val="hr-HR"/>
        </w:rPr>
        <w:t>ULORinstal</w:t>
      </w:r>
      <w:proofErr w:type="spellEnd"/>
      <w:r w:rsidR="003D59E0">
        <w:rPr>
          <w:lang w:val="hr-HR"/>
        </w:rPr>
        <w:t xml:space="preserve"> ≤ 0,0 </w:t>
      </w:r>
      <w:r w:rsidRPr="00350AFA">
        <w:rPr>
          <w:lang w:val="hr-HR"/>
        </w:rPr>
        <w:t xml:space="preserve">%, uz maksimalnu </w:t>
      </w:r>
      <w:proofErr w:type="spellStart"/>
      <w:r w:rsidRPr="00350AFA">
        <w:rPr>
          <w:lang w:val="hr-HR"/>
        </w:rPr>
        <w:t>koreliranu</w:t>
      </w:r>
      <w:proofErr w:type="spellEnd"/>
      <w:r w:rsidRPr="00350AFA">
        <w:rPr>
          <w:lang w:val="hr-HR"/>
        </w:rPr>
        <w:t xml:space="preserve"> temperaturu boje do najviše 2 200 K.</w:t>
      </w:r>
    </w:p>
    <w:p w14:paraId="2E9F9F23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18.</w:t>
      </w:r>
    </w:p>
    <w:p w14:paraId="3CA8C12E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(1) Cestovna rasvjeta i rasvjeta drugih prometnih površina mora udovoljavati zahtjevima važeće norme za cestovnu rasvjetu kojima se definiraju smjernice za odabir razreda rasvjete, zahtijevana svojstva, proračun svojstava, metode mjerenja svojstava rasvjete i pokazatelji energetskih svojstava rasvjete.</w:t>
      </w:r>
    </w:p>
    <w:p w14:paraId="3107D5C8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(2) U ovisnosti o prometnoj razini ceste, količini i gustoći prometa, razini prometnog opterećenja, jednosmjernog odnosno dvosmjernog prometa i razini opremljenosti ceste prometnom signalizacijom uz uvažavanje svih sudionika u prometu uključujući motocikliste, bicikliste i pješake definiraju se maksimalne vrijednosti horizontalne rasvijetljenosti cestovne rasvjete i rasvjete prometnih površina.</w:t>
      </w:r>
    </w:p>
    <w:p w14:paraId="14A12BDB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lastRenderedPageBreak/>
        <w:t>(3) Kvalitetu određenog sustava cestovne rasvjete određuju tehnička svojstva i kvaliteta izvora svjetlosti, svjetiljke i  površine kolnika.</w:t>
      </w:r>
    </w:p>
    <w:p w14:paraId="061C2E01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19.</w:t>
      </w:r>
    </w:p>
    <w:p w14:paraId="021D8DBF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(1) U </w:t>
      </w:r>
      <w:r w:rsidRPr="00350AFA">
        <w:rPr>
          <w:b/>
          <w:lang w:val="hr-HR"/>
        </w:rPr>
        <w:t>Prilogu III.</w:t>
      </w:r>
      <w:r w:rsidRPr="00350AFA">
        <w:rPr>
          <w:lang w:val="hr-HR"/>
        </w:rPr>
        <w:t xml:space="preserve"> ovoga Pravilnika dane su maksimalne vrijednosti horizontalne rasvijetljenosti cestovne rasvjete i rasvjete prometnih površina s obzirom na namjenu. </w:t>
      </w:r>
    </w:p>
    <w:p w14:paraId="42D38066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(2) Vrijednosti rasvijetljenosti cestovne rasvjete i rasvjete drugih prometnih površina predstavljaju granične vrijednosti koje se ne smiju prekoračiti.</w:t>
      </w:r>
    </w:p>
    <w:p w14:paraId="46F1A2BF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20.</w:t>
      </w:r>
    </w:p>
    <w:p w14:paraId="3EFD5420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(1) Za prometne površine koje su u funkciji odvijanja pješačkog prometa (pješačke staze, otoci i zone), biciklističkog prometa (biciklističke trake i staze), zaustavne trake i parkirališta uz prometnicu, maksimalne vrijednosti rasvijetljenosti propisane su u </w:t>
      </w:r>
      <w:r w:rsidRPr="00350AFA">
        <w:rPr>
          <w:b/>
          <w:lang w:val="hr-HR"/>
        </w:rPr>
        <w:t>Prilogu III. B.</w:t>
      </w:r>
      <w:r w:rsidRPr="00350AFA">
        <w:rPr>
          <w:lang w:val="hr-HR"/>
        </w:rPr>
        <w:t xml:space="preserve"> ovoga Pravilnika.</w:t>
      </w:r>
    </w:p>
    <w:p w14:paraId="17912831" w14:textId="016A0135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(2) Maksimalna vrijednosti horizontalne rasvijetljenosti za prometne površine u funkciji pješačkog prometa uz željeznički i tramvajski promet iznosi 20 l</w:t>
      </w:r>
      <w:r w:rsidR="000B694F">
        <w:rPr>
          <w:lang w:val="hr-HR"/>
        </w:rPr>
        <w:t>x</w:t>
      </w:r>
      <w:r w:rsidRPr="00350AFA">
        <w:rPr>
          <w:lang w:val="hr-HR"/>
        </w:rPr>
        <w:t>.</w:t>
      </w:r>
    </w:p>
    <w:p w14:paraId="36BFAE1A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21.</w:t>
      </w:r>
    </w:p>
    <w:p w14:paraId="7286EE2A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Zahtjevi za rasvijetljenost parkirališnih površina s obzirom na gustoću prometa odnosno namjenu parkirališne površine propisani su u </w:t>
      </w:r>
      <w:r w:rsidRPr="00350AFA">
        <w:rPr>
          <w:b/>
          <w:lang w:val="hr-HR"/>
        </w:rPr>
        <w:t>Prilogu III. C.</w:t>
      </w:r>
      <w:r w:rsidRPr="00350AFA">
        <w:rPr>
          <w:lang w:val="hr-HR"/>
        </w:rPr>
        <w:t xml:space="preserve"> ovoga Pravilnika.</w:t>
      </w:r>
    </w:p>
    <w:p w14:paraId="3D6BAF7A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22.</w:t>
      </w:r>
    </w:p>
    <w:p w14:paraId="6737BCA6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(1) U </w:t>
      </w:r>
      <w:r w:rsidRPr="00350AFA">
        <w:rPr>
          <w:b/>
          <w:lang w:val="hr-HR"/>
        </w:rPr>
        <w:t>Prilogu III. D.</w:t>
      </w:r>
      <w:r w:rsidRPr="00350AFA">
        <w:rPr>
          <w:lang w:val="hr-HR"/>
        </w:rPr>
        <w:t xml:space="preserve"> ovoga Pravilnika dane su maksimalne vrijednosti horizontalne rasvijetljenosti za pješačke prijelaze.</w:t>
      </w:r>
    </w:p>
    <w:p w14:paraId="604D2AA2" w14:textId="73118092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(2) </w:t>
      </w:r>
      <w:r w:rsidRPr="003D59E0">
        <w:rPr>
          <w:lang w:val="hr-HR"/>
        </w:rPr>
        <w:t>Iznimno od odredbi članka 17.</w:t>
      </w:r>
      <w:r w:rsidRPr="00350AFA">
        <w:rPr>
          <w:lang w:val="hr-HR"/>
        </w:rPr>
        <w:t xml:space="preserve"> ovoga Pravilnika za dodatnu rasvjetu pješačkih prijelaza izvor svjetlosti može imati veću </w:t>
      </w:r>
      <w:proofErr w:type="spellStart"/>
      <w:r w:rsidRPr="00350AFA">
        <w:rPr>
          <w:lang w:val="hr-HR"/>
        </w:rPr>
        <w:t>koreliranu</w:t>
      </w:r>
      <w:proofErr w:type="spellEnd"/>
      <w:r w:rsidRPr="00350AFA">
        <w:rPr>
          <w:lang w:val="hr-HR"/>
        </w:rPr>
        <w:t xml:space="preserve"> temperaturu boje do 1 500 K u odnosu na </w:t>
      </w:r>
      <w:proofErr w:type="spellStart"/>
      <w:r w:rsidRPr="00350AFA">
        <w:rPr>
          <w:lang w:val="hr-HR"/>
        </w:rPr>
        <w:t>koreliranu</w:t>
      </w:r>
      <w:proofErr w:type="spellEnd"/>
      <w:r w:rsidRPr="00350AFA">
        <w:rPr>
          <w:lang w:val="hr-HR"/>
        </w:rPr>
        <w:t xml:space="preserve"> temperaturu boje prometne površine na kojoj se pješački prijelaz nalazi.</w:t>
      </w:r>
    </w:p>
    <w:p w14:paraId="0B696C23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(3) Svjetiljka koja rasvjetljava pješački prijelaz mora imati takav optički blok da rasvjetljava samo pješački prijelaz i njegovu neposrednu okolinu uz uvjet da ukupna distribucija svjetla ne premašuje dvije širine pješačkog prijelaza.</w:t>
      </w:r>
    </w:p>
    <w:p w14:paraId="666621AD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(4) Svjetiljka iz stavka 3. ovoga članka može imati mogućnost uključivanja na senzor pokreta.</w:t>
      </w:r>
    </w:p>
    <w:p w14:paraId="7726D511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23.</w:t>
      </w:r>
    </w:p>
    <w:p w14:paraId="27C8EA9C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(1) Novi sustavi cestovne rasvjete i rasvjete drugih prometnih površina moraju imati ugrađen upravljački uređaj koji regulira razinu (smanjenje) rasvjete.</w:t>
      </w:r>
    </w:p>
    <w:p w14:paraId="61DD18D8" w14:textId="345319CC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(2) Smanjenje rasvjete počinje u sredin</w:t>
      </w:r>
      <w:r w:rsidR="00E41FFA">
        <w:rPr>
          <w:lang w:val="hr-HR"/>
        </w:rPr>
        <w:t xml:space="preserve">i noći (početak </w:t>
      </w:r>
      <w:proofErr w:type="spellStart"/>
      <w:r w:rsidR="00E41FFA">
        <w:rPr>
          <w:lang w:val="hr-HR"/>
        </w:rPr>
        <w:t>svjetlostaja</w:t>
      </w:r>
      <w:proofErr w:type="spellEnd"/>
      <w:r w:rsidR="00E41FFA">
        <w:rPr>
          <w:lang w:val="hr-HR"/>
        </w:rPr>
        <w:t>).</w:t>
      </w:r>
    </w:p>
    <w:p w14:paraId="7A0EFCD1" w14:textId="05C3ABEC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(3) Za vrijeme </w:t>
      </w:r>
      <w:proofErr w:type="spellStart"/>
      <w:r w:rsidRPr="00350AFA">
        <w:rPr>
          <w:lang w:val="hr-HR"/>
        </w:rPr>
        <w:t>svjetlostaja</w:t>
      </w:r>
      <w:proofErr w:type="spellEnd"/>
      <w:r w:rsidRPr="00350AFA">
        <w:rPr>
          <w:lang w:val="hr-HR"/>
        </w:rPr>
        <w:t xml:space="preserve"> intenzitet cestovne rasvjete i rasvjete dru</w:t>
      </w:r>
      <w:r w:rsidR="006E5647" w:rsidRPr="00350AFA">
        <w:rPr>
          <w:lang w:val="hr-HR"/>
        </w:rPr>
        <w:t xml:space="preserve">gih prometnih površina mora se </w:t>
      </w:r>
      <w:r w:rsidRPr="00350AFA">
        <w:rPr>
          <w:lang w:val="hr-HR"/>
        </w:rPr>
        <w:t xml:space="preserve">smanjiti na vrijednosti maksimalne horizontalne rasvijetljenosti definirane u </w:t>
      </w:r>
      <w:r w:rsidRPr="00350AFA">
        <w:rPr>
          <w:b/>
          <w:lang w:val="hr-HR"/>
        </w:rPr>
        <w:t>Prilogu III.</w:t>
      </w:r>
      <w:r w:rsidRPr="00350AFA">
        <w:rPr>
          <w:lang w:val="hr-HR"/>
        </w:rPr>
        <w:t xml:space="preserve"> ovoga </w:t>
      </w:r>
      <w:r w:rsidR="00572902">
        <w:rPr>
          <w:lang w:val="hr-HR"/>
        </w:rPr>
        <w:t>P</w:t>
      </w:r>
      <w:r w:rsidRPr="00350AFA">
        <w:rPr>
          <w:lang w:val="hr-HR"/>
        </w:rPr>
        <w:t>ravilnika.</w:t>
      </w:r>
    </w:p>
    <w:p w14:paraId="2C05E2C6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24.</w:t>
      </w:r>
    </w:p>
    <w:p w14:paraId="78D9A1B7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(1) Prometne površine koje se nalaze van prostora zračne luke, u njenom neposrednom kontaktu, trebaju biti rasvijetljene zavisno od namjene uz primjenu maksimalnih vrijednosti </w:t>
      </w:r>
      <w:r w:rsidRPr="00350AFA">
        <w:rPr>
          <w:lang w:val="hr-HR"/>
        </w:rPr>
        <w:lastRenderedPageBreak/>
        <w:t>rasvijetljenosti propisanih za pojedinu vrstu namjene u skladu s važećom normom za cestovnu rasvjetu.</w:t>
      </w:r>
    </w:p>
    <w:p w14:paraId="501DD6E0" w14:textId="67B32149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(2) Prometne površine koje se koriste uz pomorske luke trebaju biti rasvijetljene zavisno od namjene, u skladu s važećom normom za rasvjetu vanjskih radn</w:t>
      </w:r>
      <w:r w:rsidR="00E41FFA">
        <w:rPr>
          <w:lang w:val="hr-HR"/>
        </w:rPr>
        <w:t>ih prostora.</w:t>
      </w:r>
    </w:p>
    <w:p w14:paraId="23C930B5" w14:textId="1F06BF79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(3) Za prometne površine unutar luka posebnih namjena (sportske luke, marine) maksimalna vrijednosti horizontalne rasvijetljenosti iznosi </w:t>
      </w:r>
      <w:r w:rsidR="000D4A17">
        <w:rPr>
          <w:lang w:val="hr-HR"/>
        </w:rPr>
        <w:t xml:space="preserve">osam </w:t>
      </w:r>
      <w:r w:rsidRPr="00350AFA">
        <w:rPr>
          <w:lang w:val="hr-HR"/>
        </w:rPr>
        <w:t>lx.</w:t>
      </w:r>
    </w:p>
    <w:p w14:paraId="785E67B7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(4) Iznimno od odredbe iz stavka 3. ovoga članka moguća je veća vrijednost rasvijetljenosti pod uvjetom da se rasvjeta uključuje na senzor pokreta.</w:t>
      </w:r>
    </w:p>
    <w:p w14:paraId="58BDE11F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(5) Površine unutar zračnih luka rasvjetljavaju se prema posebnim propisima koji se odnose na pojedinu kategoriju zračne luke.</w:t>
      </w:r>
    </w:p>
    <w:p w14:paraId="07725608" w14:textId="77777777" w:rsidR="00D24BA1" w:rsidRPr="00350AFA" w:rsidRDefault="00D24BA1" w:rsidP="00D24BA1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Mostovi, nadvožnjaci i vijadukti</w:t>
      </w:r>
    </w:p>
    <w:p w14:paraId="485B165F" w14:textId="77777777" w:rsidR="00D24BA1" w:rsidRPr="00350AFA" w:rsidRDefault="00D24BA1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25.</w:t>
      </w:r>
    </w:p>
    <w:p w14:paraId="69760D75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(1) Svjetiljke koje osvjetljavaju mostove, nadvožnjake i vijadukte moraju biti usmjerene prema površini koja se rasvjetljava.</w:t>
      </w:r>
    </w:p>
    <w:p w14:paraId="70EF1E43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(2) Ovisno o prometu i kategoriji prometa primjenjuju se pravila cestovne rasvjete.</w:t>
      </w:r>
    </w:p>
    <w:p w14:paraId="2068EB99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(3) Iznimno od odredbe stavka 2. ovoga članka dozvoljava se da dio svjetlosnog toka pada izvan konstrukcije ili cestovne plohe ukoliko </w:t>
      </w:r>
      <w:r w:rsidR="006E5647" w:rsidRPr="00350AFA">
        <w:rPr>
          <w:lang w:val="hr-HR"/>
        </w:rPr>
        <w:t xml:space="preserve">zbog specifičnosti konstrukcije </w:t>
      </w:r>
      <w:r w:rsidRPr="00350AFA">
        <w:rPr>
          <w:lang w:val="hr-HR"/>
        </w:rPr>
        <w:t>objekta nije moguće drukčije rješenje.</w:t>
      </w:r>
    </w:p>
    <w:p w14:paraId="74231EC7" w14:textId="188393A5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(4) Maksimalna vrijednost rasvijetljenosti površine iznosi 30 l</w:t>
      </w:r>
      <w:r w:rsidR="000B694F">
        <w:rPr>
          <w:lang w:val="hr-HR"/>
        </w:rPr>
        <w:t>x</w:t>
      </w:r>
      <w:r w:rsidRPr="00350AFA">
        <w:rPr>
          <w:lang w:val="hr-HR"/>
        </w:rPr>
        <w:t xml:space="preserve"> u naseljenim područjima i 20 l</w:t>
      </w:r>
      <w:r w:rsidR="000B694F">
        <w:rPr>
          <w:lang w:val="hr-HR"/>
        </w:rPr>
        <w:t>x</w:t>
      </w:r>
      <w:r w:rsidRPr="00350AFA">
        <w:rPr>
          <w:lang w:val="hr-HR"/>
        </w:rPr>
        <w:t xml:space="preserve"> u nenaseljenim područjima</w:t>
      </w:r>
      <w:r w:rsidR="006E5647" w:rsidRPr="00350AFA">
        <w:rPr>
          <w:lang w:val="hr-HR"/>
        </w:rPr>
        <w:t>.</w:t>
      </w:r>
    </w:p>
    <w:p w14:paraId="02609C1A" w14:textId="77777777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(5) Ovisno o tipu građevine, vrsti i boji podloge za dekorativnu rasvjetu moguće je koristiti i sustav s promjenjivom temperaturom boje ili </w:t>
      </w:r>
      <w:r w:rsidRPr="006127D9">
        <w:rPr>
          <w:lang w:val="hr-HR"/>
        </w:rPr>
        <w:t>RGB, RGBW ili RGBA.</w:t>
      </w:r>
    </w:p>
    <w:p w14:paraId="4F5142D3" w14:textId="49B9DFDF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>(6) Prijelazi za divlje životinje, kao i prilazi prijelazima za divlje životinje trebaju biti neosvi</w:t>
      </w:r>
      <w:r w:rsidR="00E41FFA">
        <w:rPr>
          <w:lang w:val="hr-HR"/>
        </w:rPr>
        <w:t>jetljeni.</w:t>
      </w:r>
    </w:p>
    <w:p w14:paraId="7B7D6707" w14:textId="60EC4458" w:rsidR="00D24BA1" w:rsidRPr="00350AFA" w:rsidRDefault="00D24BA1" w:rsidP="00D24BA1">
      <w:pPr>
        <w:rPr>
          <w:lang w:val="hr-HR"/>
        </w:rPr>
      </w:pPr>
      <w:r w:rsidRPr="00350AFA">
        <w:rPr>
          <w:lang w:val="hr-HR"/>
        </w:rPr>
        <w:t xml:space="preserve">(7) Gornji dio zelenih mostova i perimetar od </w:t>
      </w:r>
      <w:r w:rsidR="000D4A17">
        <w:rPr>
          <w:lang w:val="hr-HR"/>
        </w:rPr>
        <w:t xml:space="preserve">jedan kilometar </w:t>
      </w:r>
      <w:r w:rsidRPr="00350AFA">
        <w:rPr>
          <w:lang w:val="hr-HR"/>
        </w:rPr>
        <w:t>sa svake strane ulaza na zeleni most treba ostati neosvijetljen (zone E0 i E1).</w:t>
      </w:r>
    </w:p>
    <w:p w14:paraId="14E6683D" w14:textId="77777777" w:rsidR="002E5FA5" w:rsidRPr="00350AFA" w:rsidRDefault="002E5FA5" w:rsidP="002E5FA5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Oglasne ploče</w:t>
      </w:r>
    </w:p>
    <w:p w14:paraId="6639A6D4" w14:textId="77777777" w:rsidR="002E5FA5" w:rsidRPr="00350AFA" w:rsidRDefault="002E5FA5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26.</w:t>
      </w:r>
    </w:p>
    <w:p w14:paraId="4CC1F579" w14:textId="77777777" w:rsidR="002E5FA5" w:rsidRPr="00350AFA" w:rsidRDefault="002E5FA5" w:rsidP="002E5FA5">
      <w:pPr>
        <w:rPr>
          <w:lang w:val="hr-HR"/>
        </w:rPr>
      </w:pPr>
      <w:r w:rsidRPr="00350AFA">
        <w:rPr>
          <w:lang w:val="hr-HR"/>
        </w:rPr>
        <w:t>(1) Oglasne ploče ili mediji za oglašavanje s obzirom na način rasvjetljavanja dijele se na oglasne ploče:</w:t>
      </w:r>
    </w:p>
    <w:p w14:paraId="47F2F05C" w14:textId="0AC3DE03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>s vanjskim svjetiljkama, obvezno postavljenim s gornje strane oglasnog panoa čiji svjetlosni tok mora završiti na površini koja se rasvjetljava</w:t>
      </w:r>
    </w:p>
    <w:p w14:paraId="4DFBC540" w14:textId="1728CDFE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>s unutarnjim svjetiljkama i statičkom rasvjetom i</w:t>
      </w:r>
    </w:p>
    <w:p w14:paraId="4ECAFB32" w14:textId="1EC9C594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 xml:space="preserve">s unutarnjim svjetiljkama i/ili dinamičkim prijenosom informacija, rasvjetom i promjenom rasvjete – </w:t>
      </w:r>
      <w:r w:rsidR="007272A0">
        <w:rPr>
          <w:lang w:val="hr-HR"/>
        </w:rPr>
        <w:t>(</w:t>
      </w:r>
      <w:r w:rsidR="002E5FA5" w:rsidRPr="00350AFA">
        <w:rPr>
          <w:lang w:val="hr-HR"/>
        </w:rPr>
        <w:t>mega display</w:t>
      </w:r>
      <w:r w:rsidR="007272A0">
        <w:rPr>
          <w:lang w:val="hr-HR"/>
        </w:rPr>
        <w:t>)</w:t>
      </w:r>
      <w:r w:rsidR="002E5FA5" w:rsidRPr="00350AFA">
        <w:rPr>
          <w:lang w:val="hr-HR"/>
        </w:rPr>
        <w:t xml:space="preserve"> uz uvjet da je ULOR &lt; 0.</w:t>
      </w:r>
    </w:p>
    <w:p w14:paraId="5C1389ED" w14:textId="77777777" w:rsidR="002E5FA5" w:rsidRPr="00350AFA" w:rsidRDefault="002E5FA5" w:rsidP="002E5FA5">
      <w:pPr>
        <w:spacing w:before="120"/>
        <w:rPr>
          <w:lang w:val="hr-HR"/>
        </w:rPr>
      </w:pPr>
      <w:r w:rsidRPr="00350AFA">
        <w:rPr>
          <w:lang w:val="hr-HR"/>
        </w:rPr>
        <w:t>(2) Najviše dopuštene vrijednosti svjetline (</w:t>
      </w:r>
      <w:proofErr w:type="spellStart"/>
      <w:r w:rsidRPr="00350AFA">
        <w:rPr>
          <w:lang w:val="hr-HR"/>
        </w:rPr>
        <w:t>luminancije</w:t>
      </w:r>
      <w:proofErr w:type="spellEnd"/>
      <w:r w:rsidRPr="00350AFA">
        <w:rPr>
          <w:lang w:val="hr-HR"/>
        </w:rPr>
        <w:t xml:space="preserve">) oglasnih ploča iz stavka 1. ovoga članka s obzirom na zone rasvijetljenosti definirane </w:t>
      </w:r>
      <w:r w:rsidRPr="003D59E0">
        <w:rPr>
          <w:lang w:val="hr-HR"/>
        </w:rPr>
        <w:t>u članku 5.</w:t>
      </w:r>
      <w:r w:rsidRPr="00350AFA">
        <w:rPr>
          <w:lang w:val="hr-HR"/>
        </w:rPr>
        <w:t xml:space="preserve"> ovoga Pravilnika propisane su u </w:t>
      </w:r>
      <w:r w:rsidRPr="00350AFA">
        <w:rPr>
          <w:b/>
          <w:lang w:val="hr-HR"/>
        </w:rPr>
        <w:t>Prilogu IV</w:t>
      </w:r>
      <w:r w:rsidRPr="00350AFA">
        <w:rPr>
          <w:lang w:val="hr-HR"/>
        </w:rPr>
        <w:t>.</w:t>
      </w:r>
    </w:p>
    <w:p w14:paraId="749F1DFD" w14:textId="77777777" w:rsidR="002E5FA5" w:rsidRPr="00350AFA" w:rsidRDefault="002E5FA5" w:rsidP="002E5FA5">
      <w:pPr>
        <w:rPr>
          <w:lang w:val="hr-HR"/>
        </w:rPr>
      </w:pPr>
      <w:r w:rsidRPr="00350AFA">
        <w:rPr>
          <w:lang w:val="hr-HR"/>
        </w:rPr>
        <w:lastRenderedPageBreak/>
        <w:t xml:space="preserve">(3) Za vrijeme </w:t>
      </w:r>
      <w:proofErr w:type="spellStart"/>
      <w:r w:rsidRPr="00350AFA">
        <w:rPr>
          <w:lang w:val="hr-HR"/>
        </w:rPr>
        <w:t>svjetlostaja</w:t>
      </w:r>
      <w:proofErr w:type="spellEnd"/>
      <w:r w:rsidRPr="00350AFA">
        <w:rPr>
          <w:lang w:val="hr-HR"/>
        </w:rPr>
        <w:t xml:space="preserve"> intenzitet rasvjete oglasnih ploča se mora smanjiti na najmanje 50 % početnog intenziteta ili ugasiti.</w:t>
      </w:r>
    </w:p>
    <w:p w14:paraId="174E6B66" w14:textId="77777777" w:rsidR="002E5FA5" w:rsidRPr="00350AFA" w:rsidRDefault="002E5FA5" w:rsidP="002E5FA5">
      <w:pPr>
        <w:rPr>
          <w:lang w:val="hr-HR"/>
        </w:rPr>
      </w:pPr>
      <w:r w:rsidRPr="00350AFA">
        <w:rPr>
          <w:lang w:val="hr-HR"/>
        </w:rPr>
        <w:t>(4) Oglasne ploče površine veće od 20 m</w:t>
      </w:r>
      <w:r w:rsidRPr="00350AFA">
        <w:rPr>
          <w:vertAlign w:val="superscript"/>
          <w:lang w:val="hr-HR"/>
        </w:rPr>
        <w:t>2</w:t>
      </w:r>
      <w:r w:rsidRPr="00350AFA">
        <w:rPr>
          <w:lang w:val="hr-HR"/>
        </w:rPr>
        <w:t xml:space="preserve"> potrebno je isključiti za vrijeme </w:t>
      </w:r>
      <w:proofErr w:type="spellStart"/>
      <w:r w:rsidRPr="00350AFA">
        <w:rPr>
          <w:lang w:val="hr-HR"/>
        </w:rPr>
        <w:t>svjetlostaja</w:t>
      </w:r>
      <w:proofErr w:type="spellEnd"/>
      <w:r w:rsidRPr="00350AFA">
        <w:rPr>
          <w:lang w:val="hr-HR"/>
        </w:rPr>
        <w:t>.</w:t>
      </w:r>
    </w:p>
    <w:p w14:paraId="367ADE87" w14:textId="77777777" w:rsidR="002E5FA5" w:rsidRPr="00350AFA" w:rsidRDefault="002E5FA5" w:rsidP="002E5FA5">
      <w:pPr>
        <w:rPr>
          <w:lang w:val="hr-HR"/>
        </w:rPr>
      </w:pPr>
      <w:r w:rsidRPr="00350AFA">
        <w:rPr>
          <w:lang w:val="hr-HR"/>
        </w:rPr>
        <w:t>(5) Oglasne ploče postavljaju se tako da ne zaklanjaju ili smanjuju vidljivost postavljenih prometnih znakova ili zasljepljuju sudionike u prometu ili odvraćaju njihovu pozornost u mjeri koja može biti opasna za sigurnost prometa.</w:t>
      </w:r>
    </w:p>
    <w:p w14:paraId="22B7BCE8" w14:textId="77777777" w:rsidR="002E5FA5" w:rsidRPr="00350AFA" w:rsidRDefault="002E5FA5" w:rsidP="002E5FA5">
      <w:pPr>
        <w:rPr>
          <w:lang w:val="hr-HR"/>
        </w:rPr>
      </w:pPr>
      <w:r w:rsidRPr="00350AFA">
        <w:rPr>
          <w:lang w:val="hr-HR"/>
        </w:rPr>
        <w:t>(6) Oglasni panoi, mega displayi i svjetleće reklame ne postavljaju se:</w:t>
      </w:r>
    </w:p>
    <w:p w14:paraId="7DD6DE47" w14:textId="484D13A5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>u zoni prometnih raskrižja u naseljenim mjestima i izvan naseljenih mjesta</w:t>
      </w:r>
    </w:p>
    <w:p w14:paraId="371A4D5E" w14:textId="4FF77649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 xml:space="preserve">na svim vrstama prometnica izvan naseljenih mjesta </w:t>
      </w:r>
    </w:p>
    <w:p w14:paraId="0716E77E" w14:textId="6381A416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 xml:space="preserve">u </w:t>
      </w:r>
      <w:proofErr w:type="spellStart"/>
      <w:r w:rsidR="002E5FA5" w:rsidRPr="00350AFA">
        <w:rPr>
          <w:lang w:val="hr-HR"/>
        </w:rPr>
        <w:t>parkovnim</w:t>
      </w:r>
      <w:proofErr w:type="spellEnd"/>
      <w:r w:rsidR="002E5FA5" w:rsidRPr="00350AFA">
        <w:rPr>
          <w:lang w:val="hr-HR"/>
        </w:rPr>
        <w:t xml:space="preserve"> dispozicijama ili općenito u šumskim područjima</w:t>
      </w:r>
    </w:p>
    <w:p w14:paraId="14BB862C" w14:textId="7F80CA76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>u blizini vodenih tijela</w:t>
      </w:r>
    </w:p>
    <w:p w14:paraId="7916FEB4" w14:textId="0AE41558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>u blizini važnih skloništa i staništa strogo zaštićenih vrsta osjetljivih na svjetlosno onečišćenje</w:t>
      </w:r>
    </w:p>
    <w:p w14:paraId="02362C7E" w14:textId="6B1389D6" w:rsidR="002E5FA5" w:rsidRPr="00350AFA" w:rsidRDefault="00F752AB" w:rsidP="002E5FA5">
      <w:pPr>
        <w:spacing w:after="0" w:line="240" w:lineRule="auto"/>
        <w:ind w:left="851" w:hanging="284"/>
        <w:rPr>
          <w:lang w:val="hr-HR"/>
        </w:rPr>
      </w:pPr>
      <w:r>
        <w:rPr>
          <w:lang w:val="hr-HR"/>
        </w:rPr>
        <w:t>-</w:t>
      </w:r>
      <w:r w:rsidR="002E5FA5" w:rsidRPr="00350AFA">
        <w:rPr>
          <w:lang w:val="hr-HR"/>
        </w:rPr>
        <w:tab/>
        <w:t>u zonama E0 i E1.</w:t>
      </w:r>
    </w:p>
    <w:p w14:paraId="73557CDE" w14:textId="77777777" w:rsidR="008928BE" w:rsidRPr="00350AFA" w:rsidRDefault="008928BE" w:rsidP="008928BE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Gradilišta, industrijska postrojenja i skladišta</w:t>
      </w:r>
    </w:p>
    <w:p w14:paraId="31A4391A" w14:textId="77777777" w:rsidR="008928BE" w:rsidRPr="00350AFA" w:rsidRDefault="008928BE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27.</w:t>
      </w:r>
    </w:p>
    <w:p w14:paraId="042F6CF2" w14:textId="77777777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 xml:space="preserve">(1) S obzirom na zonu rasvijetljenosti u kojoj se nalaze manipulativne i radne površine koje su dio gradilišta, industrijskog postrojenja na otvorenom, skladišta na otvorenom u </w:t>
      </w:r>
      <w:r w:rsidRPr="00350AFA">
        <w:rPr>
          <w:b/>
          <w:lang w:val="hr-HR"/>
        </w:rPr>
        <w:t>Prilogu V.</w:t>
      </w:r>
      <w:r w:rsidRPr="00350AFA">
        <w:rPr>
          <w:lang w:val="hr-HR"/>
        </w:rPr>
        <w:t xml:space="preserve"> ovoga Pravilnika propisane su maksimalne vrijednosti horizontalne rasvijetljenosti. </w:t>
      </w:r>
    </w:p>
    <w:p w14:paraId="2A7332DE" w14:textId="77777777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>(2) Iznimno od stavka 1. ovoga članka, ako tehnološki proces na nekoj mikro lokaciji unutar površina iz toga stavka, s obzirom na propis iz područja zaštite na radu, zahtijeva veću rasvijetljenost, dopuštene su više maksimalne vrijednosti rasvijetljenosti uz naznaku propisa radi kojega je nužna.</w:t>
      </w:r>
    </w:p>
    <w:p w14:paraId="207335E8" w14:textId="6401FE06" w:rsidR="008928BE" w:rsidRPr="00350AFA" w:rsidRDefault="008928BE" w:rsidP="008928BE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Sportsk</w:t>
      </w:r>
      <w:r w:rsidR="006124C1">
        <w:rPr>
          <w:b/>
          <w:lang w:val="hr-HR"/>
        </w:rPr>
        <w:t>e</w:t>
      </w:r>
      <w:r w:rsidRPr="00350AFA">
        <w:rPr>
          <w:b/>
          <w:lang w:val="hr-HR"/>
        </w:rPr>
        <w:t xml:space="preserve"> </w:t>
      </w:r>
      <w:r w:rsidR="006124C1">
        <w:rPr>
          <w:b/>
          <w:lang w:val="hr-HR"/>
        </w:rPr>
        <w:t>građevine</w:t>
      </w:r>
      <w:r w:rsidRPr="00350AFA">
        <w:rPr>
          <w:b/>
          <w:lang w:val="hr-HR"/>
        </w:rPr>
        <w:t xml:space="preserve"> i igrališta</w:t>
      </w:r>
    </w:p>
    <w:p w14:paraId="7EE7D527" w14:textId="77777777" w:rsidR="008928BE" w:rsidRPr="00350AFA" w:rsidRDefault="008928BE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28.</w:t>
      </w:r>
    </w:p>
    <w:p w14:paraId="1EE92B23" w14:textId="77777777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>(1) Površine namijenjene za sportske aktivnosti, ovisno o namjeni dijele se na rekreacijske sportske površine i površine za profesionalna sportska događanja.</w:t>
      </w:r>
    </w:p>
    <w:p w14:paraId="72289BD4" w14:textId="679BD1C6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>(2) Za rekreacijske sportske površine iz stavka 1. ovoga članka i igrališta za rekreaciju maksimalne vrijednosti rasvijetljenosti iznosi 100 l</w:t>
      </w:r>
      <w:r w:rsidR="000B694F">
        <w:rPr>
          <w:lang w:val="hr-HR"/>
        </w:rPr>
        <w:t>x</w:t>
      </w:r>
      <w:r w:rsidRPr="00350AFA">
        <w:rPr>
          <w:lang w:val="hr-HR"/>
        </w:rPr>
        <w:t>.</w:t>
      </w:r>
    </w:p>
    <w:p w14:paraId="1AEF041C" w14:textId="5FCB7CA8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 xml:space="preserve"> (3) Maksimalna vrijednost rasvijetljenosti površine za profesionalna sportska događanja iznosi 2500 l</w:t>
      </w:r>
      <w:r w:rsidR="000B694F">
        <w:rPr>
          <w:lang w:val="hr-HR"/>
        </w:rPr>
        <w:t>x</w:t>
      </w:r>
      <w:r w:rsidRPr="00350AFA">
        <w:rPr>
          <w:lang w:val="hr-HR"/>
        </w:rPr>
        <w:t xml:space="preserve"> i primjenjuje se samo u vremenu 60 minuta prije, za vrijeme i 45 minuta nakon događanja, osim u zoni gdje se nakon događanja nastavlja televizijski prijenos.</w:t>
      </w:r>
    </w:p>
    <w:p w14:paraId="5E7D75D2" w14:textId="77777777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>(4) Svjetiljke za rekreacijske sportske površine i igrališta, moraju biti opremljene uređajem za automatsko isključivanje rasvjete u vrijeme kako je to Planom rasvjete predviđeno.</w:t>
      </w:r>
    </w:p>
    <w:p w14:paraId="0E1DD65A" w14:textId="77777777" w:rsidR="008928BE" w:rsidRPr="00350AFA" w:rsidRDefault="008928BE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29.</w:t>
      </w:r>
    </w:p>
    <w:p w14:paraId="29B5051A" w14:textId="77777777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 xml:space="preserve">(1) Površine oko poslovnih, turističkih i ugostiteljskih objekata mogu se rasvjetljavati u skladu s važećom normom za rasvjetu vanjskih radnih prostora. </w:t>
      </w:r>
    </w:p>
    <w:p w14:paraId="20917816" w14:textId="77777777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lastRenderedPageBreak/>
        <w:t xml:space="preserve">(2) Prometnice koje se nalaze unutar ili služe za pristup navedenim zonama moraju udovoljavati zahtjevima važeće norme za cestovnu rasvjetu. </w:t>
      </w:r>
    </w:p>
    <w:p w14:paraId="07B89BF8" w14:textId="21A08C6B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>(3) Maksimalna vrijednost horizontalne rasvijetljenosti površine iznosi 30 l</w:t>
      </w:r>
      <w:r w:rsidR="000B694F">
        <w:rPr>
          <w:lang w:val="hr-HR"/>
        </w:rPr>
        <w:t>x</w:t>
      </w:r>
      <w:r w:rsidRPr="00350AFA">
        <w:rPr>
          <w:lang w:val="hr-HR"/>
        </w:rPr>
        <w:t xml:space="preserve"> u naseljenim područjima i 20 l</w:t>
      </w:r>
      <w:r w:rsidR="000B694F">
        <w:rPr>
          <w:lang w:val="hr-HR"/>
        </w:rPr>
        <w:t>x</w:t>
      </w:r>
      <w:r w:rsidRPr="00350AFA">
        <w:rPr>
          <w:lang w:val="hr-HR"/>
        </w:rPr>
        <w:t xml:space="preserve"> u nenaseljenim područjima.</w:t>
      </w:r>
    </w:p>
    <w:p w14:paraId="50442081" w14:textId="77777777" w:rsidR="008928BE" w:rsidRPr="00350AFA" w:rsidRDefault="008928BE" w:rsidP="008928BE">
      <w:pPr>
        <w:rPr>
          <w:lang w:val="hr-HR"/>
        </w:rPr>
      </w:pPr>
      <w:r w:rsidRPr="00350AFA">
        <w:rPr>
          <w:lang w:val="hr-HR"/>
        </w:rPr>
        <w:t xml:space="preserve">(4) Maksimalne vrijednosti vertikalne rasvijetljenosti na otvorima (vrata, prozori) susjednih građevina uzrokovanom rasvjetom objekata iz stavka 1. ovoga članka propisane su u </w:t>
      </w:r>
      <w:r w:rsidRPr="00350AFA">
        <w:rPr>
          <w:b/>
          <w:lang w:val="hr-HR"/>
        </w:rPr>
        <w:t>Prilogu II.</w:t>
      </w:r>
      <w:r w:rsidRPr="00350AFA">
        <w:rPr>
          <w:lang w:val="hr-HR"/>
        </w:rPr>
        <w:t xml:space="preserve"> ovoga Pravilnika. </w:t>
      </w:r>
    </w:p>
    <w:p w14:paraId="609FE388" w14:textId="1ECD2426" w:rsidR="008928BE" w:rsidRDefault="008928BE" w:rsidP="008928BE">
      <w:pPr>
        <w:rPr>
          <w:lang w:val="hr-HR"/>
        </w:rPr>
      </w:pPr>
      <w:r w:rsidRPr="00350AFA">
        <w:rPr>
          <w:lang w:val="hr-HR"/>
        </w:rPr>
        <w:t xml:space="preserve">(5) Vremensko ograničenje rasvjetljavanja objekata iz stavka 1. ovoga članka odnosno trajanje rasvjetljavanja </w:t>
      </w:r>
      <w:r w:rsidR="00A316CE" w:rsidRPr="00350AFA">
        <w:rPr>
          <w:lang w:val="hr-HR"/>
        </w:rPr>
        <w:t>JLS</w:t>
      </w:r>
      <w:r w:rsidRPr="00350AFA">
        <w:rPr>
          <w:lang w:val="hr-HR"/>
        </w:rPr>
        <w:t xml:space="preserve"> i Grad Zagreb utvrđuju </w:t>
      </w:r>
      <w:r w:rsidR="00947200">
        <w:rPr>
          <w:lang w:val="hr-HR"/>
        </w:rPr>
        <w:t>P</w:t>
      </w:r>
      <w:r w:rsidRPr="00350AFA">
        <w:rPr>
          <w:lang w:val="hr-HR"/>
        </w:rPr>
        <w:t>lanom rasvjete za svoje područje.</w:t>
      </w:r>
    </w:p>
    <w:p w14:paraId="3EF07695" w14:textId="77777777" w:rsidR="00E41FFA" w:rsidRDefault="00E41FFA" w:rsidP="008928BE">
      <w:pPr>
        <w:rPr>
          <w:lang w:val="hr-HR"/>
        </w:rPr>
      </w:pPr>
    </w:p>
    <w:p w14:paraId="13586A3D" w14:textId="477E5FFD" w:rsidR="00DD37F0" w:rsidRDefault="003E466E" w:rsidP="003E466E">
      <w:pPr>
        <w:pStyle w:val="Naslov2"/>
        <w:jc w:val="center"/>
        <w:rPr>
          <w:lang w:val="hr-HR"/>
        </w:rPr>
      </w:pPr>
      <w:r w:rsidRPr="00554FB1">
        <w:rPr>
          <w:b/>
          <w:lang w:val="hr-HR"/>
        </w:rPr>
        <w:t>IV. ZAVRŠNE ODREDBE</w:t>
      </w:r>
    </w:p>
    <w:p w14:paraId="70E8BD1B" w14:textId="00C1514B" w:rsidR="005A0ED4" w:rsidRPr="00350AFA" w:rsidRDefault="005A0ED4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30.</w:t>
      </w:r>
    </w:p>
    <w:p w14:paraId="3F3E515C" w14:textId="25BE747B" w:rsidR="00F11590" w:rsidRDefault="005A0ED4" w:rsidP="003D59E0">
      <w:pPr>
        <w:rPr>
          <w:lang w:val="hr-HR"/>
        </w:rPr>
      </w:pPr>
      <w:r w:rsidRPr="00350AFA">
        <w:rPr>
          <w:b/>
          <w:lang w:val="hr-HR"/>
        </w:rPr>
        <w:t>Prilozi I. do VII.</w:t>
      </w:r>
      <w:r w:rsidRPr="00350AFA">
        <w:rPr>
          <w:lang w:val="hr-HR"/>
        </w:rPr>
        <w:t xml:space="preserve"> s odgovarajućim sadržajem tiskani su uz ovaj Pravilnik i njegov su sastavni dio.</w:t>
      </w:r>
    </w:p>
    <w:p w14:paraId="7603FD8F" w14:textId="5EB54367" w:rsidR="005A0ED4" w:rsidRPr="00350AFA" w:rsidRDefault="005A0ED4" w:rsidP="00E41FFA">
      <w:pPr>
        <w:pStyle w:val="Naslov2"/>
        <w:spacing w:after="120" w:line="240" w:lineRule="auto"/>
        <w:jc w:val="center"/>
        <w:rPr>
          <w:lang w:val="hr-HR"/>
        </w:rPr>
      </w:pPr>
      <w:r w:rsidRPr="00350AFA">
        <w:rPr>
          <w:lang w:val="hr-HR"/>
        </w:rPr>
        <w:t>Članak 3</w:t>
      </w:r>
      <w:r w:rsidR="003D59E0">
        <w:rPr>
          <w:lang w:val="hr-HR"/>
        </w:rPr>
        <w:t>1</w:t>
      </w:r>
      <w:r w:rsidRPr="00350AFA">
        <w:rPr>
          <w:lang w:val="hr-HR"/>
        </w:rPr>
        <w:t>.</w:t>
      </w:r>
    </w:p>
    <w:p w14:paraId="12233C1B" w14:textId="77777777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Ovaj Pravilnik stupa na snagu osmog dana od dana objave u „Narodnim novinama“.</w:t>
      </w:r>
    </w:p>
    <w:p w14:paraId="6CC593AD" w14:textId="77777777" w:rsidR="00DB3CDC" w:rsidRPr="00350AFA" w:rsidRDefault="00DB3CDC" w:rsidP="001474C4">
      <w:pPr>
        <w:spacing w:after="0" w:line="240" w:lineRule="auto"/>
        <w:rPr>
          <w:lang w:val="hr-HR"/>
        </w:rPr>
      </w:pPr>
      <w:r w:rsidRPr="00350AFA">
        <w:rPr>
          <w:lang w:val="hr-HR"/>
        </w:rPr>
        <w:t>KLASA:</w:t>
      </w:r>
    </w:p>
    <w:p w14:paraId="72BF32B4" w14:textId="77777777" w:rsidR="00DB3CDC" w:rsidRPr="00350AFA" w:rsidRDefault="00DB3CDC" w:rsidP="001474C4">
      <w:pPr>
        <w:spacing w:after="0" w:line="240" w:lineRule="auto"/>
        <w:rPr>
          <w:lang w:val="hr-HR"/>
        </w:rPr>
      </w:pPr>
      <w:r w:rsidRPr="00350AFA">
        <w:rPr>
          <w:lang w:val="hr-HR"/>
        </w:rPr>
        <w:t>URBROJ:</w:t>
      </w:r>
    </w:p>
    <w:p w14:paraId="2C092219" w14:textId="77777777" w:rsidR="00DB3CDC" w:rsidRPr="00350AFA" w:rsidRDefault="00DB3CDC" w:rsidP="001474C4">
      <w:pPr>
        <w:spacing w:before="120" w:line="240" w:lineRule="auto"/>
        <w:rPr>
          <w:lang w:val="hr-HR"/>
        </w:rPr>
      </w:pPr>
      <w:r w:rsidRPr="00350AFA">
        <w:rPr>
          <w:lang w:val="hr-HR"/>
        </w:rPr>
        <w:t>Zagreb,</w:t>
      </w:r>
    </w:p>
    <w:p w14:paraId="756DD28D" w14:textId="77777777" w:rsidR="00DB3CDC" w:rsidRPr="00350AFA" w:rsidRDefault="00DB3CDC" w:rsidP="005A0ED4">
      <w:pPr>
        <w:rPr>
          <w:lang w:val="hr-HR"/>
        </w:rPr>
      </w:pPr>
    </w:p>
    <w:p w14:paraId="11335147" w14:textId="77777777" w:rsidR="00DB3CDC" w:rsidRPr="00422D9F" w:rsidRDefault="00DB3CDC" w:rsidP="00DB3CDC">
      <w:pPr>
        <w:spacing w:after="0" w:line="240" w:lineRule="auto"/>
        <w:ind w:left="5670"/>
        <w:jc w:val="center"/>
        <w:rPr>
          <w:szCs w:val="24"/>
          <w:lang w:val="hr-HR"/>
        </w:rPr>
      </w:pPr>
      <w:r w:rsidRPr="00422D9F">
        <w:rPr>
          <w:szCs w:val="24"/>
          <w:lang w:val="hr-HR"/>
        </w:rPr>
        <w:t>MINISTAR</w:t>
      </w:r>
    </w:p>
    <w:p w14:paraId="78C1D38D" w14:textId="77777777" w:rsidR="00DB3CDC" w:rsidRPr="00422D9F" w:rsidRDefault="00DB3CDC" w:rsidP="00DB3CDC">
      <w:pPr>
        <w:spacing w:after="0" w:line="240" w:lineRule="auto"/>
        <w:ind w:left="5670"/>
        <w:jc w:val="center"/>
        <w:rPr>
          <w:szCs w:val="24"/>
          <w:lang w:val="hr-HR"/>
        </w:rPr>
      </w:pPr>
    </w:p>
    <w:p w14:paraId="3EDDC25B" w14:textId="77777777" w:rsidR="00DB3CDC" w:rsidRPr="00422D9F" w:rsidRDefault="00DB3CDC" w:rsidP="00DB3CDC">
      <w:pPr>
        <w:ind w:left="5670"/>
        <w:jc w:val="center"/>
        <w:rPr>
          <w:szCs w:val="24"/>
          <w:lang w:val="hr-HR"/>
        </w:rPr>
      </w:pPr>
      <w:r w:rsidRPr="00422D9F">
        <w:rPr>
          <w:szCs w:val="24"/>
          <w:lang w:val="hr-HR"/>
        </w:rPr>
        <w:t xml:space="preserve">dr. </w:t>
      </w:r>
      <w:proofErr w:type="spellStart"/>
      <w:r w:rsidRPr="00422D9F">
        <w:rPr>
          <w:szCs w:val="24"/>
          <w:lang w:val="hr-HR"/>
        </w:rPr>
        <w:t>sc</w:t>
      </w:r>
      <w:proofErr w:type="spellEnd"/>
      <w:r w:rsidRPr="00422D9F">
        <w:rPr>
          <w:szCs w:val="24"/>
          <w:lang w:val="hr-HR"/>
        </w:rPr>
        <w:t>. Tomislav Ćorić</w:t>
      </w:r>
    </w:p>
    <w:p w14:paraId="54AF0B09" w14:textId="77777777" w:rsidR="00DB3CDC" w:rsidRPr="00350AFA" w:rsidRDefault="00DB3CDC" w:rsidP="00DB3CDC">
      <w:pPr>
        <w:ind w:left="5670"/>
        <w:jc w:val="center"/>
        <w:rPr>
          <w:lang w:val="hr-HR"/>
        </w:rPr>
      </w:pPr>
    </w:p>
    <w:p w14:paraId="5A472CF0" w14:textId="77777777" w:rsidR="005A0ED4" w:rsidRPr="00350AFA" w:rsidRDefault="005A0ED4" w:rsidP="005A0ED4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PRILOG I.</w:t>
      </w:r>
    </w:p>
    <w:p w14:paraId="7793D6C4" w14:textId="77777777" w:rsidR="005A0ED4" w:rsidRPr="00350AFA" w:rsidRDefault="005A0ED4" w:rsidP="005A0ED4">
      <w:pPr>
        <w:pStyle w:val="Naslov2"/>
        <w:rPr>
          <w:b/>
          <w:lang w:val="hr-HR"/>
        </w:rPr>
      </w:pPr>
      <w:r w:rsidRPr="00350AFA">
        <w:rPr>
          <w:b/>
          <w:lang w:val="hr-HR"/>
        </w:rPr>
        <w:t>A. Zone rasvijetljenosti</w:t>
      </w:r>
    </w:p>
    <w:p w14:paraId="7DA30666" w14:textId="77777777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Tablica 1. Klasifikacija Zona rasvijetljenosti i kriteriji za klasifikaciju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794"/>
        <w:gridCol w:w="1406"/>
        <w:gridCol w:w="3177"/>
        <w:gridCol w:w="3685"/>
      </w:tblGrid>
      <w:tr w:rsidR="00350AFA" w:rsidRPr="00350AFA" w14:paraId="7A970C19" w14:textId="77777777" w:rsidTr="00B601D4">
        <w:trPr>
          <w:trHeight w:val="485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7827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ZONA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F2C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C053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PODRUČJE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BB2C15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KRITERIJI </w:t>
            </w:r>
          </w:p>
        </w:tc>
      </w:tr>
      <w:tr w:rsidR="00350AFA" w:rsidRPr="00422D9F" w14:paraId="7C404FB1" w14:textId="77777777" w:rsidTr="00B601D4">
        <w:trPr>
          <w:trHeight w:val="515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1FA2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E0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A249C4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prirodne rasvijetljenosti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F4BBB8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Blizine većih profesionalnih zvjezdarnica, Parkovi tamnog neba</w:t>
            </w:r>
          </w:p>
          <w:p w14:paraId="10D261AE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Prirodna područja otvorenog prostora</w:t>
            </w:r>
          </w:p>
          <w:p w14:paraId="71FA0FE6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prirode izvan granica naselja važna za očuvanje divljih vrsta osjetljivih na svjetlosno onečišćenje, s osobitim naglaskom na strogo zaštićene vrste</w:t>
            </w:r>
          </w:p>
          <w:p w14:paraId="2140D388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Zaštićena područja - Strogi rezervati</w:t>
            </w:r>
          </w:p>
          <w:p w14:paraId="4EFFCE50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Dijelovi krajobraza i krajobrazne infrastrukture</w:t>
            </w:r>
          </w:p>
          <w:p w14:paraId="469ABEF6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  <w:p w14:paraId="399CAC6C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1C9BFA" w14:textId="77777777" w:rsidR="00716759" w:rsidRPr="00716759" w:rsidRDefault="00716759" w:rsidP="0071675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716759">
              <w:rPr>
                <w:rFonts w:eastAsia="Times New Roman" w:cs="Times New Roman"/>
                <w:sz w:val="20"/>
                <w:szCs w:val="20"/>
                <w:lang w:val="hr-HR" w:eastAsia="hr-HR"/>
              </w:rPr>
              <w:lastRenderedPageBreak/>
              <w:t xml:space="preserve">Područja gdje vanjska rasvjeta ozbiljno i negativno utječe na prirodno okruženje. Utjecaji uključuju ometanje bioloških ciklusa flore i faune i/ili onemogućavanje ljudima u uživanju i uvažavanju prirodnog okoliša. Ljudska aktivnost je podređena prirodi. Vizura ljudi i korisnika prilagođena je mraku i očekuju da će vidjeti malo ili nimalo svjetla. </w:t>
            </w:r>
          </w:p>
          <w:p w14:paraId="7F8394FA" w14:textId="5A5BCDEA" w:rsidR="005A0ED4" w:rsidRPr="00716759" w:rsidRDefault="00716759" w:rsidP="0071675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716759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Šumska </w:t>
            </w:r>
            <w:r w:rsidR="00011290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 </w:t>
            </w:r>
            <w:r w:rsidR="005A0ED4" w:rsidRPr="00716759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područja; livade i pašnjaci; prirodna i umjetna vodena tijela - npr. rijeke, jezera, bare, mediteranske lokve, bazeni za navodnjavanje, ribnjaci važni za </w:t>
            </w:r>
            <w:r w:rsidR="005A0ED4" w:rsidRPr="00716759">
              <w:rPr>
                <w:rFonts w:eastAsia="Times New Roman" w:cs="Times New Roman"/>
                <w:sz w:val="20"/>
                <w:szCs w:val="20"/>
                <w:lang w:val="hr-HR" w:eastAsia="hr-HR"/>
              </w:rPr>
              <w:lastRenderedPageBreak/>
              <w:t>očuvanje ptica; područja oko važnih podzemnih skloništa za šišmiše (najmanje 100m) - koridori kretanja od skloništa prema lovnim staništima nisu osvijetljeni; zeleni mostovi s gornje strane i najmanje 300m sa svake strane ulaza zelenog mosta važni za migraciju strogo zaštićenih vrsta i njihovog plijena; prijelazi za divlje životinje.</w:t>
            </w:r>
          </w:p>
          <w:p w14:paraId="75F72836" w14:textId="77777777" w:rsidR="005A0ED4" w:rsidRPr="00716759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716759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stroge i usmjerene zaštite unutar parkova prirode i nacionalnih parkova</w:t>
            </w:r>
          </w:p>
          <w:p w14:paraId="25CEA750" w14:textId="77777777" w:rsidR="005A0ED4" w:rsidRPr="00716759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716759">
              <w:rPr>
                <w:rFonts w:eastAsia="Times New Roman" w:cs="Times New Roman"/>
                <w:sz w:val="20"/>
                <w:szCs w:val="20"/>
                <w:lang w:val="hr-HR" w:eastAsia="hr-HR"/>
              </w:rPr>
              <w:t>Dijelovi krajobraza u naseljima važni za očuvanje divljih vrsta osjetljivih na svjetlosno onečišćenje s osobitim naglaskom na strogo zaštićene vrste (neosvijetljeni dijelovi velikih parkova i perivoja koji se nastavljaju na rijeke, jezera, potoke itd.). Dijelovi krajobrazne infrastrukture koji omogućuju očuvanje značajnih i karakterističnih obilježja krajobraza, koja su temeljem svoje linearne ili kontinuirane strukture ili funkcije bitna za migraciju, širenje i genetsku razmjenu divljih vrsta osjetljivih na svjetlosno onečišćenje (ptice, šišmiši, oprašivači itd.).</w:t>
            </w:r>
          </w:p>
          <w:p w14:paraId="03F5801B" w14:textId="77777777" w:rsidR="005A0ED4" w:rsidRPr="00716759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716759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Kada nije potrebna, rasvjetu treba ugasiti. </w:t>
            </w:r>
          </w:p>
        </w:tc>
      </w:tr>
      <w:tr w:rsidR="00350AFA" w:rsidRPr="00422D9F" w14:paraId="3811610F" w14:textId="77777777" w:rsidTr="00B601D4">
        <w:trPr>
          <w:trHeight w:val="518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28DE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E1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B852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tamnog krajolika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FC4D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Ruralna područja i područja s ograničenom noćnom aktivnosti.</w:t>
            </w:r>
          </w:p>
          <w:p w14:paraId="69BCFFFE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Međumjesne lokalne prometnice uglavnom nerasvijetljene.</w:t>
            </w:r>
          </w:p>
          <w:p w14:paraId="12B5B44E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Zaštićena područja</w:t>
            </w:r>
            <w:r w:rsidRPr="00B601D4">
              <w:rPr>
                <w:lang w:val="hr-HR"/>
              </w:rPr>
              <w:t xml:space="preserve"> </w:t>
            </w: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unutar parkova prirode i nacionalnih parkova</w:t>
            </w:r>
          </w:p>
          <w:p w14:paraId="5FD2BF91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Zaštićena područja izvan granica naselja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C1676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Područja gdje vanjska rasvjeta negativno utječe na floru i faunu ili bitno remeti karakter područja. </w:t>
            </w:r>
          </w:p>
          <w:p w14:paraId="71C67F36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Ruralna područja s ograničenom noćnom aktivnosti izvan granica naselja važna za divlje vrste osjetljive na svjetlosno onečišćenje s osobitim naglaskom na strogo zaštićene vrste ukoliko su u području ključna staništa i skloništa izvan naselja vezano uz aktivnost ljudi.</w:t>
            </w:r>
          </w:p>
          <w:p w14:paraId="670B2C5B" w14:textId="266210AF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izvan naselja s ograničenom ljudskom aktivnosti: šumska područja; livade i pašnjaci; prirodna i umjetna vodena tijela - npr. rijeke, jezera, bare, mediteranske lokve, bazeni za navodnjavanje, ribnjaci važni za očuvanje ptica; područja oko važnih podzemnih skloništa za šišmiše (najmanje 100</w:t>
            </w:r>
            <w:r w:rsid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 </w:t>
            </w: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m) - koridori kretanja od skloništa prema lovnim staništima nisu osvijetljeni; zeleni mostovi važni za migraciju strogo zaštićenih vrsta i njihovog plijena; prijelazi za divlje životinje.</w:t>
            </w:r>
          </w:p>
          <w:p w14:paraId="32B19512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Dijelovi ruralne zelene infrastrukture koji omogućuju očuvanje značajnih i karakterističnih obilježja krajobraza, koja su temeljem svoje linearne ili kontinuirane strukture ili funkcije bitna za migraciju, širenje i genetsku razmjenu divljih vrsta osjetljivih na svjetlosno onečišćenje (ptice, šišmiši, oprašivači itd.)  </w:t>
            </w:r>
          </w:p>
          <w:p w14:paraId="61B0B099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  <w:p w14:paraId="5273CE59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Vizura stanovnika i korisnika je prilagođena razinama slabe rasvijetljenosti. </w:t>
            </w: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lastRenderedPageBreak/>
              <w:t xml:space="preserve">Vanjska rasvjeta se može koristiti za sigurnost i ugođaj, ali nije nužno jednolično ili kontinuirano. </w:t>
            </w:r>
          </w:p>
          <w:p w14:paraId="3FC01455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  <w:p w14:paraId="46D8DF37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  <w:p w14:paraId="08F80EC2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Nakon </w:t>
            </w:r>
            <w:proofErr w:type="spellStart"/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svjetlostaja</w:t>
            </w:r>
            <w:proofErr w:type="spellEnd"/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, većinu rasvjete treba ugasiti ili smanjiti sukladno opadanju razine aktivnosti. </w:t>
            </w:r>
          </w:p>
          <w:p w14:paraId="2F5AF0C9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  <w:p w14:paraId="4ED40D5C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AFA" w:rsidRPr="00350AFA" w14:paraId="55AA7E35" w14:textId="77777777" w:rsidTr="00B601D4">
        <w:trPr>
          <w:trHeight w:val="472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3FBD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E2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2AED7B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niske ambijentalne rasvijetljenosti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6DE4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Rezidencijalne zone</w:t>
            </w:r>
          </w:p>
          <w:p w14:paraId="7CB56E02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unutar granica naselja važna za strogo zaštićene vrste ukoliko su u području ključna staništa i skloništa unutar naselja</w:t>
            </w:r>
          </w:p>
          <w:p w14:paraId="574A4D0B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Zaštićena područja unutar granica naselja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9036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Područja ljudske aktivnosti u kojima je vizura  ljudi i korisnika prilagođena umjerenim rasvijetljenosti. </w:t>
            </w:r>
          </w:p>
          <w:p w14:paraId="70FB5310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  <w:p w14:paraId="74AE78C8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Skloništa divljih vrsta osjetljivih na svjetlosno onečišćenje unutar naselja nisu izravno osvijetljena i osigurani su tamni koridori kretanja prema ključnim staništima (prehrana, pijenje vode, migracije) a koja nisu u zonama E0 i E1 uz poštivanje izbjegavanja  izravnog osvjetljavanja izlaza iz skloništa te ostavljanja tamnog koridora između skloništa i lovnog staništa.</w:t>
            </w:r>
          </w:p>
          <w:p w14:paraId="645C871E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Određeni dijelovi krajobrazne infrastrukture koji omogućuju očuvanje značajnih i karakterističnih obilježja krajobraza, koji su temeljem svoje linearne ili kontinuirane strukture ili funkcije bitne za migraciju, širenje i genetsku razmjenu divljih vrsta osjetljivih na svjetlosno onečišćenje (ptice, šišmiši, oprašivači itd.)</w:t>
            </w:r>
          </w:p>
          <w:p w14:paraId="4CB86A7B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  <w:p w14:paraId="59D9CFB1" w14:textId="5E03C6E3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Zona korištenja unutar parkova prirode i nacionalnih parkova unutar naselja vezano uz sigurnost na cestama i javnu rasvjetu.</w:t>
            </w:r>
            <w:r w:rsid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 </w:t>
            </w: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Ostala zaštićena područja unutar granica naselja vezano uz sigurnost na cestama i javnu rasvjetu.</w:t>
            </w:r>
          </w:p>
          <w:p w14:paraId="14019F6E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</w:p>
          <w:p w14:paraId="1D4E088B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Vanjska rasvjeta može biti tipski korisna za sigurnost i ugođaj, ali nije nužno ujednačeno ili kontinuirano. U   </w:t>
            </w:r>
            <w:proofErr w:type="spellStart"/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svjetlostaju</w:t>
            </w:r>
            <w:proofErr w:type="spellEnd"/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, vanjska rasvjeta se može ugasiti ili smanjiti sukladno opadanju razine aktivnosti.</w:t>
            </w:r>
          </w:p>
        </w:tc>
      </w:tr>
      <w:tr w:rsidR="00350AFA" w:rsidRPr="00350AFA" w14:paraId="668422BF" w14:textId="77777777" w:rsidTr="00B601D4">
        <w:trPr>
          <w:trHeight w:val="472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9C90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b/>
                <w:bCs/>
                <w:sz w:val="20"/>
                <w:szCs w:val="20"/>
                <w:lang w:val="hr-HR" w:eastAsia="hr-HR"/>
              </w:rPr>
              <w:t>E3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E39B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srednje ambijentalne rasvijetljenosti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79FE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Komunikacijske, industrijske i trgovačke zone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C017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Područja ljudske aktivnosti u kojima je vizura  ljudi i korisnika prilagođena umjerenim do srednje jakim razinama rasvijetljenosti. Vanjska rasvjeta je općenito potrebna za sigurnost, ugođaj, udobnost i često je jednolična i/ili kontinuirana. U  </w:t>
            </w:r>
            <w:proofErr w:type="spellStart"/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svjetlostaju</w:t>
            </w:r>
            <w:proofErr w:type="spellEnd"/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, vanjska rasvjeta se može ugasiti ili smanjiti sukladno opadanju razine aktivnosti.</w:t>
            </w:r>
          </w:p>
        </w:tc>
      </w:tr>
      <w:tr w:rsidR="005A0ED4" w:rsidRPr="00350AFA" w14:paraId="375575EA" w14:textId="77777777" w:rsidTr="00B601D4">
        <w:trPr>
          <w:trHeight w:val="485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E4E8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b/>
                <w:bCs/>
                <w:sz w:val="20"/>
                <w:szCs w:val="20"/>
                <w:lang w:val="hr-HR" w:eastAsia="hr-HR"/>
              </w:rPr>
              <w:t>E4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9B8B3A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Područja visoke ambijentalne rasvijetljenosti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38D5C2" w14:textId="77777777" w:rsidR="005A0ED4" w:rsidRPr="00B601D4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B601D4">
              <w:rPr>
                <w:rFonts w:eastAsia="Times New Roman" w:cs="Times New Roman"/>
                <w:sz w:val="20"/>
                <w:szCs w:val="20"/>
                <w:lang w:val="hr-HR" w:eastAsia="hr-HR"/>
              </w:rPr>
              <w:t>Urbana područja komercijalnog karaktera s visokim stupnjem noćne aktivnosti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6D5B55" w14:textId="77777777" w:rsidR="005A0ED4" w:rsidRPr="00572902" w:rsidRDefault="005A0ED4" w:rsidP="005976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hr-HR" w:eastAsia="hr-HR"/>
              </w:rPr>
            </w:pP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Područja ljudske aktivnosti u kojima je vizura ljudi i korisnika prilagođena umjereno visokim razinama rasvijetljenosti. Vanjska rasvjeta je općenito potrebna za sigurnost, ugođaj, udobnost i često je jednolična i / ili </w:t>
            </w:r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lastRenderedPageBreak/>
              <w:t xml:space="preserve">kontinuirana. U </w:t>
            </w:r>
            <w:proofErr w:type="spellStart"/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>svjetlostaju</w:t>
            </w:r>
            <w:proofErr w:type="spellEnd"/>
            <w:r w:rsidRPr="00572902">
              <w:rPr>
                <w:rFonts w:eastAsia="Times New Roman" w:cs="Times New Roman"/>
                <w:sz w:val="20"/>
                <w:szCs w:val="20"/>
                <w:lang w:val="hr-HR" w:eastAsia="hr-HR"/>
              </w:rPr>
              <w:t xml:space="preserve">, rasvjeta se može smanjiti  u većini područja kako se razina aktivnosti smanjuje. </w:t>
            </w:r>
          </w:p>
        </w:tc>
      </w:tr>
    </w:tbl>
    <w:p w14:paraId="64996806" w14:textId="77777777" w:rsidR="005A0ED4" w:rsidRPr="00350AFA" w:rsidRDefault="005A0ED4" w:rsidP="005A0ED4">
      <w:pPr>
        <w:rPr>
          <w:lang w:val="hr-HR"/>
        </w:rPr>
      </w:pPr>
    </w:p>
    <w:p w14:paraId="6C389C19" w14:textId="77777777" w:rsidR="005A0ED4" w:rsidRPr="00350AFA" w:rsidRDefault="005A0ED4" w:rsidP="005A0ED4">
      <w:pPr>
        <w:pStyle w:val="Naslov2"/>
        <w:rPr>
          <w:b/>
          <w:lang w:val="hr-HR"/>
        </w:rPr>
      </w:pPr>
      <w:r w:rsidRPr="00350AFA">
        <w:rPr>
          <w:b/>
          <w:lang w:val="hr-HR"/>
        </w:rPr>
        <w:t>B. Definicija za onečišćujuće (OS), rasipno (RS) i provalno svjetlo (PS)</w:t>
      </w:r>
    </w:p>
    <w:p w14:paraId="52C956D4" w14:textId="77777777" w:rsidR="00012CB5" w:rsidRPr="00350AFA" w:rsidRDefault="00012CB5" w:rsidP="00012CB5">
      <w:pPr>
        <w:jc w:val="center"/>
        <w:rPr>
          <w:lang w:val="hr-HR"/>
        </w:rPr>
      </w:pPr>
      <w:r w:rsidRPr="00350AFA">
        <w:rPr>
          <w:noProof/>
          <w:lang w:val="hr-HR" w:eastAsia="hr-HR"/>
        </w:rPr>
        <w:drawing>
          <wp:inline distT="0" distB="0" distL="0" distR="0" wp14:anchorId="210E6829" wp14:editId="40BEC383">
            <wp:extent cx="4947193" cy="2600325"/>
            <wp:effectExtent l="0" t="0" r="635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3328" cy="261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4E4A6" w14:textId="5B0A84C1" w:rsidR="005A0ED4" w:rsidRPr="00350AFA" w:rsidRDefault="005A0ED4" w:rsidP="005A0ED4">
      <w:pPr>
        <w:pStyle w:val="Naslov2"/>
        <w:rPr>
          <w:b/>
          <w:lang w:val="hr-HR"/>
        </w:rPr>
      </w:pPr>
      <w:r w:rsidRPr="00350AFA">
        <w:rPr>
          <w:b/>
          <w:lang w:val="hr-HR"/>
        </w:rPr>
        <w:t>C. Definicija za temperaturu boje svjetla CC</w:t>
      </w:r>
      <w:r w:rsidR="00B601D4">
        <w:rPr>
          <w:b/>
          <w:lang w:val="hr-HR"/>
        </w:rPr>
        <w:t>T</w:t>
      </w:r>
      <w:r w:rsidRPr="00350AFA">
        <w:rPr>
          <w:b/>
          <w:lang w:val="hr-HR"/>
        </w:rPr>
        <w:t xml:space="preserve"> 3000</w:t>
      </w:r>
      <w:r w:rsidR="00B601D4">
        <w:rPr>
          <w:b/>
          <w:lang w:val="hr-HR"/>
        </w:rPr>
        <w:t xml:space="preserve"> </w:t>
      </w:r>
      <w:r w:rsidRPr="00350AFA">
        <w:rPr>
          <w:b/>
          <w:lang w:val="hr-HR"/>
        </w:rPr>
        <w:t>K</w:t>
      </w:r>
    </w:p>
    <w:p w14:paraId="699481C7" w14:textId="6948A0AE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Temperatura boje svjetla ≤ CCT 3</w:t>
      </w:r>
      <w:r w:rsidR="00B601D4">
        <w:rPr>
          <w:lang w:val="hr-HR"/>
        </w:rPr>
        <w:t xml:space="preserve"> </w:t>
      </w:r>
      <w:r w:rsidRPr="00350AFA">
        <w:rPr>
          <w:lang w:val="hr-HR"/>
        </w:rPr>
        <w:t>000</w:t>
      </w:r>
      <w:r w:rsidR="00B601D4">
        <w:rPr>
          <w:lang w:val="hr-HR"/>
        </w:rPr>
        <w:t xml:space="preserve"> </w:t>
      </w:r>
      <w:r w:rsidRPr="00350AFA">
        <w:rPr>
          <w:lang w:val="hr-HR"/>
        </w:rPr>
        <w:t xml:space="preserve">K je ona CCT koja je određena odnosom s/p &lt; 1,28 gdje pojedine oznake znače: s“ predstavlja noćni vid (engl. </w:t>
      </w:r>
      <w:proofErr w:type="spellStart"/>
      <w:r w:rsidRPr="00350AFA">
        <w:rPr>
          <w:lang w:val="hr-HR"/>
        </w:rPr>
        <w:t>scotopic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view</w:t>
      </w:r>
      <w:proofErr w:type="spellEnd"/>
      <w:r w:rsidRPr="00350AFA">
        <w:rPr>
          <w:lang w:val="hr-HR"/>
        </w:rPr>
        <w:t xml:space="preserve">) i „p“ dnevni vid (engl. </w:t>
      </w:r>
      <w:proofErr w:type="spellStart"/>
      <w:r w:rsidRPr="00350AFA">
        <w:rPr>
          <w:lang w:val="hr-HR"/>
        </w:rPr>
        <w:t>photopic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view</w:t>
      </w:r>
      <w:proofErr w:type="spellEnd"/>
      <w:r w:rsidRPr="00350AFA">
        <w:rPr>
          <w:lang w:val="hr-HR"/>
        </w:rPr>
        <w:t xml:space="preserve">). Broj „&lt; 1,28“ pozicionira izvor svjetlosti u područje </w:t>
      </w:r>
      <w:proofErr w:type="spellStart"/>
      <w:r w:rsidRPr="00350AFA">
        <w:rPr>
          <w:lang w:val="hr-HR"/>
        </w:rPr>
        <w:t>mezopskog</w:t>
      </w:r>
      <w:proofErr w:type="spellEnd"/>
      <w:r w:rsidRPr="00350AFA">
        <w:rPr>
          <w:lang w:val="hr-HR"/>
        </w:rPr>
        <w:t xml:space="preserve"> vida (engl. </w:t>
      </w:r>
      <w:proofErr w:type="spellStart"/>
      <w:r w:rsidRPr="00350AFA">
        <w:rPr>
          <w:lang w:val="hr-HR"/>
        </w:rPr>
        <w:t>mesopic</w:t>
      </w:r>
      <w:proofErr w:type="spellEnd"/>
      <w:r w:rsidRPr="00350AFA">
        <w:rPr>
          <w:lang w:val="hr-HR"/>
        </w:rPr>
        <w:t xml:space="preserve"> </w:t>
      </w:r>
      <w:proofErr w:type="spellStart"/>
      <w:r w:rsidRPr="00350AFA">
        <w:rPr>
          <w:lang w:val="hr-HR"/>
        </w:rPr>
        <w:t>view</w:t>
      </w:r>
      <w:proofErr w:type="spellEnd"/>
      <w:r w:rsidRPr="00350AFA">
        <w:rPr>
          <w:lang w:val="hr-HR"/>
        </w:rPr>
        <w:t>) relevantnog za cestovnu rasvjetu kada se primjenjuje izvor svjetlosti čiji je CCT ≤ 3 000 K.</w:t>
      </w:r>
    </w:p>
    <w:p w14:paraId="0143A875" w14:textId="77777777" w:rsidR="00012CB5" w:rsidRPr="00350AFA" w:rsidRDefault="00012CB5" w:rsidP="00012CB5">
      <w:pPr>
        <w:jc w:val="center"/>
        <w:rPr>
          <w:lang w:val="hr-HR"/>
        </w:rPr>
      </w:pPr>
      <w:r w:rsidRPr="00350AFA">
        <w:rPr>
          <w:noProof/>
          <w:lang w:val="hr-HR" w:eastAsia="hr-HR"/>
        </w:rPr>
        <w:drawing>
          <wp:inline distT="0" distB="0" distL="0" distR="0" wp14:anchorId="715F5187" wp14:editId="70C7992F">
            <wp:extent cx="4424013" cy="37528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7785" cy="377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238F8" w14:textId="77777777" w:rsidR="00A316CE" w:rsidRPr="00350AFA" w:rsidRDefault="00A316CE" w:rsidP="00012CB5">
      <w:pPr>
        <w:jc w:val="center"/>
        <w:rPr>
          <w:lang w:val="hr-HR"/>
        </w:rPr>
      </w:pPr>
    </w:p>
    <w:p w14:paraId="397038DE" w14:textId="77777777" w:rsidR="00A316CE" w:rsidRPr="00350AFA" w:rsidRDefault="00A316CE" w:rsidP="00012CB5">
      <w:pPr>
        <w:jc w:val="center"/>
        <w:rPr>
          <w:lang w:val="hr-HR"/>
        </w:rPr>
      </w:pPr>
    </w:p>
    <w:p w14:paraId="21427986" w14:textId="041F866B" w:rsidR="005A0ED4" w:rsidRDefault="005A0ED4" w:rsidP="005A0ED4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PRILOG II.</w:t>
      </w:r>
    </w:p>
    <w:p w14:paraId="48746314" w14:textId="77777777" w:rsidR="000C2A04" w:rsidRPr="000C2A04" w:rsidRDefault="000C2A04" w:rsidP="000C2A04">
      <w:pPr>
        <w:rPr>
          <w:lang w:val="hr-HR"/>
        </w:rPr>
      </w:pPr>
    </w:p>
    <w:p w14:paraId="0E3CD5CF" w14:textId="77777777" w:rsidR="005A0ED4" w:rsidRPr="00350AFA" w:rsidRDefault="005A0ED4" w:rsidP="005A0ED4">
      <w:pPr>
        <w:rPr>
          <w:b/>
          <w:lang w:val="hr-HR"/>
        </w:rPr>
      </w:pPr>
      <w:r w:rsidRPr="00350AFA">
        <w:rPr>
          <w:b/>
          <w:lang w:val="hr-HR"/>
        </w:rPr>
        <w:t>Granične vrijednosti rasvijetljenosti i svjetline na otvorima građevina</w:t>
      </w:r>
    </w:p>
    <w:p w14:paraId="4EE32EA7" w14:textId="77777777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Tablica 2. Maksimalne razine vertikalne rasvijetljenosti (PS) na otvorima (vrata, prozori) susjednih građevina</w:t>
      </w:r>
    </w:p>
    <w:tbl>
      <w:tblPr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1944"/>
        <w:gridCol w:w="2116"/>
        <w:gridCol w:w="969"/>
        <w:gridCol w:w="903"/>
        <w:gridCol w:w="903"/>
        <w:gridCol w:w="1113"/>
        <w:gridCol w:w="1104"/>
      </w:tblGrid>
      <w:tr w:rsidR="00350AFA" w:rsidRPr="00350AFA" w14:paraId="2B2B5DDC" w14:textId="77777777" w:rsidTr="00012CB5">
        <w:trPr>
          <w:trHeight w:val="300"/>
        </w:trPr>
        <w:tc>
          <w:tcPr>
            <w:tcW w:w="10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AF4E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Opis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F401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Dio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noći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DBA9CD4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222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1F4F20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350AFA">
              <w:rPr>
                <w:rFonts w:eastAsia="Times New Roman" w:cs="Times New Roman"/>
                <w:b/>
                <w:lang w:eastAsia="hr-HR"/>
              </w:rPr>
              <w:t xml:space="preserve">Zone </w:t>
            </w:r>
            <w:proofErr w:type="spellStart"/>
            <w:r w:rsidRPr="00350AFA">
              <w:rPr>
                <w:rFonts w:eastAsia="Times New Roman" w:cs="Times New Roman"/>
                <w:b/>
                <w:lang w:eastAsia="hr-HR"/>
              </w:rPr>
              <w:t>rasvijetljenosti</w:t>
            </w:r>
            <w:proofErr w:type="spellEnd"/>
          </w:p>
        </w:tc>
      </w:tr>
      <w:tr w:rsidR="00350AFA" w:rsidRPr="00350AFA" w14:paraId="76811DA1" w14:textId="77777777" w:rsidTr="00012CB5">
        <w:trPr>
          <w:trHeight w:val="46"/>
        </w:trPr>
        <w:tc>
          <w:tcPr>
            <w:tcW w:w="10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95AB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6854F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F4E66A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E0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4B9F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E1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7CE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E2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A9E5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E3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8ACA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E4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</w:tr>
      <w:tr w:rsidR="00350AFA" w:rsidRPr="00350AFA" w14:paraId="6F77FE23" w14:textId="77777777" w:rsidTr="00012CB5">
        <w:trPr>
          <w:trHeight w:val="300"/>
        </w:trPr>
        <w:tc>
          <w:tcPr>
            <w:tcW w:w="1073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5A96CF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Vertikalna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rasvijetljenost</w:t>
            </w:r>
            <w:proofErr w:type="spellEnd"/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85DA2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lang w:eastAsia="hr-HR"/>
              </w:rPr>
              <w:t>prije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svjetlostaja</w:t>
            </w:r>
            <w:proofErr w:type="spellEnd"/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0D1944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0,5 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4B01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1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E3B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 xml:space="preserve">2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B87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90F6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8</w:t>
            </w:r>
          </w:p>
        </w:tc>
      </w:tr>
      <w:tr w:rsidR="00350AFA" w:rsidRPr="00350AFA" w14:paraId="32352760" w14:textId="77777777" w:rsidTr="00012CB5">
        <w:trPr>
          <w:trHeight w:val="300"/>
        </w:trPr>
        <w:tc>
          <w:tcPr>
            <w:tcW w:w="1073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14:paraId="695D7D92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749CB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Svjetlostaj</w:t>
            </w:r>
            <w:proofErr w:type="spellEnd"/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6BEF9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 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2236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3D9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0,5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D119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A6F6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 xml:space="preserve">2 </w:t>
            </w:r>
          </w:p>
        </w:tc>
      </w:tr>
    </w:tbl>
    <w:p w14:paraId="3C345907" w14:textId="77777777" w:rsidR="00012CB5" w:rsidRPr="00350AFA" w:rsidRDefault="00012CB5" w:rsidP="00012CB5">
      <w:pPr>
        <w:spacing w:after="0" w:line="240" w:lineRule="auto"/>
        <w:ind w:left="708"/>
        <w:rPr>
          <w:i/>
          <w:iCs/>
          <w:sz w:val="20"/>
          <w:szCs w:val="20"/>
          <w:lang w:eastAsia="hr-HR"/>
        </w:rPr>
      </w:pPr>
    </w:p>
    <w:p w14:paraId="3F484280" w14:textId="2C4F876B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 xml:space="preserve">Tablica 3. Maksimalne razine vertikalne rasvijetljenosti (PS) na otvorima (vrata, prozori) kulturnih dobara </w:t>
      </w:r>
      <w:r w:rsidR="00A316CE" w:rsidRPr="00350AFA">
        <w:rPr>
          <w:lang w:val="hr-HR"/>
        </w:rPr>
        <w:t xml:space="preserve">i susjednih građevina </w:t>
      </w:r>
      <w:r w:rsidRPr="00350AFA">
        <w:rPr>
          <w:lang w:val="hr-HR"/>
        </w:rPr>
        <w:t xml:space="preserve">poslovnih, turističkih i ugostiteljskih objekata uz vremensko ograničenje trajanja koje </w:t>
      </w:r>
      <w:r w:rsidR="00754577" w:rsidRPr="00350AFA">
        <w:rPr>
          <w:lang w:val="hr-HR"/>
        </w:rPr>
        <w:t>JLS</w:t>
      </w:r>
      <w:r w:rsidRPr="00350AFA">
        <w:rPr>
          <w:lang w:val="hr-HR"/>
        </w:rPr>
        <w:t xml:space="preserve"> i Grad Zagreb utvrđuju </w:t>
      </w:r>
      <w:r w:rsidR="00947200">
        <w:rPr>
          <w:lang w:val="hr-HR"/>
        </w:rPr>
        <w:t>P</w:t>
      </w:r>
      <w:r w:rsidRPr="00350AFA">
        <w:rPr>
          <w:lang w:val="hr-HR"/>
        </w:rPr>
        <w:t>lanom rasvjete</w:t>
      </w:r>
    </w:p>
    <w:tbl>
      <w:tblPr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1944"/>
        <w:gridCol w:w="2116"/>
        <w:gridCol w:w="969"/>
        <w:gridCol w:w="903"/>
        <w:gridCol w:w="903"/>
        <w:gridCol w:w="1113"/>
        <w:gridCol w:w="1104"/>
      </w:tblGrid>
      <w:tr w:rsidR="00350AFA" w:rsidRPr="00350AFA" w14:paraId="1B689AB7" w14:textId="77777777" w:rsidTr="00012CB5">
        <w:trPr>
          <w:trHeight w:val="300"/>
        </w:trPr>
        <w:tc>
          <w:tcPr>
            <w:tcW w:w="10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03FD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Opis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1D26E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Dio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noći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412B7C7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222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2123D6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350AFA">
              <w:rPr>
                <w:rFonts w:eastAsia="Times New Roman" w:cs="Times New Roman"/>
                <w:b/>
                <w:lang w:eastAsia="hr-HR"/>
              </w:rPr>
              <w:t xml:space="preserve">Zone </w:t>
            </w:r>
            <w:proofErr w:type="spellStart"/>
            <w:r w:rsidRPr="00350AFA">
              <w:rPr>
                <w:rFonts w:eastAsia="Times New Roman" w:cs="Times New Roman"/>
                <w:b/>
                <w:lang w:eastAsia="hr-HR"/>
              </w:rPr>
              <w:t>rasvijetljenosti</w:t>
            </w:r>
            <w:proofErr w:type="spellEnd"/>
          </w:p>
        </w:tc>
      </w:tr>
      <w:tr w:rsidR="00350AFA" w:rsidRPr="00350AFA" w14:paraId="74FFE53F" w14:textId="77777777" w:rsidTr="00012CB5">
        <w:trPr>
          <w:trHeight w:val="46"/>
        </w:trPr>
        <w:tc>
          <w:tcPr>
            <w:tcW w:w="10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2D62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DC658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BEEB3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E0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79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E1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73C5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E2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28A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E3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67193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E4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</w:tr>
      <w:tr w:rsidR="00350AFA" w:rsidRPr="00350AFA" w14:paraId="617160B9" w14:textId="77777777" w:rsidTr="00012CB5">
        <w:trPr>
          <w:trHeight w:val="300"/>
        </w:trPr>
        <w:tc>
          <w:tcPr>
            <w:tcW w:w="1073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0AA1B8" w14:textId="77777777" w:rsidR="005A0ED4" w:rsidRPr="00350AFA" w:rsidRDefault="005A0ED4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Vertikalna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rasvijetljenost</w:t>
            </w:r>
            <w:proofErr w:type="spellEnd"/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ABED2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lang w:eastAsia="hr-HR"/>
              </w:rPr>
              <w:t>prije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svjetlostaja</w:t>
            </w:r>
            <w:proofErr w:type="spellEnd"/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A77A3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 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A0F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1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FC6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 xml:space="preserve">2,5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1C48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F1F0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11</w:t>
            </w:r>
          </w:p>
        </w:tc>
      </w:tr>
      <w:tr w:rsidR="00350AFA" w:rsidRPr="00350AFA" w14:paraId="542C1F8C" w14:textId="77777777" w:rsidTr="00012CB5">
        <w:trPr>
          <w:trHeight w:val="300"/>
        </w:trPr>
        <w:tc>
          <w:tcPr>
            <w:tcW w:w="1073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14:paraId="55987F8F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  <w:tc>
          <w:tcPr>
            <w:tcW w:w="11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26F6F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Svjetlostaj</w:t>
            </w:r>
            <w:proofErr w:type="spellEnd"/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9D10A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 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2CB3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8E1E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0,5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EC7E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55E37" w14:textId="77777777" w:rsidR="005A0ED4" w:rsidRPr="00350AFA" w:rsidRDefault="005A0ED4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 xml:space="preserve">2 </w:t>
            </w:r>
          </w:p>
        </w:tc>
      </w:tr>
    </w:tbl>
    <w:p w14:paraId="3BC32736" w14:textId="3B7B0F76" w:rsidR="00012CB5" w:rsidRDefault="00012CB5" w:rsidP="00012CB5">
      <w:pPr>
        <w:spacing w:after="0" w:line="240" w:lineRule="auto"/>
        <w:ind w:left="708"/>
        <w:rPr>
          <w:i/>
          <w:iCs/>
          <w:sz w:val="20"/>
          <w:szCs w:val="20"/>
          <w:lang w:eastAsia="hr-HR"/>
        </w:rPr>
      </w:pPr>
    </w:p>
    <w:p w14:paraId="7B0CEF31" w14:textId="2D7D1C25" w:rsidR="006124C1" w:rsidRDefault="006124C1" w:rsidP="00012CB5">
      <w:pPr>
        <w:spacing w:after="0" w:line="240" w:lineRule="auto"/>
        <w:ind w:left="708"/>
        <w:rPr>
          <w:i/>
          <w:iCs/>
          <w:sz w:val="20"/>
          <w:szCs w:val="20"/>
          <w:lang w:eastAsia="hr-HR"/>
        </w:rPr>
      </w:pPr>
    </w:p>
    <w:p w14:paraId="48C404EE" w14:textId="3409D68D" w:rsidR="005A0ED4" w:rsidRDefault="005A0ED4" w:rsidP="005A0ED4">
      <w:pPr>
        <w:pStyle w:val="Naslov1"/>
        <w:rPr>
          <w:b/>
          <w:lang w:val="hr-HR"/>
        </w:rPr>
      </w:pPr>
      <w:r w:rsidRPr="00350AFA">
        <w:rPr>
          <w:b/>
          <w:lang w:val="hr-HR"/>
        </w:rPr>
        <w:t>PRILOG III.</w:t>
      </w:r>
    </w:p>
    <w:p w14:paraId="7878A25B" w14:textId="77777777" w:rsidR="000C2A04" w:rsidRPr="000C2A04" w:rsidRDefault="000C2A04" w:rsidP="000C2A04">
      <w:pPr>
        <w:rPr>
          <w:lang w:val="hr-HR"/>
        </w:rPr>
      </w:pPr>
    </w:p>
    <w:p w14:paraId="22FDEEC9" w14:textId="77777777" w:rsidR="005A0ED4" w:rsidRPr="00350AFA" w:rsidRDefault="005A0ED4" w:rsidP="005A0ED4">
      <w:pPr>
        <w:pStyle w:val="Naslov2"/>
        <w:rPr>
          <w:b/>
          <w:lang w:val="hr-HR"/>
        </w:rPr>
      </w:pPr>
      <w:r w:rsidRPr="00350AFA">
        <w:rPr>
          <w:b/>
          <w:lang w:val="hr-HR"/>
        </w:rPr>
        <w:t>A. Javne prometnice s motornim prometom</w:t>
      </w:r>
    </w:p>
    <w:p w14:paraId="02BE6413" w14:textId="77777777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Odabir razreda cestovne rasvjete provodi se u skladu s zahtjevima važeće norme za cestovnu rasvjetu.</w:t>
      </w:r>
    </w:p>
    <w:p w14:paraId="5D11D237" w14:textId="77777777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Zavisno od zone rasvijetljenosti propisuju se maksimalne vrijednosti horizontalne rasvijetljenosti.</w:t>
      </w:r>
    </w:p>
    <w:p w14:paraId="0FBA735C" w14:textId="77777777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Tablica 4. Maksimalne razine horizontalne rasvijetljenosti javnih prometnica s motornim prometom</w:t>
      </w:r>
    </w:p>
    <w:tbl>
      <w:tblPr>
        <w:tblStyle w:val="Reetkatablic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992"/>
        <w:gridCol w:w="993"/>
        <w:gridCol w:w="992"/>
        <w:gridCol w:w="992"/>
        <w:gridCol w:w="992"/>
      </w:tblGrid>
      <w:tr w:rsidR="00350AFA" w:rsidRPr="00350AFA" w14:paraId="4BA8737A" w14:textId="77777777" w:rsidTr="005A0ED4">
        <w:trPr>
          <w:trHeight w:val="222"/>
          <w:jc w:val="center"/>
        </w:trPr>
        <w:tc>
          <w:tcPr>
            <w:tcW w:w="1838" w:type="dxa"/>
            <w:vMerge w:val="restart"/>
            <w:vAlign w:val="center"/>
          </w:tcPr>
          <w:p w14:paraId="7EE83FB3" w14:textId="77777777" w:rsidR="005A0ED4" w:rsidRPr="00350AFA" w:rsidRDefault="005A0ED4" w:rsidP="0059769F">
            <w:pPr>
              <w:rPr>
                <w:rFonts w:cs="Times New Roman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</w:rPr>
              <w:t>Opis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2EE0A778" w14:textId="77777777" w:rsidR="005A0ED4" w:rsidRPr="00350AFA" w:rsidRDefault="005A0ED4" w:rsidP="0059769F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</w:rPr>
              <w:t>Dio</w:t>
            </w:r>
            <w:proofErr w:type="spellEnd"/>
            <w:r w:rsidRPr="00350AFA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</w:rPr>
              <w:t>noći</w:t>
            </w:r>
            <w:proofErr w:type="spellEnd"/>
          </w:p>
        </w:tc>
        <w:tc>
          <w:tcPr>
            <w:tcW w:w="4961" w:type="dxa"/>
            <w:gridSpan w:val="5"/>
          </w:tcPr>
          <w:p w14:paraId="7B8580BB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</w:rPr>
              <w:t xml:space="preserve">Zone </w:t>
            </w:r>
            <w:proofErr w:type="spellStart"/>
            <w:r w:rsidRPr="00350AFA">
              <w:rPr>
                <w:rFonts w:eastAsia="Times New Roman" w:cs="Times New Roman"/>
                <w:b/>
              </w:rPr>
              <w:t>rasvijetljenosti</w:t>
            </w:r>
            <w:proofErr w:type="spellEnd"/>
          </w:p>
        </w:tc>
      </w:tr>
      <w:tr w:rsidR="00350AFA" w:rsidRPr="00350AFA" w14:paraId="77237E9F" w14:textId="77777777" w:rsidTr="00B601D4">
        <w:trPr>
          <w:trHeight w:val="309"/>
          <w:jc w:val="center"/>
        </w:trPr>
        <w:tc>
          <w:tcPr>
            <w:tcW w:w="1838" w:type="dxa"/>
            <w:vMerge/>
            <w:vAlign w:val="center"/>
          </w:tcPr>
          <w:p w14:paraId="1862FEBE" w14:textId="77777777" w:rsidR="005A0ED4" w:rsidRPr="00350AFA" w:rsidRDefault="005A0ED4" w:rsidP="0059769F">
            <w:pPr>
              <w:rPr>
                <w:rFonts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37652" w14:textId="77777777" w:rsidR="005A0ED4" w:rsidRPr="00350AFA" w:rsidRDefault="005A0ED4" w:rsidP="0059769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F0393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E0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0BCC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E1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7271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E2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3104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E3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249BC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E4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</w:tr>
      <w:tr w:rsidR="00350AFA" w:rsidRPr="00350AFA" w14:paraId="0B70B0DC" w14:textId="77777777" w:rsidTr="00B601D4">
        <w:trPr>
          <w:trHeight w:val="282"/>
          <w:jc w:val="center"/>
        </w:trPr>
        <w:tc>
          <w:tcPr>
            <w:tcW w:w="1838" w:type="dxa"/>
            <w:vMerge w:val="restart"/>
            <w:vAlign w:val="center"/>
          </w:tcPr>
          <w:p w14:paraId="27BD84FC" w14:textId="77777777" w:rsidR="005A0ED4" w:rsidRPr="00350AFA" w:rsidRDefault="005A0ED4" w:rsidP="0059769F">
            <w:pPr>
              <w:rPr>
                <w:rFonts w:cs="Times New Roman"/>
                <w:b/>
              </w:rPr>
            </w:pPr>
            <w:proofErr w:type="spellStart"/>
            <w:r w:rsidRPr="00350AFA">
              <w:rPr>
                <w:rFonts w:cs="Times New Roman"/>
                <w:b/>
              </w:rPr>
              <w:t>Horizontalna</w:t>
            </w:r>
            <w:proofErr w:type="spellEnd"/>
            <w:r w:rsidRPr="00350AFA">
              <w:rPr>
                <w:rFonts w:cs="Times New Roman"/>
                <w:b/>
              </w:rPr>
              <w:t xml:space="preserve"> </w:t>
            </w:r>
            <w:proofErr w:type="spellStart"/>
            <w:r w:rsidRPr="00350AFA">
              <w:rPr>
                <w:rFonts w:cs="Times New Roman"/>
                <w:b/>
              </w:rPr>
              <w:t>rasvijetljenost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38EB1" w14:textId="77777777" w:rsidR="005A0ED4" w:rsidRPr="00350AFA" w:rsidRDefault="005A0ED4" w:rsidP="005A0ED4">
            <w:pPr>
              <w:jc w:val="center"/>
              <w:rPr>
                <w:rFonts w:cs="Times New Roman"/>
              </w:rPr>
            </w:pPr>
            <w:proofErr w:type="spellStart"/>
            <w:r w:rsidRPr="00350AFA">
              <w:rPr>
                <w:rFonts w:eastAsia="Times New Roman" w:cs="Times New Roman"/>
              </w:rPr>
              <w:t>prije</w:t>
            </w:r>
            <w:proofErr w:type="spellEnd"/>
            <w:r w:rsidRPr="00350AFA">
              <w:rPr>
                <w:rFonts w:eastAsia="Times New Roman" w:cs="Times New Roman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</w:rPr>
              <w:t>svjetlostaja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5D94C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E68B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233D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8C3E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6D907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</w:rPr>
              <w:t>30</w:t>
            </w:r>
          </w:p>
        </w:tc>
      </w:tr>
      <w:tr w:rsidR="005A0ED4" w:rsidRPr="00350AFA" w14:paraId="3D00FCB7" w14:textId="77777777" w:rsidTr="00B601D4">
        <w:trPr>
          <w:trHeight w:val="266"/>
          <w:jc w:val="center"/>
        </w:trPr>
        <w:tc>
          <w:tcPr>
            <w:tcW w:w="1838" w:type="dxa"/>
            <w:vMerge/>
            <w:vAlign w:val="center"/>
          </w:tcPr>
          <w:p w14:paraId="7D3D9271" w14:textId="77777777" w:rsidR="005A0ED4" w:rsidRPr="00350AFA" w:rsidRDefault="005A0ED4" w:rsidP="0059769F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7E92E" w14:textId="77777777" w:rsidR="005A0ED4" w:rsidRPr="00350AFA" w:rsidRDefault="005A0ED4" w:rsidP="005A0ED4">
            <w:pPr>
              <w:jc w:val="center"/>
              <w:rPr>
                <w:rFonts w:cs="Times New Roman"/>
              </w:rPr>
            </w:pPr>
            <w:proofErr w:type="spellStart"/>
            <w:r w:rsidRPr="00350AFA">
              <w:rPr>
                <w:rFonts w:cs="Times New Roman"/>
              </w:rPr>
              <w:t>svjetlostaj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97024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FD42A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B4D36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DF77F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C85AD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8</w:t>
            </w:r>
          </w:p>
        </w:tc>
      </w:tr>
    </w:tbl>
    <w:p w14:paraId="6DF6BB52" w14:textId="77777777" w:rsidR="006124C1" w:rsidRPr="00350AFA" w:rsidRDefault="006124C1" w:rsidP="005A0ED4">
      <w:pPr>
        <w:rPr>
          <w:lang w:val="hr-HR"/>
        </w:rPr>
      </w:pPr>
    </w:p>
    <w:p w14:paraId="13782D6D" w14:textId="77777777" w:rsidR="005A0ED4" w:rsidRPr="00350AFA" w:rsidRDefault="005A0ED4" w:rsidP="005A0ED4">
      <w:pPr>
        <w:pStyle w:val="Naslov2"/>
        <w:rPr>
          <w:b/>
          <w:lang w:val="hr-HR"/>
        </w:rPr>
      </w:pPr>
      <w:r w:rsidRPr="00350AFA">
        <w:rPr>
          <w:b/>
          <w:lang w:val="hr-HR"/>
        </w:rPr>
        <w:t>B. Pješačke i biciklističke staze na nogostupima, zaustavne trake i parkirališta uz cestu</w:t>
      </w:r>
    </w:p>
    <w:p w14:paraId="0473690C" w14:textId="77777777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Odabir razreda rasvjete pješačke i biciklističke staze na nogostupima, zaustavne trake i parkirališta uz cestu provodi se u skladu s zahtjevima važeće norme za cestovnu rasvjetu.</w:t>
      </w:r>
    </w:p>
    <w:p w14:paraId="0DCF54B2" w14:textId="67025883" w:rsidR="00B601D4" w:rsidRPr="00350AFA" w:rsidRDefault="005A0ED4" w:rsidP="005A0ED4">
      <w:pPr>
        <w:rPr>
          <w:lang w:val="hr-HR"/>
        </w:rPr>
      </w:pPr>
      <w:r w:rsidRPr="00350AFA">
        <w:rPr>
          <w:lang w:val="hr-HR"/>
        </w:rPr>
        <w:lastRenderedPageBreak/>
        <w:t>Zavisno od zone rasvijetljenosti propisuju se maksimalne vrijednosti</w:t>
      </w:r>
      <w:r w:rsidR="00B601D4">
        <w:rPr>
          <w:lang w:val="hr-HR"/>
        </w:rPr>
        <w:t xml:space="preserve"> horizontalne rasvijetljenosti.</w:t>
      </w:r>
    </w:p>
    <w:p w14:paraId="014402E6" w14:textId="77777777" w:rsidR="005A0ED4" w:rsidRPr="00350AFA" w:rsidRDefault="005A0ED4" w:rsidP="005A0ED4">
      <w:pPr>
        <w:rPr>
          <w:lang w:val="hr-HR"/>
        </w:rPr>
      </w:pPr>
      <w:r w:rsidRPr="00350AFA">
        <w:rPr>
          <w:lang w:val="hr-HR"/>
        </w:rPr>
        <w:t>Tablica 5. Maksimalne razine horizontalne rasvijetljenosti pješačkih i biciklističkih staza na nogostupima, zaustavnim trakama i parkiralištima uz cestu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992"/>
        <w:gridCol w:w="993"/>
        <w:gridCol w:w="992"/>
        <w:gridCol w:w="992"/>
        <w:gridCol w:w="992"/>
      </w:tblGrid>
      <w:tr w:rsidR="00350AFA" w:rsidRPr="00350AFA" w14:paraId="65540450" w14:textId="77777777" w:rsidTr="005A0ED4">
        <w:trPr>
          <w:trHeight w:val="222"/>
        </w:trPr>
        <w:tc>
          <w:tcPr>
            <w:tcW w:w="1838" w:type="dxa"/>
            <w:vMerge w:val="restart"/>
            <w:vAlign w:val="center"/>
          </w:tcPr>
          <w:p w14:paraId="292FDA78" w14:textId="77777777" w:rsidR="005A0ED4" w:rsidRPr="00350AFA" w:rsidRDefault="005A0ED4" w:rsidP="0059769F">
            <w:pPr>
              <w:rPr>
                <w:rFonts w:cs="Times New Roman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</w:rPr>
              <w:t>Opis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2BDCE7D1" w14:textId="77777777" w:rsidR="005A0ED4" w:rsidRPr="00350AFA" w:rsidRDefault="005A0ED4" w:rsidP="0059769F">
            <w:pPr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</w:rPr>
              <w:t>Dio</w:t>
            </w:r>
            <w:proofErr w:type="spellEnd"/>
            <w:r w:rsidRPr="00350AFA"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</w:rPr>
              <w:t>noći</w:t>
            </w:r>
            <w:proofErr w:type="spellEnd"/>
          </w:p>
        </w:tc>
        <w:tc>
          <w:tcPr>
            <w:tcW w:w="4961" w:type="dxa"/>
            <w:gridSpan w:val="5"/>
          </w:tcPr>
          <w:p w14:paraId="54B60112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</w:rPr>
              <w:t xml:space="preserve">Zone </w:t>
            </w:r>
            <w:proofErr w:type="spellStart"/>
            <w:r w:rsidRPr="00350AFA">
              <w:rPr>
                <w:rFonts w:eastAsia="Times New Roman" w:cs="Times New Roman"/>
                <w:b/>
              </w:rPr>
              <w:t>rasvijetljenosti</w:t>
            </w:r>
            <w:proofErr w:type="spellEnd"/>
          </w:p>
        </w:tc>
      </w:tr>
      <w:tr w:rsidR="00350AFA" w:rsidRPr="00350AFA" w14:paraId="726FED35" w14:textId="77777777" w:rsidTr="00B601D4">
        <w:trPr>
          <w:trHeight w:val="309"/>
        </w:trPr>
        <w:tc>
          <w:tcPr>
            <w:tcW w:w="1838" w:type="dxa"/>
            <w:vMerge/>
            <w:vAlign w:val="center"/>
          </w:tcPr>
          <w:p w14:paraId="63366174" w14:textId="77777777" w:rsidR="005A0ED4" w:rsidRPr="00350AFA" w:rsidRDefault="005A0ED4" w:rsidP="0059769F">
            <w:pPr>
              <w:rPr>
                <w:rFonts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58AAA" w14:textId="77777777" w:rsidR="005A0ED4" w:rsidRPr="00350AFA" w:rsidRDefault="005A0ED4" w:rsidP="0059769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E56855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E0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7726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E1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A05B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E2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9BB3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E3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4F74C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/>
                <w:bCs/>
              </w:rPr>
              <w:t xml:space="preserve">E4 </w:t>
            </w:r>
            <w:r w:rsidRPr="00350AFA">
              <w:rPr>
                <w:rFonts w:eastAsia="Times New Roman" w:cs="Times New Roman"/>
                <w:bCs/>
              </w:rPr>
              <w:t>(lx)</w:t>
            </w:r>
          </w:p>
        </w:tc>
      </w:tr>
      <w:tr w:rsidR="00350AFA" w:rsidRPr="00350AFA" w14:paraId="66A36739" w14:textId="77777777" w:rsidTr="00B601D4">
        <w:trPr>
          <w:trHeight w:val="282"/>
        </w:trPr>
        <w:tc>
          <w:tcPr>
            <w:tcW w:w="1838" w:type="dxa"/>
            <w:vMerge w:val="restart"/>
            <w:vAlign w:val="center"/>
          </w:tcPr>
          <w:p w14:paraId="4AEBF8D9" w14:textId="77777777" w:rsidR="005A0ED4" w:rsidRPr="00350AFA" w:rsidRDefault="005A0ED4" w:rsidP="0059769F">
            <w:pPr>
              <w:rPr>
                <w:rFonts w:cs="Times New Roman"/>
                <w:b/>
              </w:rPr>
            </w:pPr>
            <w:proofErr w:type="spellStart"/>
            <w:r w:rsidRPr="00350AFA">
              <w:rPr>
                <w:rFonts w:cs="Times New Roman"/>
                <w:b/>
              </w:rPr>
              <w:t>Horizontalna</w:t>
            </w:r>
            <w:proofErr w:type="spellEnd"/>
            <w:r w:rsidRPr="00350AFA">
              <w:rPr>
                <w:rFonts w:cs="Times New Roman"/>
                <w:b/>
              </w:rPr>
              <w:t xml:space="preserve"> </w:t>
            </w:r>
            <w:proofErr w:type="spellStart"/>
            <w:r w:rsidRPr="00350AFA">
              <w:rPr>
                <w:rFonts w:cs="Times New Roman"/>
                <w:b/>
              </w:rPr>
              <w:t>rasvijetljenost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67A91" w14:textId="77777777" w:rsidR="005A0ED4" w:rsidRPr="00350AFA" w:rsidRDefault="005A0ED4" w:rsidP="00281411">
            <w:pPr>
              <w:jc w:val="center"/>
              <w:rPr>
                <w:rFonts w:cs="Times New Roman"/>
              </w:rPr>
            </w:pPr>
            <w:proofErr w:type="spellStart"/>
            <w:r w:rsidRPr="00350AFA">
              <w:rPr>
                <w:rFonts w:eastAsia="Times New Roman" w:cs="Times New Roman"/>
              </w:rPr>
              <w:t>prije</w:t>
            </w:r>
            <w:proofErr w:type="spellEnd"/>
            <w:r w:rsidRPr="00350AFA">
              <w:rPr>
                <w:rFonts w:eastAsia="Times New Roman" w:cs="Times New Roman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</w:rPr>
              <w:t>svjetlostaja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8EF6E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383C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3781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244E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BB95F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eastAsia="Times New Roman" w:cs="Times New Roman"/>
              </w:rPr>
              <w:t>15</w:t>
            </w:r>
          </w:p>
        </w:tc>
      </w:tr>
      <w:tr w:rsidR="005A0ED4" w:rsidRPr="00350AFA" w14:paraId="0CA8B1BF" w14:textId="77777777" w:rsidTr="00B601D4">
        <w:trPr>
          <w:trHeight w:val="266"/>
        </w:trPr>
        <w:tc>
          <w:tcPr>
            <w:tcW w:w="1838" w:type="dxa"/>
            <w:vMerge/>
            <w:vAlign w:val="center"/>
          </w:tcPr>
          <w:p w14:paraId="25BBDD56" w14:textId="77777777" w:rsidR="005A0ED4" w:rsidRPr="00350AFA" w:rsidRDefault="005A0ED4" w:rsidP="0059769F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6E7BD" w14:textId="77777777" w:rsidR="005A0ED4" w:rsidRPr="00350AFA" w:rsidRDefault="005A0ED4" w:rsidP="00281411">
            <w:pPr>
              <w:jc w:val="center"/>
              <w:rPr>
                <w:rFonts w:cs="Times New Roman"/>
              </w:rPr>
            </w:pPr>
            <w:proofErr w:type="spellStart"/>
            <w:r w:rsidRPr="00350AFA">
              <w:rPr>
                <w:rFonts w:cs="Times New Roman"/>
              </w:rPr>
              <w:t>svjetlostaj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4F9AD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B4EA5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4DFE4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E0066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22956" w14:textId="77777777" w:rsidR="005A0ED4" w:rsidRPr="00350AFA" w:rsidRDefault="005A0ED4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4</w:t>
            </w:r>
          </w:p>
        </w:tc>
      </w:tr>
    </w:tbl>
    <w:p w14:paraId="3EB79646" w14:textId="77777777" w:rsidR="005A0ED4" w:rsidRPr="00350AFA" w:rsidRDefault="005A0ED4" w:rsidP="005A0ED4">
      <w:pPr>
        <w:rPr>
          <w:lang w:val="hr-HR"/>
        </w:rPr>
      </w:pPr>
    </w:p>
    <w:p w14:paraId="240CC383" w14:textId="77777777" w:rsidR="00281411" w:rsidRPr="00350AFA" w:rsidRDefault="00281411" w:rsidP="00281411">
      <w:pPr>
        <w:pStyle w:val="Naslov2"/>
        <w:rPr>
          <w:b/>
          <w:lang w:val="hr-HR"/>
        </w:rPr>
      </w:pPr>
      <w:r w:rsidRPr="00350AFA">
        <w:rPr>
          <w:b/>
          <w:lang w:val="hr-HR"/>
        </w:rPr>
        <w:t>C. Parkirališne površine</w:t>
      </w:r>
    </w:p>
    <w:p w14:paraId="18B54864" w14:textId="77777777" w:rsidR="00281411" w:rsidRPr="00350AFA" w:rsidRDefault="00281411" w:rsidP="00281411">
      <w:pPr>
        <w:rPr>
          <w:lang w:val="hr-HR"/>
        </w:rPr>
      </w:pPr>
      <w:r w:rsidRPr="00350AFA">
        <w:rPr>
          <w:lang w:val="hr-HR"/>
        </w:rPr>
        <w:t>Tablica 6. Maksimalne razine horizontalne rasvijet</w:t>
      </w:r>
      <w:r w:rsidR="0005471F" w:rsidRPr="00350AFA">
        <w:rPr>
          <w:lang w:val="hr-HR"/>
        </w:rPr>
        <w:t>ljenosti parkirališnih površina</w:t>
      </w:r>
    </w:p>
    <w:tbl>
      <w:tblPr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4526"/>
        <w:gridCol w:w="1843"/>
        <w:gridCol w:w="2683"/>
      </w:tblGrid>
      <w:tr w:rsidR="00350AFA" w:rsidRPr="00350AFA" w14:paraId="1D1900EE" w14:textId="77777777" w:rsidTr="00281411">
        <w:trPr>
          <w:trHeight w:val="300"/>
        </w:trPr>
        <w:tc>
          <w:tcPr>
            <w:tcW w:w="2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E8F6" w14:textId="77777777" w:rsidR="00281411" w:rsidRPr="00350AFA" w:rsidRDefault="00281411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Opis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01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DE5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Dio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noći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4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5CCA7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lang w:eastAsia="hr-HR"/>
              </w:rPr>
              <w:t>Maksimalne</w:t>
            </w:r>
            <w:proofErr w:type="spellEnd"/>
            <w:r w:rsidRPr="00350AFA">
              <w:rPr>
                <w:rFonts w:eastAsia="Times New Roman" w:cs="Times New Roman"/>
                <w:b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lang w:eastAsia="hr-HR"/>
              </w:rPr>
              <w:t>vrijednosti</w:t>
            </w:r>
            <w:proofErr w:type="spellEnd"/>
          </w:p>
        </w:tc>
      </w:tr>
      <w:tr w:rsidR="00350AFA" w:rsidRPr="00350AFA" w14:paraId="77A465AC" w14:textId="77777777" w:rsidTr="00281411">
        <w:trPr>
          <w:trHeight w:val="46"/>
        </w:trPr>
        <w:tc>
          <w:tcPr>
            <w:tcW w:w="250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57144" w14:textId="77777777" w:rsidR="00281411" w:rsidRPr="00350AFA" w:rsidRDefault="00281411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0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7307D" w14:textId="77777777" w:rsidR="00281411" w:rsidRPr="00350AFA" w:rsidRDefault="00281411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4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361A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E</w:t>
            </w:r>
            <w:r w:rsidRPr="00350AFA">
              <w:rPr>
                <w:rFonts w:eastAsia="Times New Roman" w:cs="Times New Roman"/>
                <w:b/>
                <w:bCs/>
                <w:vertAlign w:val="subscript"/>
                <w:lang w:eastAsia="hr-HR"/>
              </w:rPr>
              <w:t>hor</w:t>
            </w:r>
            <w:proofErr w:type="spellEnd"/>
            <w:r w:rsidRPr="00350AFA">
              <w:rPr>
                <w:rFonts w:eastAsia="Times New Roman" w:cs="Times New Roman"/>
                <w:b/>
                <w:bCs/>
                <w:vertAlign w:val="subscript"/>
                <w:lang w:eastAsia="hr-HR"/>
              </w:rPr>
              <w:t xml:space="preserve"> max</w:t>
            </w: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r w:rsidRPr="00350AFA">
              <w:rPr>
                <w:rFonts w:eastAsia="Times New Roman" w:cs="Times New Roman"/>
                <w:bCs/>
                <w:lang w:eastAsia="hr-HR"/>
              </w:rPr>
              <w:t>(lx)</w:t>
            </w:r>
          </w:p>
        </w:tc>
      </w:tr>
      <w:tr w:rsidR="00350AFA" w:rsidRPr="00350AFA" w14:paraId="67423D67" w14:textId="77777777" w:rsidTr="00281411">
        <w:trPr>
          <w:trHeight w:val="382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D7CB4" w14:textId="77777777" w:rsidR="00281411" w:rsidRPr="00350AFA" w:rsidRDefault="00281411" w:rsidP="0059769F">
            <w:pPr>
              <w:spacing w:after="0" w:line="240" w:lineRule="auto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Lagani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promet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,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npr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. parking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mjesta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uz</w:t>
            </w:r>
            <w:proofErr w:type="spellEnd"/>
          </w:p>
          <w:p w14:paraId="64060418" w14:textId="77777777" w:rsidR="00281411" w:rsidRPr="00422D9F" w:rsidRDefault="00281411" w:rsidP="0059769F">
            <w:pPr>
              <w:spacing w:after="0" w:line="240" w:lineRule="auto"/>
              <w:rPr>
                <w:rFonts w:eastAsia="Times New Roman" w:cs="Times New Roman"/>
                <w:bCs/>
                <w:lang w:val="it-IT" w:eastAsia="hr-HR"/>
              </w:rPr>
            </w:pPr>
            <w:proofErr w:type="spellStart"/>
            <w:r w:rsidRPr="00422D9F">
              <w:rPr>
                <w:rFonts w:eastAsia="Times New Roman" w:cs="Times New Roman"/>
                <w:bCs/>
                <w:lang w:val="it-IT" w:eastAsia="hr-HR"/>
              </w:rPr>
              <w:t>trgovine</w:t>
            </w:r>
            <w:proofErr w:type="spellEnd"/>
            <w:r w:rsidRPr="00422D9F">
              <w:rPr>
                <w:rFonts w:eastAsia="Times New Roman" w:cs="Times New Roman"/>
                <w:bCs/>
                <w:lang w:val="it-IT" w:eastAsia="hr-HR"/>
              </w:rPr>
              <w:t xml:space="preserve">, </w:t>
            </w:r>
            <w:proofErr w:type="spellStart"/>
            <w:r w:rsidRPr="00422D9F">
              <w:rPr>
                <w:rFonts w:eastAsia="Times New Roman" w:cs="Times New Roman"/>
                <w:bCs/>
                <w:lang w:val="it-IT" w:eastAsia="hr-HR"/>
              </w:rPr>
              <w:t>terase</w:t>
            </w:r>
            <w:proofErr w:type="spellEnd"/>
            <w:r w:rsidRPr="00422D9F">
              <w:rPr>
                <w:rFonts w:eastAsia="Times New Roman" w:cs="Times New Roman"/>
                <w:bCs/>
                <w:lang w:val="it-IT" w:eastAsia="hr-HR"/>
              </w:rPr>
              <w:t xml:space="preserve"> i </w:t>
            </w:r>
            <w:proofErr w:type="spellStart"/>
            <w:r w:rsidRPr="00422D9F">
              <w:rPr>
                <w:rFonts w:eastAsia="Times New Roman" w:cs="Times New Roman"/>
                <w:bCs/>
                <w:lang w:val="it-IT" w:eastAsia="hr-HR"/>
              </w:rPr>
              <w:t>stambene</w:t>
            </w:r>
            <w:proofErr w:type="spellEnd"/>
            <w:r w:rsidRPr="00422D9F">
              <w:rPr>
                <w:rFonts w:eastAsia="Times New Roman" w:cs="Times New Roman"/>
                <w:bCs/>
                <w:lang w:val="it-IT" w:eastAsia="hr-HR"/>
              </w:rPr>
              <w:t xml:space="preserve"> </w:t>
            </w:r>
            <w:proofErr w:type="spellStart"/>
            <w:r w:rsidRPr="00422D9F">
              <w:rPr>
                <w:rFonts w:eastAsia="Times New Roman" w:cs="Times New Roman"/>
                <w:bCs/>
                <w:lang w:val="it-IT" w:eastAsia="hr-HR"/>
              </w:rPr>
              <w:t>kuće</w:t>
            </w:r>
            <w:proofErr w:type="spellEnd"/>
            <w:r w:rsidRPr="00422D9F">
              <w:rPr>
                <w:rFonts w:eastAsia="Times New Roman" w:cs="Times New Roman"/>
                <w:bCs/>
                <w:lang w:val="it-IT" w:eastAsia="hr-HR"/>
              </w:rPr>
              <w:t xml:space="preserve">; </w:t>
            </w:r>
            <w:proofErr w:type="spellStart"/>
            <w:r w:rsidRPr="00422D9F">
              <w:rPr>
                <w:rFonts w:eastAsia="Times New Roman" w:cs="Times New Roman"/>
                <w:bCs/>
                <w:lang w:val="it-IT" w:eastAsia="hr-HR"/>
              </w:rPr>
              <w:t>biciklistički</w:t>
            </w:r>
            <w:proofErr w:type="spellEnd"/>
            <w:r w:rsidRPr="00422D9F">
              <w:rPr>
                <w:rFonts w:eastAsia="Times New Roman" w:cs="Times New Roman"/>
                <w:bCs/>
                <w:lang w:val="it-IT" w:eastAsia="hr-HR"/>
              </w:rPr>
              <w:t xml:space="preserve"> </w:t>
            </w:r>
            <w:proofErr w:type="spellStart"/>
            <w:r w:rsidRPr="00422D9F">
              <w:rPr>
                <w:rFonts w:eastAsia="Times New Roman" w:cs="Times New Roman"/>
                <w:bCs/>
                <w:lang w:val="it-IT" w:eastAsia="hr-HR"/>
              </w:rPr>
              <w:t>parkovi</w:t>
            </w:r>
            <w:proofErr w:type="spellEnd"/>
          </w:p>
        </w:tc>
        <w:tc>
          <w:tcPr>
            <w:tcW w:w="10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7EC8D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lang w:eastAsia="hr-HR"/>
              </w:rPr>
              <w:t>prije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svjetlostaja</w:t>
            </w:r>
            <w:proofErr w:type="spellEnd"/>
          </w:p>
        </w:tc>
        <w:tc>
          <w:tcPr>
            <w:tcW w:w="14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C346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5</w:t>
            </w:r>
          </w:p>
        </w:tc>
      </w:tr>
      <w:tr w:rsidR="00350AFA" w:rsidRPr="00350AFA" w14:paraId="2C06A870" w14:textId="77777777" w:rsidTr="00281411">
        <w:trPr>
          <w:trHeight w:val="461"/>
        </w:trPr>
        <w:tc>
          <w:tcPr>
            <w:tcW w:w="2500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14:paraId="733A849D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  <w:tc>
          <w:tcPr>
            <w:tcW w:w="10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E5FF7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Svjetlostaj</w:t>
            </w:r>
            <w:proofErr w:type="spellEnd"/>
          </w:p>
        </w:tc>
        <w:tc>
          <w:tcPr>
            <w:tcW w:w="14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53FC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3</w:t>
            </w:r>
          </w:p>
        </w:tc>
      </w:tr>
      <w:tr w:rsidR="00350AFA" w:rsidRPr="00350AFA" w14:paraId="3922FC8E" w14:textId="77777777" w:rsidTr="00281411">
        <w:trPr>
          <w:trHeight w:val="382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68C63" w14:textId="5D2ED5FA" w:rsidR="00281411" w:rsidRPr="00350AFA" w:rsidRDefault="00281411" w:rsidP="006124C1">
            <w:pPr>
              <w:spacing w:after="0" w:line="240" w:lineRule="auto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Srednji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promet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,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npr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. parking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mjesta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uz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robne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kuće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,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poslovne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zgrade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,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sportske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i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višenamjenske</w:t>
            </w:r>
            <w:proofErr w:type="spellEnd"/>
            <w:r w:rsidR="006124C1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građevin</w:t>
            </w:r>
            <w:r w:rsidR="006124C1">
              <w:rPr>
                <w:rFonts w:eastAsia="Times New Roman" w:cs="Times New Roman"/>
                <w:bCs/>
                <w:lang w:eastAsia="hr-HR"/>
              </w:rPr>
              <w:t>e</w:t>
            </w:r>
            <w:proofErr w:type="spellEnd"/>
          </w:p>
        </w:tc>
        <w:tc>
          <w:tcPr>
            <w:tcW w:w="10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48DE7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lang w:eastAsia="hr-HR"/>
              </w:rPr>
              <w:t>prije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svjetlostaja</w:t>
            </w:r>
            <w:proofErr w:type="spellEnd"/>
          </w:p>
        </w:tc>
        <w:tc>
          <w:tcPr>
            <w:tcW w:w="14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ABE3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10</w:t>
            </w:r>
          </w:p>
        </w:tc>
      </w:tr>
      <w:tr w:rsidR="00350AFA" w:rsidRPr="00350AFA" w14:paraId="384713B0" w14:textId="77777777" w:rsidTr="00281411">
        <w:trPr>
          <w:trHeight w:val="300"/>
        </w:trPr>
        <w:tc>
          <w:tcPr>
            <w:tcW w:w="2500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14:paraId="0E3FAC4E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  <w:tc>
          <w:tcPr>
            <w:tcW w:w="10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1E236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Svjetlostaj</w:t>
            </w:r>
            <w:proofErr w:type="spellEnd"/>
          </w:p>
        </w:tc>
        <w:tc>
          <w:tcPr>
            <w:tcW w:w="14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C19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5</w:t>
            </w:r>
          </w:p>
        </w:tc>
      </w:tr>
      <w:tr w:rsidR="00350AFA" w:rsidRPr="00350AFA" w14:paraId="7142E87F" w14:textId="77777777" w:rsidTr="00281411">
        <w:trPr>
          <w:trHeight w:val="382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CB2127" w14:textId="6D61EF96" w:rsidR="00281411" w:rsidRPr="00350AFA" w:rsidRDefault="00281411" w:rsidP="006124C1">
            <w:pPr>
              <w:spacing w:after="0" w:line="240" w:lineRule="auto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Gust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promet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,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npr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. parking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mjesta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uz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škole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,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crkve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,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velike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trgovačke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centre,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velike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sportske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centre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i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velike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višenamjenske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građevine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</w:p>
        </w:tc>
        <w:tc>
          <w:tcPr>
            <w:tcW w:w="10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3A352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lang w:eastAsia="hr-HR"/>
              </w:rPr>
              <w:t>prije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svjetlostaja</w:t>
            </w:r>
            <w:proofErr w:type="spellEnd"/>
          </w:p>
        </w:tc>
        <w:tc>
          <w:tcPr>
            <w:tcW w:w="14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4594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15</w:t>
            </w:r>
          </w:p>
        </w:tc>
      </w:tr>
      <w:tr w:rsidR="00350AFA" w:rsidRPr="00350AFA" w14:paraId="6085A758" w14:textId="77777777" w:rsidTr="00281411">
        <w:trPr>
          <w:trHeight w:val="300"/>
        </w:trPr>
        <w:tc>
          <w:tcPr>
            <w:tcW w:w="2500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14:paraId="2EDE5702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  <w:tc>
          <w:tcPr>
            <w:tcW w:w="10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CBFC5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Svjetlostaj</w:t>
            </w:r>
            <w:proofErr w:type="spellEnd"/>
          </w:p>
        </w:tc>
        <w:tc>
          <w:tcPr>
            <w:tcW w:w="14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AC74" w14:textId="77777777" w:rsidR="00281411" w:rsidRPr="00350AFA" w:rsidRDefault="00281411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5</w:t>
            </w:r>
          </w:p>
        </w:tc>
      </w:tr>
    </w:tbl>
    <w:p w14:paraId="0271C692" w14:textId="77777777" w:rsidR="00281411" w:rsidRPr="00350AFA" w:rsidRDefault="00281411" w:rsidP="00281411">
      <w:pPr>
        <w:rPr>
          <w:lang w:val="hr-HR"/>
        </w:rPr>
      </w:pPr>
    </w:p>
    <w:p w14:paraId="61DB7C38" w14:textId="77777777" w:rsidR="005E3543" w:rsidRPr="00350AFA" w:rsidRDefault="005E3543" w:rsidP="005E3543">
      <w:pPr>
        <w:pStyle w:val="Naslov2"/>
        <w:rPr>
          <w:b/>
          <w:lang w:val="hr-HR"/>
        </w:rPr>
      </w:pPr>
      <w:r w:rsidRPr="00350AFA">
        <w:rPr>
          <w:b/>
          <w:lang w:val="hr-HR"/>
        </w:rPr>
        <w:t>D. Pješački prijelazi</w:t>
      </w:r>
    </w:p>
    <w:p w14:paraId="3C395E7E" w14:textId="77777777" w:rsidR="005E3543" w:rsidRPr="00422D9F" w:rsidRDefault="005E3543" w:rsidP="005E3543">
      <w:pPr>
        <w:rPr>
          <w:rFonts w:eastAsia="Calibri" w:cs="Times New Roman"/>
          <w:lang w:val="hr-HR"/>
        </w:rPr>
      </w:pPr>
      <w:r w:rsidRPr="00422D9F">
        <w:rPr>
          <w:rFonts w:eastAsia="Calibri" w:cs="Times New Roman"/>
          <w:lang w:val="hr-HR"/>
        </w:rPr>
        <w:t xml:space="preserve">Tablica 7. Maksimalne razine horizontalne rasvijetljenosti pješačkih prijelaza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50AFA" w:rsidRPr="00350AFA" w14:paraId="5A3749FA" w14:textId="77777777" w:rsidTr="005E3543">
        <w:tc>
          <w:tcPr>
            <w:tcW w:w="4531" w:type="dxa"/>
            <w:vMerge w:val="restart"/>
            <w:vAlign w:val="center"/>
          </w:tcPr>
          <w:p w14:paraId="7FEAD2B3" w14:textId="77777777" w:rsidR="005E3543" w:rsidRPr="00350AFA" w:rsidRDefault="005E3543" w:rsidP="005E3543">
            <w:pPr>
              <w:jc w:val="left"/>
              <w:rPr>
                <w:rFonts w:cs="Times New Roman"/>
                <w:b/>
              </w:rPr>
            </w:pPr>
            <w:proofErr w:type="spellStart"/>
            <w:r w:rsidRPr="00350AFA">
              <w:rPr>
                <w:rFonts w:cs="Times New Roman"/>
                <w:b/>
              </w:rPr>
              <w:t>Područje</w:t>
            </w:r>
            <w:proofErr w:type="spellEnd"/>
            <w:r w:rsidRPr="00350AFA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536" w:type="dxa"/>
          </w:tcPr>
          <w:p w14:paraId="6EA20F71" w14:textId="77777777" w:rsidR="005E3543" w:rsidRPr="00350AFA" w:rsidRDefault="005E3543" w:rsidP="0059769F">
            <w:pPr>
              <w:jc w:val="center"/>
              <w:rPr>
                <w:rFonts w:cs="Times New Roman"/>
                <w:b/>
              </w:rPr>
            </w:pPr>
            <w:proofErr w:type="spellStart"/>
            <w:r w:rsidRPr="00350AFA">
              <w:rPr>
                <w:rFonts w:cs="Times New Roman"/>
                <w:b/>
              </w:rPr>
              <w:t>Maximalne</w:t>
            </w:r>
            <w:proofErr w:type="spellEnd"/>
            <w:r w:rsidRPr="00350AFA">
              <w:rPr>
                <w:rFonts w:cs="Times New Roman"/>
                <w:b/>
              </w:rPr>
              <w:t xml:space="preserve"> </w:t>
            </w:r>
            <w:proofErr w:type="spellStart"/>
            <w:r w:rsidRPr="00350AFA">
              <w:rPr>
                <w:rFonts w:cs="Times New Roman"/>
                <w:b/>
              </w:rPr>
              <w:t>vrijednosti</w:t>
            </w:r>
            <w:proofErr w:type="spellEnd"/>
          </w:p>
        </w:tc>
      </w:tr>
      <w:tr w:rsidR="00350AFA" w:rsidRPr="00350AFA" w14:paraId="2748D711" w14:textId="77777777" w:rsidTr="005E3543">
        <w:tc>
          <w:tcPr>
            <w:tcW w:w="4531" w:type="dxa"/>
            <w:vMerge/>
          </w:tcPr>
          <w:p w14:paraId="161DD344" w14:textId="77777777" w:rsidR="005E3543" w:rsidRPr="00350AFA" w:rsidRDefault="005E3543" w:rsidP="0059769F">
            <w:pPr>
              <w:rPr>
                <w:rFonts w:cs="Times New Roman"/>
              </w:rPr>
            </w:pPr>
          </w:p>
        </w:tc>
        <w:tc>
          <w:tcPr>
            <w:tcW w:w="4536" w:type="dxa"/>
          </w:tcPr>
          <w:p w14:paraId="113E8A35" w14:textId="77777777" w:rsidR="005E3543" w:rsidRPr="00350AFA" w:rsidRDefault="005E3543" w:rsidP="0059769F">
            <w:pPr>
              <w:jc w:val="center"/>
              <w:rPr>
                <w:rFonts w:cs="Times New Roman"/>
                <w:vertAlign w:val="subscript"/>
              </w:rPr>
            </w:pPr>
            <w:proofErr w:type="spellStart"/>
            <w:r w:rsidRPr="00350AFA">
              <w:rPr>
                <w:rFonts w:cs="Times New Roman"/>
              </w:rPr>
              <w:t>E</w:t>
            </w:r>
            <w:r w:rsidRPr="00350AFA">
              <w:rPr>
                <w:rFonts w:cs="Times New Roman"/>
                <w:vertAlign w:val="subscript"/>
              </w:rPr>
              <w:t>hor_max</w:t>
            </w:r>
            <w:proofErr w:type="spellEnd"/>
            <w:r w:rsidRPr="00350AFA">
              <w:rPr>
                <w:rFonts w:cs="Times New Roman"/>
                <w:vertAlign w:val="subscript"/>
              </w:rPr>
              <w:t xml:space="preserve"> (lx)</w:t>
            </w:r>
          </w:p>
        </w:tc>
      </w:tr>
      <w:tr w:rsidR="00350AFA" w:rsidRPr="00350AFA" w14:paraId="54F88174" w14:textId="77777777" w:rsidTr="005E3543">
        <w:tc>
          <w:tcPr>
            <w:tcW w:w="4531" w:type="dxa"/>
          </w:tcPr>
          <w:p w14:paraId="306F696A" w14:textId="7204EBEE" w:rsidR="005E3543" w:rsidRPr="00350AFA" w:rsidRDefault="005E3543" w:rsidP="0059769F">
            <w:pPr>
              <w:rPr>
                <w:rFonts w:cs="Times New Roman"/>
              </w:rPr>
            </w:pPr>
            <w:proofErr w:type="spellStart"/>
            <w:r w:rsidRPr="00350AFA">
              <w:rPr>
                <w:rFonts w:cs="Times New Roman"/>
              </w:rPr>
              <w:t>Trgovačka</w:t>
            </w:r>
            <w:proofErr w:type="spellEnd"/>
            <w:r w:rsidRPr="00350AFA">
              <w:rPr>
                <w:rFonts w:cs="Times New Roman"/>
              </w:rPr>
              <w:t xml:space="preserve"> </w:t>
            </w:r>
            <w:proofErr w:type="spellStart"/>
            <w:r w:rsidRPr="00350AFA">
              <w:rPr>
                <w:rFonts w:cs="Times New Roman"/>
              </w:rPr>
              <w:t>i</w:t>
            </w:r>
            <w:proofErr w:type="spellEnd"/>
            <w:r w:rsidRPr="00350AFA">
              <w:rPr>
                <w:rFonts w:cs="Times New Roman"/>
              </w:rPr>
              <w:t xml:space="preserve"> </w:t>
            </w:r>
            <w:proofErr w:type="spellStart"/>
            <w:r w:rsidRPr="00350AFA">
              <w:rPr>
                <w:rFonts w:cs="Times New Roman"/>
              </w:rPr>
              <w:t>industrijska</w:t>
            </w:r>
            <w:proofErr w:type="spellEnd"/>
            <w:r w:rsidR="006124C1">
              <w:rPr>
                <w:rFonts w:cs="Times New Roman"/>
              </w:rPr>
              <w:t xml:space="preserve"> </w:t>
            </w:r>
            <w:proofErr w:type="spellStart"/>
            <w:r w:rsidR="006124C1">
              <w:rPr>
                <w:rFonts w:cs="Times New Roman"/>
              </w:rPr>
              <w:t>namjena</w:t>
            </w:r>
            <w:proofErr w:type="spellEnd"/>
          </w:p>
        </w:tc>
        <w:tc>
          <w:tcPr>
            <w:tcW w:w="4536" w:type="dxa"/>
          </w:tcPr>
          <w:p w14:paraId="3D2BD0DD" w14:textId="77777777" w:rsidR="005E3543" w:rsidRPr="00350AFA" w:rsidRDefault="005E3543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45</w:t>
            </w:r>
          </w:p>
        </w:tc>
      </w:tr>
      <w:tr w:rsidR="00350AFA" w:rsidRPr="00350AFA" w14:paraId="3639022E" w14:textId="77777777" w:rsidTr="005E3543">
        <w:tc>
          <w:tcPr>
            <w:tcW w:w="4531" w:type="dxa"/>
          </w:tcPr>
          <w:p w14:paraId="5C8B30CE" w14:textId="0D2B2DA7" w:rsidR="005E3543" w:rsidRPr="00350AFA" w:rsidRDefault="005E3543" w:rsidP="0059769F">
            <w:pPr>
              <w:rPr>
                <w:rFonts w:cs="Times New Roman"/>
              </w:rPr>
            </w:pPr>
            <w:proofErr w:type="spellStart"/>
            <w:r w:rsidRPr="00350AFA">
              <w:rPr>
                <w:rFonts w:cs="Times New Roman"/>
              </w:rPr>
              <w:t>Stambena</w:t>
            </w:r>
            <w:proofErr w:type="spellEnd"/>
            <w:r w:rsidRPr="00350AFA">
              <w:rPr>
                <w:rFonts w:cs="Times New Roman"/>
              </w:rPr>
              <w:t xml:space="preserve"> </w:t>
            </w:r>
            <w:proofErr w:type="spellStart"/>
            <w:r w:rsidR="006124C1">
              <w:rPr>
                <w:rFonts w:cs="Times New Roman"/>
              </w:rPr>
              <w:t>namjena</w:t>
            </w:r>
            <w:proofErr w:type="spellEnd"/>
          </w:p>
        </w:tc>
        <w:tc>
          <w:tcPr>
            <w:tcW w:w="4536" w:type="dxa"/>
          </w:tcPr>
          <w:p w14:paraId="62DC3DBA" w14:textId="77777777" w:rsidR="005E3543" w:rsidRPr="00350AFA" w:rsidRDefault="005E3543" w:rsidP="0059769F">
            <w:pPr>
              <w:jc w:val="center"/>
              <w:rPr>
                <w:rFonts w:cs="Times New Roman"/>
              </w:rPr>
            </w:pPr>
            <w:r w:rsidRPr="00350AFA">
              <w:rPr>
                <w:rFonts w:cs="Times New Roman"/>
              </w:rPr>
              <w:t>30</w:t>
            </w:r>
          </w:p>
        </w:tc>
      </w:tr>
    </w:tbl>
    <w:p w14:paraId="441570FB" w14:textId="40B9079B" w:rsidR="00012CB5" w:rsidRDefault="00012CB5" w:rsidP="005E3543">
      <w:pPr>
        <w:rPr>
          <w:i/>
          <w:lang w:val="hr-HR"/>
        </w:rPr>
      </w:pPr>
      <w:r w:rsidRPr="00350AFA">
        <w:rPr>
          <w:i/>
          <w:lang w:val="hr-HR"/>
        </w:rPr>
        <w:t>Napomena: U načelu horizontalna rasvijetljenost pješačkog prijelaza ne smije biti manja od 1,5x od srednje rasvijetljenosti prometnice sa svake strane pješačkog prijelaza</w:t>
      </w:r>
    </w:p>
    <w:p w14:paraId="1565A7D8" w14:textId="46F973AC" w:rsidR="006124C1" w:rsidRDefault="006124C1" w:rsidP="006124C1">
      <w:pPr>
        <w:spacing w:after="120" w:line="240" w:lineRule="auto"/>
        <w:rPr>
          <w:i/>
          <w:lang w:val="hr-HR"/>
        </w:rPr>
      </w:pPr>
    </w:p>
    <w:p w14:paraId="6AD755A3" w14:textId="77777777" w:rsidR="000C2A04" w:rsidRDefault="000C2A04" w:rsidP="006124C1">
      <w:pPr>
        <w:spacing w:after="120" w:line="240" w:lineRule="auto"/>
        <w:rPr>
          <w:i/>
          <w:lang w:val="hr-HR"/>
        </w:rPr>
      </w:pPr>
    </w:p>
    <w:p w14:paraId="059C37F6" w14:textId="77777777" w:rsidR="005E3543" w:rsidRPr="00350AFA" w:rsidRDefault="005E3543" w:rsidP="000C2A04">
      <w:pPr>
        <w:pStyle w:val="Naslov1"/>
        <w:spacing w:before="0" w:line="240" w:lineRule="auto"/>
        <w:rPr>
          <w:b/>
          <w:lang w:val="hr-HR"/>
        </w:rPr>
      </w:pPr>
      <w:r w:rsidRPr="00350AFA">
        <w:rPr>
          <w:b/>
          <w:lang w:val="hr-HR"/>
        </w:rPr>
        <w:t>PRILOG IV.</w:t>
      </w:r>
    </w:p>
    <w:p w14:paraId="3852D5D2" w14:textId="77777777" w:rsidR="000C2A04" w:rsidRDefault="000C2A04" w:rsidP="000C2A04">
      <w:pPr>
        <w:spacing w:after="0" w:line="240" w:lineRule="auto"/>
        <w:rPr>
          <w:lang w:val="hr-HR"/>
        </w:rPr>
      </w:pPr>
    </w:p>
    <w:p w14:paraId="551B859F" w14:textId="0BFE5D6D" w:rsidR="005E3543" w:rsidRPr="00350AFA" w:rsidRDefault="005E3543" w:rsidP="005E3543">
      <w:pPr>
        <w:rPr>
          <w:lang w:val="hr-HR"/>
        </w:rPr>
      </w:pPr>
      <w:r w:rsidRPr="00350AFA">
        <w:rPr>
          <w:lang w:val="hr-HR"/>
        </w:rPr>
        <w:t>Tablica 8. Najviše dopuštene vrijednosti svjetline reklamnih vertikalnih površina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7"/>
        <w:gridCol w:w="991"/>
        <w:gridCol w:w="991"/>
        <w:gridCol w:w="1136"/>
        <w:gridCol w:w="1127"/>
      </w:tblGrid>
      <w:tr w:rsidR="00350AFA" w:rsidRPr="00350AFA" w14:paraId="31EF8E6B" w14:textId="77777777" w:rsidTr="0005471F">
        <w:trPr>
          <w:trHeight w:val="311"/>
        </w:trPr>
        <w:tc>
          <w:tcPr>
            <w:tcW w:w="1092" w:type="pct"/>
            <w:vMerge w:val="restart"/>
            <w:shd w:val="clear" w:color="auto" w:fill="auto"/>
            <w:vAlign w:val="center"/>
            <w:hideMark/>
          </w:tcPr>
          <w:p w14:paraId="1BE219E1" w14:textId="77777777" w:rsidR="005E3543" w:rsidRPr="00350AFA" w:rsidRDefault="005E3543" w:rsidP="005E354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Vrsta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reklamne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površine</w:t>
            </w:r>
            <w:proofErr w:type="spellEnd"/>
          </w:p>
        </w:tc>
        <w:tc>
          <w:tcPr>
            <w:tcW w:w="1565" w:type="pct"/>
            <w:vMerge w:val="restart"/>
            <w:shd w:val="clear" w:color="auto" w:fill="auto"/>
            <w:vAlign w:val="center"/>
            <w:hideMark/>
          </w:tcPr>
          <w:p w14:paraId="4C077C8B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Dopušteni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položaj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svjetiljaka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/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smjer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svjetla</w:t>
            </w:r>
            <w:proofErr w:type="spellEnd"/>
          </w:p>
        </w:tc>
        <w:tc>
          <w:tcPr>
            <w:tcW w:w="2343" w:type="pct"/>
            <w:gridSpan w:val="4"/>
            <w:shd w:val="clear" w:color="auto" w:fill="auto"/>
            <w:noWrap/>
            <w:vAlign w:val="bottom"/>
            <w:hideMark/>
          </w:tcPr>
          <w:p w14:paraId="5641B5FD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strike/>
                <w:lang w:eastAsia="hr-HR"/>
              </w:rPr>
            </w:pPr>
            <w:r w:rsidRPr="00350AFA">
              <w:rPr>
                <w:rFonts w:eastAsia="Times New Roman" w:cs="Times New Roman"/>
                <w:b/>
                <w:lang w:eastAsia="hr-HR"/>
              </w:rPr>
              <w:t xml:space="preserve">Zone </w:t>
            </w:r>
            <w:proofErr w:type="spellStart"/>
            <w:r w:rsidRPr="00350AFA">
              <w:rPr>
                <w:rFonts w:eastAsia="Times New Roman" w:cs="Times New Roman"/>
                <w:b/>
                <w:lang w:eastAsia="hr-HR"/>
              </w:rPr>
              <w:t>rasvijetljenosti</w:t>
            </w:r>
            <w:proofErr w:type="spellEnd"/>
          </w:p>
        </w:tc>
      </w:tr>
      <w:tr w:rsidR="00350AFA" w:rsidRPr="00350AFA" w14:paraId="52E5EC9B" w14:textId="77777777" w:rsidTr="0005471F">
        <w:trPr>
          <w:trHeight w:val="47"/>
        </w:trPr>
        <w:tc>
          <w:tcPr>
            <w:tcW w:w="1092" w:type="pct"/>
            <w:vMerge/>
            <w:shd w:val="clear" w:color="auto" w:fill="auto"/>
            <w:vAlign w:val="center"/>
            <w:hideMark/>
          </w:tcPr>
          <w:p w14:paraId="4E375ABD" w14:textId="77777777" w:rsidR="005E3543" w:rsidRPr="00350AFA" w:rsidRDefault="005E3543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65" w:type="pct"/>
            <w:vMerge/>
            <w:shd w:val="clear" w:color="auto" w:fill="auto"/>
            <w:vAlign w:val="center"/>
            <w:hideMark/>
          </w:tcPr>
          <w:p w14:paraId="3CA0E385" w14:textId="77777777" w:rsidR="005E3543" w:rsidRPr="00350AFA" w:rsidRDefault="005E3543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14:paraId="03453D83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255760D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E1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739E91AF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547E9ED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E3 - E4</w:t>
            </w:r>
          </w:p>
        </w:tc>
      </w:tr>
      <w:tr w:rsidR="00350AFA" w:rsidRPr="00350AFA" w14:paraId="17C079C6" w14:textId="77777777" w:rsidTr="0005471F">
        <w:trPr>
          <w:trHeight w:val="311"/>
        </w:trPr>
        <w:tc>
          <w:tcPr>
            <w:tcW w:w="1092" w:type="pct"/>
            <w:shd w:val="clear" w:color="auto" w:fill="auto"/>
            <w:vAlign w:val="center"/>
            <w:hideMark/>
          </w:tcPr>
          <w:p w14:paraId="59B2E966" w14:textId="77777777" w:rsidR="005E3543" w:rsidRPr="00350AFA" w:rsidRDefault="005E3543" w:rsidP="0059769F">
            <w:pPr>
              <w:spacing w:after="0" w:line="240" w:lineRule="auto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Oglasni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panoi</w:t>
            </w:r>
            <w:proofErr w:type="spellEnd"/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3FB0C7E5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 xml:space="preserve">Na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gornjem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rubu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/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prema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dolje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BF16DDC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81090AC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E8B0B26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2737839A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strike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20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</w:tr>
      <w:tr w:rsidR="00350AFA" w:rsidRPr="00350AFA" w14:paraId="3134D8BD" w14:textId="77777777" w:rsidTr="0005471F">
        <w:trPr>
          <w:trHeight w:val="311"/>
        </w:trPr>
        <w:tc>
          <w:tcPr>
            <w:tcW w:w="1092" w:type="pct"/>
            <w:shd w:val="clear" w:color="auto" w:fill="auto"/>
            <w:vAlign w:val="center"/>
            <w:hideMark/>
          </w:tcPr>
          <w:p w14:paraId="4E0C57B4" w14:textId="77777777" w:rsidR="005E3543" w:rsidRPr="00350AFA" w:rsidRDefault="0005471F" w:rsidP="0059769F">
            <w:pPr>
              <w:spacing w:after="0" w:line="240" w:lineRule="auto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Mega display-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i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>*</w:t>
            </w: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4A8D65C3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Vlastiti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unutarnji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izvor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D85CDB9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131EA8F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30013D6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6505F92B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strike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20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</w:tr>
      <w:tr w:rsidR="00350AFA" w:rsidRPr="00350AFA" w14:paraId="4B7F3C2C" w14:textId="77777777" w:rsidTr="0005471F">
        <w:trPr>
          <w:trHeight w:val="327"/>
        </w:trPr>
        <w:tc>
          <w:tcPr>
            <w:tcW w:w="1092" w:type="pct"/>
            <w:shd w:val="clear" w:color="auto" w:fill="auto"/>
            <w:vAlign w:val="center"/>
            <w:hideMark/>
          </w:tcPr>
          <w:p w14:paraId="536B96A3" w14:textId="77777777" w:rsidR="005E3543" w:rsidRPr="00350AFA" w:rsidRDefault="005E3543" w:rsidP="0059769F">
            <w:pPr>
              <w:spacing w:after="0" w:line="240" w:lineRule="auto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lastRenderedPageBreak/>
              <w:t>Svjetleće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reklame</w:t>
            </w:r>
            <w:proofErr w:type="spellEnd"/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617ECC18" w14:textId="77777777" w:rsidR="005E3543" w:rsidRPr="00350AFA" w:rsidRDefault="005E3543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Vlastiti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unutarnji</w:t>
            </w:r>
            <w:proofErr w:type="spellEnd"/>
            <w:r w:rsidRPr="00350AFA">
              <w:rPr>
                <w:rFonts w:eastAsia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Cs/>
                <w:lang w:eastAsia="hr-HR"/>
              </w:rPr>
              <w:t>izvor</w:t>
            </w:r>
            <w:proofErr w:type="spellEnd"/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868AF9A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3257C97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02977F0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21EAE5D1" w14:textId="77777777" w:rsidR="005E3543" w:rsidRPr="00350AFA" w:rsidRDefault="005E3543" w:rsidP="0059769F">
            <w:pPr>
              <w:spacing w:after="0" w:line="240" w:lineRule="auto"/>
              <w:jc w:val="right"/>
              <w:rPr>
                <w:rFonts w:eastAsia="Times New Roman" w:cs="Times New Roman"/>
                <w:strike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20 cd/m</w:t>
            </w:r>
            <w:r w:rsidRPr="00350AFA">
              <w:rPr>
                <w:rFonts w:eastAsia="Times New Roman" w:cs="Times New Roman"/>
                <w:vertAlign w:val="superscript"/>
                <w:lang w:eastAsia="hr-HR"/>
              </w:rPr>
              <w:t>2</w:t>
            </w:r>
          </w:p>
        </w:tc>
      </w:tr>
    </w:tbl>
    <w:p w14:paraId="6B343521" w14:textId="77777777" w:rsidR="00611E52" w:rsidRPr="00422D9F" w:rsidRDefault="0005471F" w:rsidP="00611E52">
      <w:pPr>
        <w:spacing w:after="120"/>
        <w:ind w:firstLine="708"/>
        <w:rPr>
          <w:rFonts w:eastAsia="Times New Roman" w:cs="Times New Roman"/>
          <w:bCs/>
          <w:i/>
          <w:lang w:val="it-IT" w:eastAsia="hr-HR"/>
        </w:rPr>
      </w:pPr>
      <w:r w:rsidRPr="00422D9F">
        <w:rPr>
          <w:rFonts w:eastAsia="Times New Roman" w:cs="Times New Roman"/>
          <w:bCs/>
          <w:i/>
          <w:lang w:val="it-IT" w:eastAsia="hr-HR"/>
        </w:rPr>
        <w:t>*</w:t>
      </w:r>
      <w:proofErr w:type="spellStart"/>
      <w:r w:rsidR="00611E52" w:rsidRPr="00422D9F">
        <w:rPr>
          <w:rFonts w:eastAsia="Times New Roman" w:cs="Times New Roman"/>
          <w:bCs/>
          <w:i/>
          <w:lang w:val="it-IT" w:eastAsia="hr-HR"/>
        </w:rPr>
        <w:t>podrazumijeva</w:t>
      </w:r>
      <w:proofErr w:type="spellEnd"/>
      <w:r w:rsidR="00611E52" w:rsidRPr="00422D9F">
        <w:rPr>
          <w:rFonts w:eastAsia="Times New Roman" w:cs="Times New Roman"/>
          <w:bCs/>
          <w:i/>
          <w:lang w:val="it-IT" w:eastAsia="hr-HR"/>
        </w:rPr>
        <w:t xml:space="preserve"> se u </w:t>
      </w:r>
      <w:proofErr w:type="spellStart"/>
      <w:r w:rsidR="00611E52" w:rsidRPr="00422D9F">
        <w:rPr>
          <w:rFonts w:eastAsia="Times New Roman" w:cs="Times New Roman"/>
          <w:bCs/>
          <w:i/>
          <w:lang w:val="it-IT" w:eastAsia="hr-HR"/>
        </w:rPr>
        <w:t>noćnom</w:t>
      </w:r>
      <w:proofErr w:type="spellEnd"/>
      <w:r w:rsidR="00611E52" w:rsidRPr="00422D9F">
        <w:rPr>
          <w:rFonts w:eastAsia="Times New Roman" w:cs="Times New Roman"/>
          <w:bCs/>
          <w:i/>
          <w:lang w:val="it-IT" w:eastAsia="hr-HR"/>
        </w:rPr>
        <w:t xml:space="preserve"> </w:t>
      </w:r>
      <w:proofErr w:type="spellStart"/>
      <w:r w:rsidR="00611E52" w:rsidRPr="00422D9F">
        <w:rPr>
          <w:rFonts w:eastAsia="Times New Roman" w:cs="Times New Roman"/>
          <w:bCs/>
          <w:i/>
          <w:lang w:val="it-IT" w:eastAsia="hr-HR"/>
        </w:rPr>
        <w:t>režimu</w:t>
      </w:r>
      <w:proofErr w:type="spellEnd"/>
      <w:r w:rsidR="00611E52" w:rsidRPr="00422D9F">
        <w:rPr>
          <w:rFonts w:eastAsia="Times New Roman" w:cs="Times New Roman"/>
          <w:bCs/>
          <w:i/>
          <w:lang w:val="it-IT" w:eastAsia="hr-HR"/>
        </w:rPr>
        <w:t xml:space="preserve"> rada</w:t>
      </w:r>
    </w:p>
    <w:p w14:paraId="4CE72853" w14:textId="72208AFE" w:rsidR="00611E52" w:rsidRDefault="00012CB5" w:rsidP="005E3543">
      <w:pPr>
        <w:rPr>
          <w:i/>
          <w:lang w:val="hr-HR"/>
        </w:rPr>
      </w:pPr>
      <w:r w:rsidRPr="00350AFA">
        <w:rPr>
          <w:i/>
          <w:lang w:val="hr-HR"/>
        </w:rPr>
        <w:t>Napomena: sve predviđene vrijednosti treba iza sredine noći (</w:t>
      </w:r>
      <w:proofErr w:type="spellStart"/>
      <w:r w:rsidRPr="00350AFA">
        <w:rPr>
          <w:i/>
          <w:lang w:val="hr-HR"/>
        </w:rPr>
        <w:t>svjetlostaj</w:t>
      </w:r>
      <w:proofErr w:type="spellEnd"/>
      <w:r w:rsidRPr="00350AFA">
        <w:rPr>
          <w:i/>
          <w:lang w:val="hr-HR"/>
        </w:rPr>
        <w:t>) smanjiti za 50</w:t>
      </w:r>
      <w:r w:rsidR="00947200">
        <w:rPr>
          <w:i/>
          <w:lang w:val="hr-HR"/>
        </w:rPr>
        <w:t xml:space="preserve"> </w:t>
      </w:r>
      <w:r w:rsidRPr="00350AFA">
        <w:rPr>
          <w:i/>
          <w:lang w:val="hr-HR"/>
        </w:rPr>
        <w:t>% ili potpuno ugasiti</w:t>
      </w:r>
    </w:p>
    <w:p w14:paraId="658119BF" w14:textId="77777777" w:rsidR="004726BA" w:rsidRPr="00350AFA" w:rsidRDefault="004726BA" w:rsidP="006124C1">
      <w:pPr>
        <w:spacing w:line="240" w:lineRule="auto"/>
        <w:rPr>
          <w:i/>
          <w:lang w:val="hr-HR"/>
        </w:rPr>
      </w:pPr>
    </w:p>
    <w:p w14:paraId="5B02E360" w14:textId="77777777" w:rsidR="00611E52" w:rsidRPr="00350AFA" w:rsidRDefault="00611E52" w:rsidP="000C2A04">
      <w:pPr>
        <w:pStyle w:val="Naslov1"/>
        <w:spacing w:before="0" w:line="240" w:lineRule="auto"/>
        <w:rPr>
          <w:b/>
          <w:lang w:val="hr-HR"/>
        </w:rPr>
      </w:pPr>
      <w:r w:rsidRPr="00350AFA">
        <w:rPr>
          <w:b/>
          <w:lang w:val="hr-HR"/>
        </w:rPr>
        <w:t>PRILOG V.</w:t>
      </w:r>
    </w:p>
    <w:p w14:paraId="070F19A4" w14:textId="77777777" w:rsidR="000C2A04" w:rsidRDefault="000C2A04" w:rsidP="000C2A04">
      <w:pPr>
        <w:spacing w:after="0" w:line="240" w:lineRule="auto"/>
        <w:rPr>
          <w:lang w:val="hr-HR"/>
        </w:rPr>
      </w:pPr>
    </w:p>
    <w:p w14:paraId="18D9B0F2" w14:textId="0C648355" w:rsidR="00611E52" w:rsidRPr="00350AFA" w:rsidRDefault="000D1403" w:rsidP="00611E52">
      <w:pPr>
        <w:rPr>
          <w:lang w:val="hr-HR"/>
        </w:rPr>
      </w:pPr>
      <w:r w:rsidRPr="00350AFA">
        <w:rPr>
          <w:lang w:val="hr-HR"/>
        </w:rPr>
        <w:t>Tablica 9</w:t>
      </w:r>
      <w:r w:rsidR="007A6231" w:rsidRPr="00350AFA">
        <w:rPr>
          <w:lang w:val="hr-HR"/>
        </w:rPr>
        <w:t xml:space="preserve">. </w:t>
      </w:r>
      <w:r w:rsidR="00611E52" w:rsidRPr="00350AFA">
        <w:rPr>
          <w:lang w:val="hr-HR"/>
        </w:rPr>
        <w:t xml:space="preserve">Maksimalna rasvijetljenost manipulativnih i radnih površina koje su dio gradilišta, industrijskog postrojenja na otvorenom, skladišta na otvorenom i parkirališta uz velike sportske </w:t>
      </w:r>
      <w:r w:rsidR="006124C1">
        <w:rPr>
          <w:lang w:val="hr-HR"/>
        </w:rPr>
        <w:t>građevne</w:t>
      </w:r>
      <w:r w:rsidR="00611E52" w:rsidRPr="00350AFA">
        <w:rPr>
          <w:lang w:val="hr-HR"/>
        </w:rPr>
        <w:t xml:space="preserve"> [lx]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484"/>
        <w:gridCol w:w="735"/>
        <w:gridCol w:w="757"/>
        <w:gridCol w:w="709"/>
        <w:gridCol w:w="752"/>
        <w:gridCol w:w="693"/>
        <w:gridCol w:w="556"/>
        <w:gridCol w:w="556"/>
        <w:gridCol w:w="556"/>
        <w:gridCol w:w="694"/>
        <w:gridCol w:w="556"/>
        <w:gridCol w:w="1090"/>
      </w:tblGrid>
      <w:tr w:rsidR="00350AFA" w:rsidRPr="00350AFA" w14:paraId="657C0DE2" w14:textId="77777777" w:rsidTr="00753368">
        <w:trPr>
          <w:trHeight w:val="3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E9EF" w14:textId="77777777" w:rsidR="00611E52" w:rsidRPr="00422D9F" w:rsidRDefault="00611E52" w:rsidP="0059769F">
            <w:pPr>
              <w:spacing w:after="0" w:line="240" w:lineRule="auto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C749A" w14:textId="77777777" w:rsidR="00611E52" w:rsidRPr="00350AFA" w:rsidRDefault="007A6231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Za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vrijeme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odvijanja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aktivnosti</w:t>
            </w:r>
            <w:proofErr w:type="spellEnd"/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1EAD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Van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odvijanja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="007A6231" w:rsidRPr="00350AFA">
              <w:rPr>
                <w:rFonts w:eastAsia="Times New Roman" w:cs="Times New Roman"/>
                <w:b/>
                <w:bCs/>
                <w:lang w:eastAsia="hr-HR"/>
              </w:rPr>
              <w:t>aktivnosti</w:t>
            </w:r>
            <w:proofErr w:type="spellEnd"/>
            <w:r w:rsidR="007A6231"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8773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U</w:t>
            </w:r>
            <w:r w:rsidRPr="00350AFA">
              <w:rPr>
                <w:rFonts w:eastAsia="Times New Roman" w:cs="Times New Roman"/>
                <w:b/>
                <w:bCs/>
                <w:vertAlign w:val="subscript"/>
                <w:lang w:eastAsia="hr-HR"/>
              </w:rPr>
              <w:t>O</w:t>
            </w:r>
            <w:r w:rsidRPr="00350AFA">
              <w:rPr>
                <w:rFonts w:eastAsia="Times New Roman" w:cs="Times New Roman"/>
                <w:b/>
                <w:bCs/>
                <w:lang w:eastAsia="hr-HR"/>
              </w:rPr>
              <w:t>*</w:t>
            </w:r>
          </w:p>
        </w:tc>
      </w:tr>
      <w:tr w:rsidR="00350AFA" w:rsidRPr="00350AFA" w14:paraId="53CD3F66" w14:textId="77777777" w:rsidTr="00753368">
        <w:trPr>
          <w:trHeight w:val="27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F66" w14:textId="77777777" w:rsidR="00611E52" w:rsidRPr="00350AFA" w:rsidRDefault="00611E52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Zone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zaštite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6643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FBFE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2F71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D8AC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744F110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BD97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2E56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62F8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BA1B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7AF3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E4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6749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</w:tr>
      <w:tr w:rsidR="00350AFA" w:rsidRPr="00350AFA" w14:paraId="33CA3051" w14:textId="77777777" w:rsidTr="00753368">
        <w:trPr>
          <w:trHeight w:val="3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AD8" w14:textId="77777777" w:rsidR="00611E52" w:rsidRPr="00350AFA" w:rsidRDefault="00611E52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Gradilišta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AAB53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B75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E89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A7E1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8D3FB9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400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8602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C07D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3301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A507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B417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B931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0,1</w:t>
            </w:r>
          </w:p>
        </w:tc>
      </w:tr>
      <w:tr w:rsidR="00350AFA" w:rsidRPr="00350AFA" w14:paraId="40293FF5" w14:textId="77777777" w:rsidTr="00753368">
        <w:trPr>
          <w:trHeight w:val="3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102" w14:textId="77777777" w:rsidR="00611E52" w:rsidRPr="00350AFA" w:rsidRDefault="00611E52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Industrijska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postrojenja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54E8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9CC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2812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EFD0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71DE06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F4F63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868B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6CD3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476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8A59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25F6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0,25</w:t>
            </w:r>
          </w:p>
        </w:tc>
      </w:tr>
      <w:tr w:rsidR="00350AFA" w:rsidRPr="00350AFA" w14:paraId="3EA08F52" w14:textId="77777777" w:rsidTr="00753368">
        <w:trPr>
          <w:trHeight w:val="3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81EF" w14:textId="77777777" w:rsidR="00611E52" w:rsidRPr="00350AFA" w:rsidRDefault="00611E52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Skladišta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05ED4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CE9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24F0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369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200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BDF662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300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1F587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136A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50A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EEEE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E252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5707" w14:textId="77777777" w:rsidR="00611E52" w:rsidRPr="00350AFA" w:rsidRDefault="00611E52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350AFA">
              <w:rPr>
                <w:rFonts w:eastAsia="Times New Roman" w:cs="Times New Roman"/>
                <w:lang w:eastAsia="hr-HR"/>
              </w:rPr>
              <w:t>0,25</w:t>
            </w:r>
          </w:p>
        </w:tc>
      </w:tr>
    </w:tbl>
    <w:p w14:paraId="30A70638" w14:textId="77777777" w:rsidR="00753368" w:rsidRPr="00350AFA" w:rsidRDefault="007A6231" w:rsidP="006B6A38">
      <w:pPr>
        <w:ind w:left="708"/>
        <w:rPr>
          <w:rFonts w:cs="Times New Roman"/>
          <w:i/>
          <w:iCs/>
        </w:rPr>
      </w:pPr>
      <w:r w:rsidRPr="00350AFA">
        <w:rPr>
          <w:rFonts w:eastAsia="Times New Roman" w:cs="Times New Roman"/>
          <w:b/>
          <w:bCs/>
          <w:lang w:eastAsia="hr-HR"/>
        </w:rPr>
        <w:t>*</w:t>
      </w:r>
      <w:r w:rsidR="00753368" w:rsidRPr="00350AFA">
        <w:rPr>
          <w:rFonts w:cs="Times New Roman"/>
          <w:i/>
          <w:iCs/>
        </w:rPr>
        <w:t>U</w:t>
      </w:r>
      <w:r w:rsidR="00753368" w:rsidRPr="00350AFA">
        <w:rPr>
          <w:rFonts w:cs="Times New Roman"/>
          <w:i/>
          <w:iCs/>
          <w:vertAlign w:val="subscript"/>
        </w:rPr>
        <w:t>O</w:t>
      </w:r>
      <w:r w:rsidRPr="00350AFA">
        <w:rPr>
          <w:rFonts w:cs="Times New Roman"/>
          <w:i/>
          <w:iCs/>
        </w:rPr>
        <w:t xml:space="preserve"> – </w:t>
      </w:r>
      <w:proofErr w:type="spellStart"/>
      <w:r w:rsidRPr="00350AFA">
        <w:rPr>
          <w:rFonts w:cs="Times New Roman"/>
          <w:i/>
          <w:iCs/>
        </w:rPr>
        <w:t>srednja</w:t>
      </w:r>
      <w:proofErr w:type="spellEnd"/>
      <w:r w:rsidRPr="00350AFA">
        <w:rPr>
          <w:rFonts w:cs="Times New Roman"/>
          <w:i/>
          <w:iCs/>
        </w:rPr>
        <w:t xml:space="preserve"> </w:t>
      </w:r>
      <w:proofErr w:type="spellStart"/>
      <w:r w:rsidR="00753368" w:rsidRPr="00350AFA">
        <w:rPr>
          <w:rFonts w:cs="Times New Roman"/>
          <w:i/>
          <w:iCs/>
        </w:rPr>
        <w:t>jednolikost</w:t>
      </w:r>
      <w:proofErr w:type="spellEnd"/>
      <w:r w:rsidR="00753368" w:rsidRPr="00350AFA">
        <w:rPr>
          <w:rFonts w:cs="Times New Roman"/>
          <w:i/>
          <w:iCs/>
        </w:rPr>
        <w:t xml:space="preserve"> </w:t>
      </w:r>
      <w:proofErr w:type="spellStart"/>
      <w:r w:rsidR="00753368" w:rsidRPr="00350AFA">
        <w:rPr>
          <w:rFonts w:cs="Times New Roman"/>
          <w:i/>
          <w:iCs/>
        </w:rPr>
        <w:t>rasvijetlj</w:t>
      </w:r>
      <w:r w:rsidR="006B6A38" w:rsidRPr="00350AFA">
        <w:rPr>
          <w:rFonts w:cs="Times New Roman"/>
          <w:i/>
          <w:iCs/>
        </w:rPr>
        <w:t>enosti</w:t>
      </w:r>
      <w:proofErr w:type="spellEnd"/>
    </w:p>
    <w:p w14:paraId="12A66C7C" w14:textId="77777777" w:rsidR="006B6A38" w:rsidRPr="00350AFA" w:rsidRDefault="006B6A38" w:rsidP="006124C1">
      <w:pPr>
        <w:spacing w:line="240" w:lineRule="auto"/>
        <w:ind w:left="708"/>
        <w:rPr>
          <w:rFonts w:cs="Times New Roman"/>
          <w:i/>
          <w:iCs/>
        </w:rPr>
      </w:pPr>
    </w:p>
    <w:p w14:paraId="159C983B" w14:textId="77777777" w:rsidR="00753368" w:rsidRPr="00350AFA" w:rsidRDefault="00753368" w:rsidP="000C2A04">
      <w:pPr>
        <w:pStyle w:val="Naslov1"/>
        <w:spacing w:before="0" w:line="240" w:lineRule="auto"/>
        <w:rPr>
          <w:b/>
          <w:lang w:val="hr-HR"/>
        </w:rPr>
      </w:pPr>
      <w:r w:rsidRPr="00350AFA">
        <w:rPr>
          <w:b/>
          <w:lang w:val="hr-HR"/>
        </w:rPr>
        <w:t>PRILOG VI.</w:t>
      </w:r>
    </w:p>
    <w:p w14:paraId="58116FA5" w14:textId="77777777" w:rsidR="000C2A04" w:rsidRDefault="000C2A04" w:rsidP="000C2A04">
      <w:pPr>
        <w:autoSpaceDE w:val="0"/>
        <w:autoSpaceDN w:val="0"/>
        <w:adjustRightInd w:val="0"/>
        <w:spacing w:after="0" w:line="240" w:lineRule="auto"/>
        <w:rPr>
          <w:rFonts w:cs="Times New Roman"/>
          <w:lang w:val="hr-HR"/>
        </w:rPr>
      </w:pPr>
    </w:p>
    <w:p w14:paraId="3388D857" w14:textId="6957602C" w:rsidR="00753368" w:rsidRPr="00422D9F" w:rsidRDefault="00753368" w:rsidP="00753368">
      <w:pPr>
        <w:autoSpaceDE w:val="0"/>
        <w:autoSpaceDN w:val="0"/>
        <w:adjustRightInd w:val="0"/>
        <w:rPr>
          <w:rFonts w:cs="Times New Roman"/>
          <w:lang w:val="hr-HR"/>
        </w:rPr>
      </w:pPr>
      <w:r w:rsidRPr="00422D9F">
        <w:rPr>
          <w:rFonts w:cs="Times New Roman"/>
          <w:lang w:val="hr-HR"/>
        </w:rPr>
        <w:t xml:space="preserve">Tablica </w:t>
      </w:r>
      <w:r w:rsidR="000D1403" w:rsidRPr="00422D9F">
        <w:rPr>
          <w:rFonts w:cs="Times New Roman"/>
          <w:lang w:val="hr-HR"/>
        </w:rPr>
        <w:t>10</w:t>
      </w:r>
      <w:r w:rsidRPr="00422D9F">
        <w:rPr>
          <w:rFonts w:cs="Times New Roman"/>
          <w:lang w:val="hr-HR"/>
        </w:rPr>
        <w:t>. Maksimalna razina horizontalne rasvijetljenosti vodnih površina uzrokovana cestovnom rasvjetom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740"/>
        <w:gridCol w:w="1903"/>
        <w:gridCol w:w="837"/>
        <w:gridCol w:w="839"/>
        <w:gridCol w:w="881"/>
        <w:gridCol w:w="883"/>
        <w:gridCol w:w="979"/>
      </w:tblGrid>
      <w:tr w:rsidR="00350AFA" w:rsidRPr="00350AFA" w14:paraId="4AB7C99A" w14:textId="77777777" w:rsidTr="0059769F">
        <w:trPr>
          <w:trHeight w:val="300"/>
        </w:trPr>
        <w:tc>
          <w:tcPr>
            <w:tcW w:w="1512" w:type="pct"/>
            <w:vMerge w:val="restart"/>
            <w:shd w:val="clear" w:color="auto" w:fill="auto"/>
            <w:vAlign w:val="center"/>
            <w:hideMark/>
          </w:tcPr>
          <w:p w14:paraId="23E05155" w14:textId="77777777" w:rsidR="00753368" w:rsidRPr="00350AFA" w:rsidRDefault="00753368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Maksimalne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vrijednosti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rasvijetljenosti</w:t>
            </w:r>
            <w:proofErr w:type="spellEnd"/>
          </w:p>
        </w:tc>
        <w:tc>
          <w:tcPr>
            <w:tcW w:w="1050" w:type="pct"/>
            <w:vMerge w:val="restart"/>
            <w:shd w:val="clear" w:color="auto" w:fill="auto"/>
            <w:vAlign w:val="center"/>
            <w:hideMark/>
          </w:tcPr>
          <w:p w14:paraId="6F9CE78B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Vrijeme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primjene</w:t>
            </w:r>
            <w:proofErr w:type="spellEnd"/>
          </w:p>
        </w:tc>
        <w:tc>
          <w:tcPr>
            <w:tcW w:w="2439" w:type="pct"/>
            <w:gridSpan w:val="5"/>
          </w:tcPr>
          <w:p w14:paraId="716BAC24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350AFA">
              <w:rPr>
                <w:rFonts w:eastAsia="Times New Roman" w:cs="Times New Roman"/>
                <w:b/>
                <w:lang w:eastAsia="hr-HR"/>
              </w:rPr>
              <w:t xml:space="preserve">Zone </w:t>
            </w:r>
            <w:proofErr w:type="spellStart"/>
            <w:r w:rsidRPr="00350AFA">
              <w:rPr>
                <w:rFonts w:eastAsia="Times New Roman" w:cs="Times New Roman"/>
                <w:b/>
                <w:lang w:eastAsia="hr-HR"/>
              </w:rPr>
              <w:t>rasvijetljenosti</w:t>
            </w:r>
            <w:proofErr w:type="spellEnd"/>
          </w:p>
        </w:tc>
      </w:tr>
      <w:tr w:rsidR="00350AFA" w:rsidRPr="00350AFA" w14:paraId="4276A168" w14:textId="77777777" w:rsidTr="0059769F">
        <w:trPr>
          <w:trHeight w:val="46"/>
        </w:trPr>
        <w:tc>
          <w:tcPr>
            <w:tcW w:w="15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BE01C6" w14:textId="77777777" w:rsidR="00753368" w:rsidRPr="00350AFA" w:rsidRDefault="00753368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0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56C0D4" w14:textId="77777777" w:rsidR="00753368" w:rsidRPr="00350AFA" w:rsidRDefault="00753368" w:rsidP="0059769F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5E304BD2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E0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A13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A599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E2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9A74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E3 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0CA3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350AFA">
              <w:rPr>
                <w:rFonts w:eastAsia="Times New Roman" w:cs="Times New Roman"/>
                <w:b/>
                <w:bCs/>
                <w:lang w:eastAsia="hr-HR"/>
              </w:rPr>
              <w:t>E4</w:t>
            </w:r>
          </w:p>
        </w:tc>
      </w:tr>
      <w:tr w:rsidR="00350AFA" w:rsidRPr="00350AFA" w14:paraId="1E1D60AE" w14:textId="77777777" w:rsidTr="0059769F">
        <w:trPr>
          <w:trHeight w:val="350"/>
        </w:trPr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1AE49A" w14:textId="77777777" w:rsidR="00753368" w:rsidRPr="00350AFA" w:rsidRDefault="00753368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Rasvijetljenost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površine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0CF46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lang w:eastAsia="hr-HR"/>
              </w:rPr>
              <w:t>Prije</w:t>
            </w:r>
            <w:proofErr w:type="spellEnd"/>
            <w:r w:rsidRPr="00350AFA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lang w:eastAsia="hr-HR"/>
              </w:rPr>
              <w:t>svjetlostaja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C766A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 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78D02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5 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97106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7 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1D137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4033F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10</w:t>
            </w:r>
          </w:p>
        </w:tc>
      </w:tr>
      <w:tr w:rsidR="00753368" w:rsidRPr="00350AFA" w14:paraId="56DC0070" w14:textId="77777777" w:rsidTr="0059769F">
        <w:trPr>
          <w:trHeight w:val="316"/>
        </w:trPr>
        <w:tc>
          <w:tcPr>
            <w:tcW w:w="1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2B00D" w14:textId="77777777" w:rsidR="00753368" w:rsidRPr="00350AFA" w:rsidRDefault="00753368" w:rsidP="0059769F">
            <w:pPr>
              <w:spacing w:after="0" w:line="240" w:lineRule="auto"/>
              <w:rPr>
                <w:rFonts w:eastAsia="Times New Roman" w:cs="Times New Roman"/>
                <w:b/>
                <w:bCs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Rasvijetljenost</w:t>
            </w:r>
            <w:proofErr w:type="spellEnd"/>
            <w:r w:rsidRPr="00350AFA">
              <w:rPr>
                <w:rFonts w:eastAsia="Times New Roman" w:cs="Times New Roman"/>
                <w:b/>
                <w:bCs/>
                <w:lang w:eastAsia="hr-HR"/>
              </w:rPr>
              <w:t xml:space="preserve"> </w:t>
            </w:r>
            <w:proofErr w:type="spellStart"/>
            <w:r w:rsidRPr="00350AFA">
              <w:rPr>
                <w:rFonts w:eastAsia="Times New Roman" w:cs="Times New Roman"/>
                <w:b/>
                <w:bCs/>
                <w:lang w:eastAsia="hr-HR"/>
              </w:rPr>
              <w:t>površine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8CF72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proofErr w:type="spellStart"/>
            <w:r w:rsidRPr="00350AFA">
              <w:rPr>
                <w:rFonts w:eastAsia="Times New Roman" w:cs="Times New Roman"/>
                <w:lang w:eastAsia="hr-HR"/>
              </w:rPr>
              <w:t>Svjetlostaj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773B1164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 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72662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 xml:space="preserve">0 </w:t>
            </w: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85D97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1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B111E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C8CA2" w14:textId="77777777" w:rsidR="00753368" w:rsidRPr="00350AFA" w:rsidRDefault="00753368" w:rsidP="0059769F">
            <w:pPr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lang w:eastAsia="hr-HR"/>
              </w:rPr>
            </w:pPr>
            <w:r w:rsidRPr="00350AFA">
              <w:rPr>
                <w:rFonts w:eastAsia="Times New Roman" w:cs="Times New Roman"/>
                <w:bCs/>
                <w:lang w:eastAsia="hr-HR"/>
              </w:rPr>
              <w:t>3</w:t>
            </w:r>
          </w:p>
        </w:tc>
      </w:tr>
    </w:tbl>
    <w:p w14:paraId="20E85729" w14:textId="77777777" w:rsidR="000C2A04" w:rsidRDefault="000C2A04" w:rsidP="00753368">
      <w:pPr>
        <w:pStyle w:val="Naslov1"/>
        <w:rPr>
          <w:b/>
          <w:lang w:val="hr-HR"/>
        </w:rPr>
      </w:pPr>
    </w:p>
    <w:p w14:paraId="78EC4F60" w14:textId="382FE81C" w:rsidR="00753368" w:rsidRDefault="00753368" w:rsidP="000C2A04">
      <w:pPr>
        <w:pStyle w:val="Naslov1"/>
        <w:spacing w:before="0" w:line="240" w:lineRule="auto"/>
        <w:rPr>
          <w:b/>
          <w:lang w:val="hr-HR"/>
        </w:rPr>
      </w:pPr>
      <w:r w:rsidRPr="00350AFA">
        <w:rPr>
          <w:b/>
          <w:lang w:val="hr-HR"/>
        </w:rPr>
        <w:t>PRILOG VII.</w:t>
      </w:r>
    </w:p>
    <w:p w14:paraId="61BC3306" w14:textId="77777777" w:rsidR="000C2A04" w:rsidRDefault="000C2A04" w:rsidP="000C2A04">
      <w:pPr>
        <w:spacing w:after="0" w:line="240" w:lineRule="auto"/>
        <w:rPr>
          <w:lang w:val="hr-HR"/>
        </w:rPr>
      </w:pPr>
    </w:p>
    <w:p w14:paraId="1CAE1D33" w14:textId="2FF4E9DB" w:rsidR="00753368" w:rsidRPr="00350AFA" w:rsidRDefault="000D1403" w:rsidP="00753368">
      <w:pPr>
        <w:rPr>
          <w:lang w:val="hr-HR"/>
        </w:rPr>
      </w:pPr>
      <w:r w:rsidRPr="00350AFA">
        <w:rPr>
          <w:lang w:val="hr-HR"/>
        </w:rPr>
        <w:t>Tablica 11</w:t>
      </w:r>
      <w:r w:rsidR="00753368" w:rsidRPr="00350AFA">
        <w:rPr>
          <w:lang w:val="hr-HR"/>
        </w:rPr>
        <w:t>. Polumjeri zaštitnih zona i rasvijetljenost neba oko zvjezdarnica</w:t>
      </w:r>
    </w:p>
    <w:tbl>
      <w:tblPr>
        <w:tblStyle w:val="Reetkatablice"/>
        <w:tblW w:w="9214" w:type="dxa"/>
        <w:jc w:val="center"/>
        <w:tblLook w:val="04A0" w:firstRow="1" w:lastRow="0" w:firstColumn="1" w:lastColumn="0" w:noHBand="0" w:noVBand="1"/>
      </w:tblPr>
      <w:tblGrid>
        <w:gridCol w:w="1293"/>
        <w:gridCol w:w="1316"/>
        <w:gridCol w:w="1053"/>
        <w:gridCol w:w="1112"/>
        <w:gridCol w:w="1388"/>
        <w:gridCol w:w="1526"/>
        <w:gridCol w:w="1526"/>
      </w:tblGrid>
      <w:tr w:rsidR="00350AFA" w:rsidRPr="00422D9F" w14:paraId="3E1EED7D" w14:textId="77777777" w:rsidTr="00753368">
        <w:trPr>
          <w:jc w:val="center"/>
        </w:trPr>
        <w:tc>
          <w:tcPr>
            <w:tcW w:w="1155" w:type="dxa"/>
            <w:vMerge w:val="restart"/>
          </w:tcPr>
          <w:p w14:paraId="5EA2E2CD" w14:textId="77777777" w:rsidR="00753368" w:rsidRPr="00350AFA" w:rsidRDefault="00753368" w:rsidP="0059769F">
            <w:pPr>
              <w:rPr>
                <w:rFonts w:cs="Times New Roman"/>
                <w:b/>
              </w:rPr>
            </w:pPr>
            <w:proofErr w:type="spellStart"/>
            <w:r w:rsidRPr="00350AFA">
              <w:rPr>
                <w:rFonts w:cs="Times New Roman"/>
                <w:b/>
              </w:rPr>
              <w:t>Vrsta</w:t>
            </w:r>
            <w:proofErr w:type="spellEnd"/>
          </w:p>
        </w:tc>
        <w:tc>
          <w:tcPr>
            <w:tcW w:w="1316" w:type="dxa"/>
            <w:vMerge w:val="restart"/>
          </w:tcPr>
          <w:p w14:paraId="29E3B1EF" w14:textId="77777777" w:rsidR="00753368" w:rsidRPr="00350AFA" w:rsidRDefault="00753368" w:rsidP="00753368">
            <w:pPr>
              <w:jc w:val="center"/>
              <w:rPr>
                <w:rFonts w:cs="Times New Roman"/>
                <w:b/>
              </w:rPr>
            </w:pPr>
            <w:proofErr w:type="spellStart"/>
            <w:r w:rsidRPr="00350AFA">
              <w:rPr>
                <w:rFonts w:cs="Times New Roman"/>
                <w:b/>
              </w:rPr>
              <w:t>Mjesto</w:t>
            </w:r>
            <w:proofErr w:type="spellEnd"/>
          </w:p>
        </w:tc>
        <w:tc>
          <w:tcPr>
            <w:tcW w:w="6743" w:type="dxa"/>
            <w:gridSpan w:val="5"/>
          </w:tcPr>
          <w:p w14:paraId="1F2DE10A" w14:textId="62EB5204" w:rsidR="00753368" w:rsidRPr="00422D9F" w:rsidRDefault="00753368" w:rsidP="0059769F">
            <w:pPr>
              <w:jc w:val="center"/>
              <w:rPr>
                <w:rFonts w:cs="Times New Roman"/>
                <w:b/>
                <w:lang w:val="it-IT"/>
              </w:rPr>
            </w:pPr>
            <w:proofErr w:type="spellStart"/>
            <w:r w:rsidRPr="00422D9F">
              <w:rPr>
                <w:rFonts w:cs="Times New Roman"/>
                <w:b/>
                <w:lang w:val="it-IT"/>
              </w:rPr>
              <w:t>Polumjeri</w:t>
            </w:r>
            <w:proofErr w:type="spellEnd"/>
            <w:r w:rsidRPr="00422D9F">
              <w:rPr>
                <w:rFonts w:cs="Times New Roman"/>
                <w:b/>
                <w:lang w:val="it-IT"/>
              </w:rPr>
              <w:t xml:space="preserve"> </w:t>
            </w:r>
            <w:proofErr w:type="spellStart"/>
            <w:r w:rsidRPr="00422D9F">
              <w:rPr>
                <w:rFonts w:cs="Times New Roman"/>
                <w:b/>
                <w:lang w:val="it-IT"/>
              </w:rPr>
              <w:t>zaštitnih</w:t>
            </w:r>
            <w:proofErr w:type="spellEnd"/>
            <w:r w:rsidRPr="00422D9F">
              <w:rPr>
                <w:rFonts w:cs="Times New Roman"/>
                <w:b/>
                <w:lang w:val="it-IT"/>
              </w:rPr>
              <w:t xml:space="preserve"> zona i Zone </w:t>
            </w:r>
            <w:proofErr w:type="spellStart"/>
            <w:r w:rsidRPr="00422D9F">
              <w:rPr>
                <w:rFonts w:cs="Times New Roman"/>
                <w:b/>
                <w:lang w:val="it-IT"/>
              </w:rPr>
              <w:t>rasvijetljenosti</w:t>
            </w:r>
            <w:proofErr w:type="spellEnd"/>
            <w:r w:rsidR="00B601D4">
              <w:rPr>
                <w:rFonts w:cs="Times New Roman"/>
                <w:b/>
                <w:lang w:val="it-IT"/>
              </w:rPr>
              <w:t xml:space="preserve"> [m]</w:t>
            </w:r>
          </w:p>
        </w:tc>
      </w:tr>
      <w:tr w:rsidR="00350AFA" w:rsidRPr="00350AFA" w14:paraId="2320069D" w14:textId="77777777" w:rsidTr="00753368">
        <w:trPr>
          <w:jc w:val="center"/>
        </w:trPr>
        <w:tc>
          <w:tcPr>
            <w:tcW w:w="1155" w:type="dxa"/>
            <w:vMerge/>
          </w:tcPr>
          <w:p w14:paraId="4389985F" w14:textId="77777777" w:rsidR="00753368" w:rsidRPr="00422D9F" w:rsidRDefault="00753368" w:rsidP="0059769F">
            <w:pPr>
              <w:rPr>
                <w:rFonts w:cs="Times New Roman"/>
                <w:lang w:val="it-IT"/>
              </w:rPr>
            </w:pPr>
          </w:p>
        </w:tc>
        <w:tc>
          <w:tcPr>
            <w:tcW w:w="1316" w:type="dxa"/>
            <w:vMerge/>
          </w:tcPr>
          <w:p w14:paraId="10A744B0" w14:textId="77777777" w:rsidR="00753368" w:rsidRPr="00422D9F" w:rsidRDefault="00753368" w:rsidP="0059769F">
            <w:pPr>
              <w:rPr>
                <w:rFonts w:cs="Times New Roman"/>
                <w:lang w:val="it-IT"/>
              </w:rPr>
            </w:pPr>
          </w:p>
        </w:tc>
        <w:tc>
          <w:tcPr>
            <w:tcW w:w="1073" w:type="dxa"/>
          </w:tcPr>
          <w:p w14:paraId="7C02D50C" w14:textId="77777777" w:rsidR="00753368" w:rsidRPr="00350AFA" w:rsidRDefault="00753368" w:rsidP="00753368">
            <w:pPr>
              <w:jc w:val="center"/>
              <w:rPr>
                <w:rFonts w:cs="Times New Roman"/>
                <w:b/>
              </w:rPr>
            </w:pPr>
            <w:r w:rsidRPr="00350AFA">
              <w:rPr>
                <w:rFonts w:cs="Times New Roman"/>
                <w:b/>
              </w:rPr>
              <w:t>E0</w:t>
            </w:r>
          </w:p>
        </w:tc>
        <w:tc>
          <w:tcPr>
            <w:tcW w:w="1134" w:type="dxa"/>
          </w:tcPr>
          <w:p w14:paraId="13B427A5" w14:textId="77777777" w:rsidR="00753368" w:rsidRPr="00350AFA" w:rsidRDefault="00753368" w:rsidP="00753368">
            <w:pPr>
              <w:jc w:val="center"/>
              <w:rPr>
                <w:rFonts w:cs="Times New Roman"/>
                <w:b/>
              </w:rPr>
            </w:pPr>
            <w:r w:rsidRPr="00350AFA">
              <w:rPr>
                <w:rFonts w:cs="Times New Roman"/>
                <w:b/>
              </w:rPr>
              <w:t>E1</w:t>
            </w:r>
          </w:p>
        </w:tc>
        <w:tc>
          <w:tcPr>
            <w:tcW w:w="1417" w:type="dxa"/>
          </w:tcPr>
          <w:p w14:paraId="0161A935" w14:textId="77777777" w:rsidR="00753368" w:rsidRPr="00350AFA" w:rsidRDefault="00753368" w:rsidP="00753368">
            <w:pPr>
              <w:jc w:val="center"/>
              <w:rPr>
                <w:rFonts w:cs="Times New Roman"/>
                <w:b/>
              </w:rPr>
            </w:pPr>
            <w:r w:rsidRPr="00350AFA">
              <w:rPr>
                <w:rFonts w:cs="Times New Roman"/>
                <w:b/>
              </w:rPr>
              <w:t>E2</w:t>
            </w:r>
          </w:p>
        </w:tc>
        <w:tc>
          <w:tcPr>
            <w:tcW w:w="1560" w:type="dxa"/>
          </w:tcPr>
          <w:p w14:paraId="1AA4F594" w14:textId="77777777" w:rsidR="00753368" w:rsidRPr="00350AFA" w:rsidRDefault="00753368" w:rsidP="00753368">
            <w:pPr>
              <w:jc w:val="center"/>
              <w:rPr>
                <w:rFonts w:cs="Times New Roman"/>
                <w:b/>
              </w:rPr>
            </w:pPr>
            <w:r w:rsidRPr="00350AFA">
              <w:rPr>
                <w:rFonts w:cs="Times New Roman"/>
                <w:b/>
              </w:rPr>
              <w:t>E3</w:t>
            </w:r>
          </w:p>
        </w:tc>
        <w:tc>
          <w:tcPr>
            <w:tcW w:w="1559" w:type="dxa"/>
          </w:tcPr>
          <w:p w14:paraId="456DDF65" w14:textId="77777777" w:rsidR="00753368" w:rsidRPr="00350AFA" w:rsidRDefault="00753368" w:rsidP="00753368">
            <w:pPr>
              <w:jc w:val="center"/>
              <w:rPr>
                <w:rFonts w:cs="Times New Roman"/>
                <w:b/>
              </w:rPr>
            </w:pPr>
            <w:r w:rsidRPr="00350AFA">
              <w:rPr>
                <w:rFonts w:cs="Times New Roman"/>
                <w:b/>
              </w:rPr>
              <w:t>E4</w:t>
            </w:r>
          </w:p>
        </w:tc>
      </w:tr>
      <w:tr w:rsidR="00350AFA" w:rsidRPr="00350AFA" w14:paraId="6BD03663" w14:textId="77777777" w:rsidTr="00753368">
        <w:trPr>
          <w:jc w:val="center"/>
        </w:trPr>
        <w:tc>
          <w:tcPr>
            <w:tcW w:w="1155" w:type="dxa"/>
            <w:vAlign w:val="center"/>
          </w:tcPr>
          <w:p w14:paraId="1EAA79D2" w14:textId="77777777" w:rsidR="00753368" w:rsidRPr="00350AFA" w:rsidRDefault="00753368" w:rsidP="00753368">
            <w:pPr>
              <w:jc w:val="left"/>
              <w:rPr>
                <w:rFonts w:cs="Times New Roman"/>
                <w:sz w:val="22"/>
              </w:rPr>
            </w:pPr>
            <w:proofErr w:type="spellStart"/>
            <w:r w:rsidRPr="00350AFA">
              <w:rPr>
                <w:rFonts w:cs="Times New Roman"/>
                <w:sz w:val="22"/>
              </w:rPr>
              <w:t>Znanstvena</w:t>
            </w:r>
            <w:proofErr w:type="spellEnd"/>
          </w:p>
        </w:tc>
        <w:tc>
          <w:tcPr>
            <w:tcW w:w="1316" w:type="dxa"/>
            <w:vAlign w:val="center"/>
          </w:tcPr>
          <w:p w14:paraId="0D103D64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350AFA">
              <w:rPr>
                <w:rFonts w:cs="Times New Roman"/>
                <w:sz w:val="22"/>
              </w:rPr>
              <w:t>urbanizirane</w:t>
            </w:r>
            <w:proofErr w:type="spellEnd"/>
            <w:r w:rsidRPr="00350AFA">
              <w:rPr>
                <w:rFonts w:cs="Times New Roman"/>
                <w:sz w:val="22"/>
              </w:rPr>
              <w:t xml:space="preserve"> </w:t>
            </w:r>
            <w:proofErr w:type="spellStart"/>
            <w:r w:rsidRPr="00350AFA">
              <w:rPr>
                <w:rFonts w:cs="Times New Roman"/>
                <w:sz w:val="22"/>
              </w:rPr>
              <w:t>sredine</w:t>
            </w:r>
            <w:proofErr w:type="spellEnd"/>
          </w:p>
        </w:tc>
        <w:tc>
          <w:tcPr>
            <w:tcW w:w="1073" w:type="dxa"/>
            <w:vAlign w:val="center"/>
          </w:tcPr>
          <w:p w14:paraId="430FDF79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2FCFCFF" w14:textId="0B35C4BE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2"/>
              </w:rPr>
              <w:t>do 100</w:t>
            </w:r>
            <w:r w:rsidR="00B601D4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E82ACE2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2"/>
              </w:rPr>
              <w:t>100 - 250</w:t>
            </w:r>
          </w:p>
        </w:tc>
        <w:tc>
          <w:tcPr>
            <w:tcW w:w="1560" w:type="dxa"/>
            <w:vAlign w:val="center"/>
          </w:tcPr>
          <w:p w14:paraId="062F49AC" w14:textId="451E9289" w:rsidR="00753368" w:rsidRPr="00350AFA" w:rsidRDefault="00753368" w:rsidP="00B601D4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2"/>
              </w:rPr>
              <w:t xml:space="preserve">250 - 500 </w:t>
            </w:r>
          </w:p>
        </w:tc>
        <w:tc>
          <w:tcPr>
            <w:tcW w:w="1559" w:type="dxa"/>
            <w:vAlign w:val="center"/>
          </w:tcPr>
          <w:p w14:paraId="5F2A10B7" w14:textId="21C04C5C" w:rsidR="00753368" w:rsidRPr="00350AFA" w:rsidRDefault="00B601D4" w:rsidP="00753368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i</w:t>
            </w:r>
            <w:r w:rsidR="00753368" w:rsidRPr="00350AFA">
              <w:rPr>
                <w:rFonts w:cs="Times New Roman"/>
                <w:sz w:val="22"/>
              </w:rPr>
              <w:t>znad</w:t>
            </w:r>
            <w:proofErr w:type="spellEnd"/>
            <w:r w:rsidR="00753368" w:rsidRPr="00350AFA">
              <w:rPr>
                <w:rFonts w:cs="Times New Roman"/>
                <w:sz w:val="22"/>
              </w:rPr>
              <w:t xml:space="preserve"> 500</w:t>
            </w:r>
          </w:p>
        </w:tc>
      </w:tr>
      <w:tr w:rsidR="00350AFA" w:rsidRPr="00350AFA" w14:paraId="30B9AFC7" w14:textId="77777777" w:rsidTr="00753368">
        <w:trPr>
          <w:jc w:val="center"/>
        </w:trPr>
        <w:tc>
          <w:tcPr>
            <w:tcW w:w="1155" w:type="dxa"/>
            <w:vAlign w:val="center"/>
          </w:tcPr>
          <w:p w14:paraId="2DC3621C" w14:textId="77777777" w:rsidR="00753368" w:rsidRPr="00350AFA" w:rsidRDefault="00753368" w:rsidP="00753368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16" w:type="dxa"/>
            <w:vAlign w:val="center"/>
          </w:tcPr>
          <w:p w14:paraId="3B97A69C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350AFA">
              <w:rPr>
                <w:rFonts w:cs="Times New Roman"/>
                <w:sz w:val="22"/>
              </w:rPr>
              <w:t>izvan</w:t>
            </w:r>
            <w:proofErr w:type="spellEnd"/>
            <w:r w:rsidRPr="00350AFA">
              <w:rPr>
                <w:rFonts w:cs="Times New Roman"/>
                <w:sz w:val="22"/>
              </w:rPr>
              <w:t xml:space="preserve"> </w:t>
            </w:r>
            <w:proofErr w:type="spellStart"/>
            <w:r w:rsidRPr="00350AFA">
              <w:rPr>
                <w:rFonts w:cs="Times New Roman"/>
                <w:sz w:val="22"/>
              </w:rPr>
              <w:t>naselja</w:t>
            </w:r>
            <w:proofErr w:type="spellEnd"/>
          </w:p>
        </w:tc>
        <w:tc>
          <w:tcPr>
            <w:tcW w:w="1073" w:type="dxa"/>
            <w:vAlign w:val="center"/>
          </w:tcPr>
          <w:p w14:paraId="43DF91BA" w14:textId="032C0E7B" w:rsidR="00753368" w:rsidRPr="00350AFA" w:rsidRDefault="00B601D4" w:rsidP="007533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do 250 </w:t>
            </w:r>
          </w:p>
        </w:tc>
        <w:tc>
          <w:tcPr>
            <w:tcW w:w="1134" w:type="dxa"/>
            <w:vAlign w:val="center"/>
          </w:tcPr>
          <w:p w14:paraId="72E66B5A" w14:textId="0CC61E90" w:rsidR="00753368" w:rsidRPr="00350AFA" w:rsidRDefault="00B601D4" w:rsidP="007533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250 - </w:t>
            </w:r>
            <w:r w:rsidR="00753368" w:rsidRPr="00350AFA">
              <w:rPr>
                <w:rFonts w:cs="Times New Roman"/>
                <w:sz w:val="22"/>
              </w:rPr>
              <w:t>500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CB15349" w14:textId="40E87400" w:rsidR="00753368" w:rsidRPr="00350AFA" w:rsidRDefault="00753368" w:rsidP="00B601D4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0"/>
              </w:rPr>
              <w:t xml:space="preserve">500 - 2000 </w:t>
            </w:r>
          </w:p>
        </w:tc>
        <w:tc>
          <w:tcPr>
            <w:tcW w:w="1560" w:type="dxa"/>
            <w:vAlign w:val="center"/>
          </w:tcPr>
          <w:p w14:paraId="09D4C71A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2"/>
              </w:rPr>
              <w:t>2000 - 5000</w:t>
            </w:r>
          </w:p>
        </w:tc>
        <w:tc>
          <w:tcPr>
            <w:tcW w:w="1559" w:type="dxa"/>
            <w:vAlign w:val="center"/>
          </w:tcPr>
          <w:p w14:paraId="42E6F109" w14:textId="0711CC98" w:rsidR="00753368" w:rsidRPr="00350AFA" w:rsidRDefault="00B601D4" w:rsidP="00753368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i</w:t>
            </w:r>
            <w:r w:rsidR="00753368" w:rsidRPr="00350AFA">
              <w:rPr>
                <w:rFonts w:cs="Times New Roman"/>
                <w:sz w:val="22"/>
              </w:rPr>
              <w:t>znad</w:t>
            </w:r>
            <w:proofErr w:type="spellEnd"/>
            <w:r w:rsidR="00753368" w:rsidRPr="00350AFA">
              <w:rPr>
                <w:rFonts w:cs="Times New Roman"/>
                <w:sz w:val="22"/>
              </w:rPr>
              <w:t xml:space="preserve"> 5000</w:t>
            </w:r>
          </w:p>
        </w:tc>
      </w:tr>
      <w:tr w:rsidR="00350AFA" w:rsidRPr="00350AFA" w14:paraId="3B94861C" w14:textId="77777777" w:rsidTr="00753368">
        <w:trPr>
          <w:jc w:val="center"/>
        </w:trPr>
        <w:tc>
          <w:tcPr>
            <w:tcW w:w="1155" w:type="dxa"/>
            <w:vAlign w:val="center"/>
          </w:tcPr>
          <w:p w14:paraId="5E992009" w14:textId="77777777" w:rsidR="00753368" w:rsidRPr="00350AFA" w:rsidRDefault="00753368" w:rsidP="00753368">
            <w:pPr>
              <w:jc w:val="left"/>
              <w:rPr>
                <w:rFonts w:cs="Times New Roman"/>
                <w:sz w:val="22"/>
              </w:rPr>
            </w:pPr>
            <w:proofErr w:type="spellStart"/>
            <w:r w:rsidRPr="00350AFA">
              <w:rPr>
                <w:rFonts w:cs="Times New Roman"/>
                <w:sz w:val="22"/>
              </w:rPr>
              <w:t>Edukacijska</w:t>
            </w:r>
            <w:proofErr w:type="spellEnd"/>
          </w:p>
        </w:tc>
        <w:tc>
          <w:tcPr>
            <w:tcW w:w="1316" w:type="dxa"/>
            <w:vAlign w:val="center"/>
          </w:tcPr>
          <w:p w14:paraId="336EE2B2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350AFA">
              <w:rPr>
                <w:rFonts w:cs="Times New Roman"/>
                <w:sz w:val="22"/>
              </w:rPr>
              <w:t>urbanizirane</w:t>
            </w:r>
            <w:proofErr w:type="spellEnd"/>
            <w:r w:rsidRPr="00350AFA">
              <w:rPr>
                <w:rFonts w:cs="Times New Roman"/>
                <w:sz w:val="22"/>
              </w:rPr>
              <w:t xml:space="preserve"> </w:t>
            </w:r>
            <w:proofErr w:type="spellStart"/>
            <w:r w:rsidRPr="00350AFA">
              <w:rPr>
                <w:rFonts w:cs="Times New Roman"/>
                <w:sz w:val="22"/>
              </w:rPr>
              <w:t>sredine</w:t>
            </w:r>
            <w:proofErr w:type="spellEnd"/>
          </w:p>
        </w:tc>
        <w:tc>
          <w:tcPr>
            <w:tcW w:w="1073" w:type="dxa"/>
            <w:vAlign w:val="center"/>
          </w:tcPr>
          <w:p w14:paraId="3FFB8FF2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CE031E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A5A6552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2"/>
              </w:rPr>
              <w:t>do 100</w:t>
            </w:r>
          </w:p>
        </w:tc>
        <w:tc>
          <w:tcPr>
            <w:tcW w:w="1560" w:type="dxa"/>
            <w:vAlign w:val="center"/>
          </w:tcPr>
          <w:p w14:paraId="28EDE94F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2"/>
              </w:rPr>
              <w:t>100 - 500</w:t>
            </w:r>
          </w:p>
        </w:tc>
        <w:tc>
          <w:tcPr>
            <w:tcW w:w="1559" w:type="dxa"/>
            <w:vAlign w:val="center"/>
          </w:tcPr>
          <w:p w14:paraId="4A1C5277" w14:textId="205CF519" w:rsidR="00753368" w:rsidRPr="00350AFA" w:rsidRDefault="00B601D4" w:rsidP="00753368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i</w:t>
            </w:r>
            <w:r w:rsidR="00753368" w:rsidRPr="00350AFA">
              <w:rPr>
                <w:rFonts w:cs="Times New Roman"/>
                <w:sz w:val="22"/>
              </w:rPr>
              <w:t>znad</w:t>
            </w:r>
            <w:proofErr w:type="spellEnd"/>
            <w:r w:rsidR="00753368" w:rsidRPr="00350AFA">
              <w:rPr>
                <w:rFonts w:cs="Times New Roman"/>
                <w:sz w:val="22"/>
              </w:rPr>
              <w:t xml:space="preserve"> 500</w:t>
            </w:r>
          </w:p>
        </w:tc>
      </w:tr>
      <w:tr w:rsidR="00753368" w:rsidRPr="00350AFA" w14:paraId="00F84992" w14:textId="77777777" w:rsidTr="00753368">
        <w:trPr>
          <w:jc w:val="center"/>
        </w:trPr>
        <w:tc>
          <w:tcPr>
            <w:tcW w:w="1155" w:type="dxa"/>
            <w:vAlign w:val="center"/>
          </w:tcPr>
          <w:p w14:paraId="4BE9A2B5" w14:textId="77777777" w:rsidR="00753368" w:rsidRPr="00350AFA" w:rsidRDefault="00753368" w:rsidP="00753368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16" w:type="dxa"/>
            <w:vAlign w:val="center"/>
          </w:tcPr>
          <w:p w14:paraId="5D13DEFB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350AFA">
              <w:rPr>
                <w:rFonts w:cs="Times New Roman"/>
                <w:sz w:val="22"/>
              </w:rPr>
              <w:t>zvan</w:t>
            </w:r>
            <w:proofErr w:type="spellEnd"/>
            <w:r w:rsidRPr="00350AFA">
              <w:rPr>
                <w:rFonts w:cs="Times New Roman"/>
                <w:sz w:val="22"/>
              </w:rPr>
              <w:t xml:space="preserve"> </w:t>
            </w:r>
            <w:proofErr w:type="spellStart"/>
            <w:r w:rsidRPr="00350AFA">
              <w:rPr>
                <w:rFonts w:cs="Times New Roman"/>
                <w:sz w:val="22"/>
              </w:rPr>
              <w:t>naselja</w:t>
            </w:r>
            <w:proofErr w:type="spellEnd"/>
          </w:p>
        </w:tc>
        <w:tc>
          <w:tcPr>
            <w:tcW w:w="1073" w:type="dxa"/>
            <w:vAlign w:val="center"/>
          </w:tcPr>
          <w:p w14:paraId="5E5E2C3B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D3C699" w14:textId="278F22B3" w:rsidR="00753368" w:rsidRPr="00350AFA" w:rsidRDefault="00753368" w:rsidP="00B601D4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2"/>
              </w:rPr>
              <w:t xml:space="preserve">do 250 </w:t>
            </w:r>
          </w:p>
        </w:tc>
        <w:tc>
          <w:tcPr>
            <w:tcW w:w="1417" w:type="dxa"/>
            <w:vAlign w:val="center"/>
          </w:tcPr>
          <w:p w14:paraId="2076BC64" w14:textId="77777777" w:rsidR="00753368" w:rsidRPr="00350AFA" w:rsidRDefault="00753368" w:rsidP="00753368">
            <w:pPr>
              <w:jc w:val="center"/>
              <w:rPr>
                <w:rFonts w:cs="Times New Roman"/>
                <w:sz w:val="22"/>
              </w:rPr>
            </w:pPr>
            <w:r w:rsidRPr="00350AFA">
              <w:rPr>
                <w:rFonts w:cs="Times New Roman"/>
                <w:sz w:val="22"/>
              </w:rPr>
              <w:t>250 - 1000</w:t>
            </w:r>
          </w:p>
        </w:tc>
        <w:tc>
          <w:tcPr>
            <w:tcW w:w="1560" w:type="dxa"/>
            <w:vAlign w:val="center"/>
          </w:tcPr>
          <w:p w14:paraId="062615E2" w14:textId="750E6AA8" w:rsidR="00753368" w:rsidRPr="00350AFA" w:rsidRDefault="00B601D4" w:rsidP="0075336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1000 - 2000 </w:t>
            </w:r>
          </w:p>
        </w:tc>
        <w:tc>
          <w:tcPr>
            <w:tcW w:w="1559" w:type="dxa"/>
            <w:vAlign w:val="center"/>
          </w:tcPr>
          <w:p w14:paraId="7E223280" w14:textId="35BCC86F" w:rsidR="00753368" w:rsidRPr="00350AFA" w:rsidRDefault="00B601D4" w:rsidP="00B601D4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i</w:t>
            </w:r>
            <w:r w:rsidR="00753368" w:rsidRPr="00350AFA">
              <w:rPr>
                <w:rFonts w:cs="Times New Roman"/>
                <w:sz w:val="22"/>
              </w:rPr>
              <w:t>znad</w:t>
            </w:r>
            <w:proofErr w:type="spellEnd"/>
            <w:r w:rsidR="00753368" w:rsidRPr="00350AFA">
              <w:rPr>
                <w:rFonts w:cs="Times New Roman"/>
                <w:sz w:val="22"/>
              </w:rPr>
              <w:t xml:space="preserve"> 2000 </w:t>
            </w:r>
          </w:p>
        </w:tc>
      </w:tr>
    </w:tbl>
    <w:p w14:paraId="502B1D43" w14:textId="77777777" w:rsidR="00753368" w:rsidRPr="00350AFA" w:rsidRDefault="00753368" w:rsidP="00753368">
      <w:pPr>
        <w:rPr>
          <w:lang w:val="hr-HR"/>
        </w:rPr>
      </w:pPr>
    </w:p>
    <w:sectPr w:rsidR="00753368" w:rsidRPr="00350A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FE5E" w14:textId="77777777" w:rsidR="009364D7" w:rsidRDefault="009364D7" w:rsidP="0041351B">
      <w:pPr>
        <w:spacing w:after="0" w:line="240" w:lineRule="auto"/>
      </w:pPr>
      <w:r>
        <w:separator/>
      </w:r>
    </w:p>
  </w:endnote>
  <w:endnote w:type="continuationSeparator" w:id="0">
    <w:p w14:paraId="5BFDD747" w14:textId="77777777" w:rsidR="009364D7" w:rsidRDefault="009364D7" w:rsidP="0041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33191" w14:textId="77777777" w:rsidR="009364D7" w:rsidRDefault="009364D7" w:rsidP="0041351B">
      <w:pPr>
        <w:spacing w:after="0" w:line="240" w:lineRule="auto"/>
      </w:pPr>
      <w:r>
        <w:separator/>
      </w:r>
    </w:p>
  </w:footnote>
  <w:footnote w:type="continuationSeparator" w:id="0">
    <w:p w14:paraId="605B1B14" w14:textId="77777777" w:rsidR="009364D7" w:rsidRDefault="009364D7" w:rsidP="0041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83507"/>
      <w:docPartObj>
        <w:docPartGallery w:val="Page Numbers (Top of Page)"/>
        <w:docPartUnique/>
      </w:docPartObj>
    </w:sdtPr>
    <w:sdtEndPr/>
    <w:sdtContent>
      <w:p w14:paraId="5ABB0D33" w14:textId="6A0E3A58" w:rsidR="0041351B" w:rsidRDefault="004135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9F9" w:rsidRPr="005829F9">
          <w:rPr>
            <w:noProof/>
            <w:lang w:val="hr-HR"/>
          </w:rPr>
          <w:t>20</w:t>
        </w:r>
        <w:r>
          <w:fldChar w:fldCharType="end"/>
        </w:r>
      </w:p>
    </w:sdtContent>
  </w:sdt>
  <w:p w14:paraId="0836BF75" w14:textId="2FFF2B1F" w:rsidR="0041351B" w:rsidRDefault="005829F9" w:rsidP="005829F9">
    <w:pPr>
      <w:pStyle w:val="Zaglavlje"/>
      <w:jc w:val="right"/>
    </w:pPr>
    <w:r>
      <w:t>PRIJEDLOG</w:t>
    </w:r>
  </w:p>
  <w:p w14:paraId="6B26061F" w14:textId="77777777" w:rsidR="005829F9" w:rsidRDefault="005829F9" w:rsidP="005829F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2DF"/>
    <w:multiLevelType w:val="hybridMultilevel"/>
    <w:tmpl w:val="7F8EFF7C"/>
    <w:lvl w:ilvl="0" w:tplc="CE0AE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BDA"/>
    <w:multiLevelType w:val="multilevel"/>
    <w:tmpl w:val="FF7E1472"/>
    <w:name w:val="test_list_multilvl6252322"/>
    <w:lvl w:ilvl="0">
      <w:start w:val="1"/>
      <w:numFmt w:val="decimal"/>
      <w:lvlText w:val="%1."/>
      <w:lvlJc w:val="left"/>
      <w:pPr>
        <w:ind w:left="567" w:hanging="567"/>
      </w:pPr>
      <w:rPr>
        <w:rFonts w:ascii="Segoe UI" w:hAnsi="Segoe UI" w:hint="default"/>
        <w:color w:val="003F71"/>
        <w:sz w:val="4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Segoe UI" w:hAnsi="Segoe UI" w:hint="default"/>
        <w:color w:val="003F71"/>
        <w:sz w:val="28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Segoe UI" w:hAnsi="Segoe UI" w:hint="default"/>
        <w:color w:val="003F71"/>
        <w:sz w:val="24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ascii="Segoe UI" w:hAnsi="Segoe UI" w:hint="default"/>
        <w:color w:val="003F71"/>
        <w:sz w:val="20"/>
      </w:rPr>
    </w:lvl>
    <w:lvl w:ilvl="4">
      <w:start w:val="1"/>
      <w:numFmt w:val="decimal"/>
      <w:lvlText w:val="%1.%2.%3.%4.%5."/>
      <w:lvlJc w:val="left"/>
      <w:pPr>
        <w:ind w:left="43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2" w15:restartNumberingAfterBreak="0">
    <w:nsid w:val="4DF27A61"/>
    <w:multiLevelType w:val="multilevel"/>
    <w:tmpl w:val="5B30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Segoe UI" w:hAnsi="Segoe UI" w:hint="default"/>
          <w:color w:val="003F71"/>
          <w:sz w:val="4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Segoe UI" w:hAnsi="Segoe UI" w:hint="default"/>
          <w:color w:val="003F71"/>
          <w:sz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7" w:hanging="737"/>
        </w:pPr>
        <w:rPr>
          <w:rFonts w:ascii="Segoe UI" w:hAnsi="Segoe UI" w:hint="default"/>
          <w:color w:val="003F71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7" w:hanging="737"/>
        </w:pPr>
        <w:rPr>
          <w:rFonts w:ascii="Segoe UI" w:hAnsi="Segoe UI" w:hint="default"/>
          <w:color w:val="003F71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394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8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4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9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1440"/>
        </w:pPr>
        <w:rPr>
          <w:rFonts w:hint="default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DF"/>
    <w:rsid w:val="00011290"/>
    <w:rsid w:val="00012CB5"/>
    <w:rsid w:val="000219C4"/>
    <w:rsid w:val="0005471F"/>
    <w:rsid w:val="000B5905"/>
    <w:rsid w:val="000B694F"/>
    <w:rsid w:val="000C2A04"/>
    <w:rsid w:val="000D1403"/>
    <w:rsid w:val="000D4A17"/>
    <w:rsid w:val="000F0AA7"/>
    <w:rsid w:val="00106305"/>
    <w:rsid w:val="00112857"/>
    <w:rsid w:val="001423C8"/>
    <w:rsid w:val="001474C4"/>
    <w:rsid w:val="00191456"/>
    <w:rsid w:val="00193A71"/>
    <w:rsid w:val="00195832"/>
    <w:rsid w:val="001A175F"/>
    <w:rsid w:val="001B42DF"/>
    <w:rsid w:val="001B6024"/>
    <w:rsid w:val="001D1203"/>
    <w:rsid w:val="001E3D15"/>
    <w:rsid w:val="00210405"/>
    <w:rsid w:val="0021340B"/>
    <w:rsid w:val="002221DE"/>
    <w:rsid w:val="00260176"/>
    <w:rsid w:val="00281411"/>
    <w:rsid w:val="002C4A62"/>
    <w:rsid w:val="002E276D"/>
    <w:rsid w:val="002E5FA5"/>
    <w:rsid w:val="00330E0B"/>
    <w:rsid w:val="00350AFA"/>
    <w:rsid w:val="003653CF"/>
    <w:rsid w:val="00395AF9"/>
    <w:rsid w:val="003D59E0"/>
    <w:rsid w:val="003E466E"/>
    <w:rsid w:val="003F331A"/>
    <w:rsid w:val="0041050F"/>
    <w:rsid w:val="0041351B"/>
    <w:rsid w:val="00422D9F"/>
    <w:rsid w:val="004726BA"/>
    <w:rsid w:val="00496657"/>
    <w:rsid w:val="004B2D76"/>
    <w:rsid w:val="004E5FE7"/>
    <w:rsid w:val="005539B5"/>
    <w:rsid w:val="00567094"/>
    <w:rsid w:val="00572902"/>
    <w:rsid w:val="005829F9"/>
    <w:rsid w:val="0059769F"/>
    <w:rsid w:val="005A0ED4"/>
    <w:rsid w:val="005D7196"/>
    <w:rsid w:val="005E3543"/>
    <w:rsid w:val="00607C55"/>
    <w:rsid w:val="00611E52"/>
    <w:rsid w:val="006124C1"/>
    <w:rsid w:val="006127D9"/>
    <w:rsid w:val="00622B3F"/>
    <w:rsid w:val="00646CF8"/>
    <w:rsid w:val="0064734B"/>
    <w:rsid w:val="00652DF6"/>
    <w:rsid w:val="006B6A38"/>
    <w:rsid w:val="006E5647"/>
    <w:rsid w:val="006F4FFF"/>
    <w:rsid w:val="00716759"/>
    <w:rsid w:val="00726AA0"/>
    <w:rsid w:val="007272A0"/>
    <w:rsid w:val="00753368"/>
    <w:rsid w:val="00754577"/>
    <w:rsid w:val="00754F70"/>
    <w:rsid w:val="00755E4C"/>
    <w:rsid w:val="0078071D"/>
    <w:rsid w:val="007A2819"/>
    <w:rsid w:val="007A6231"/>
    <w:rsid w:val="007E135E"/>
    <w:rsid w:val="007E3D66"/>
    <w:rsid w:val="008314AE"/>
    <w:rsid w:val="00837230"/>
    <w:rsid w:val="00861C42"/>
    <w:rsid w:val="008928BE"/>
    <w:rsid w:val="008C0A26"/>
    <w:rsid w:val="008E3BB2"/>
    <w:rsid w:val="008E5FE0"/>
    <w:rsid w:val="00927B9C"/>
    <w:rsid w:val="00934E49"/>
    <w:rsid w:val="009364D7"/>
    <w:rsid w:val="00947200"/>
    <w:rsid w:val="00952AC3"/>
    <w:rsid w:val="00960F32"/>
    <w:rsid w:val="00975A4B"/>
    <w:rsid w:val="009A6FE9"/>
    <w:rsid w:val="009D66FC"/>
    <w:rsid w:val="009D7B04"/>
    <w:rsid w:val="00A02BFA"/>
    <w:rsid w:val="00A03D58"/>
    <w:rsid w:val="00A22F61"/>
    <w:rsid w:val="00A316CE"/>
    <w:rsid w:val="00A46140"/>
    <w:rsid w:val="00A677C0"/>
    <w:rsid w:val="00AB2C5F"/>
    <w:rsid w:val="00AB552F"/>
    <w:rsid w:val="00AD12BB"/>
    <w:rsid w:val="00AE0159"/>
    <w:rsid w:val="00AE6F21"/>
    <w:rsid w:val="00AF7873"/>
    <w:rsid w:val="00B23C3F"/>
    <w:rsid w:val="00B601D4"/>
    <w:rsid w:val="00B60893"/>
    <w:rsid w:val="00B62CCF"/>
    <w:rsid w:val="00B92CE1"/>
    <w:rsid w:val="00B95120"/>
    <w:rsid w:val="00B968B6"/>
    <w:rsid w:val="00C0550E"/>
    <w:rsid w:val="00C11B58"/>
    <w:rsid w:val="00C16AEE"/>
    <w:rsid w:val="00C26966"/>
    <w:rsid w:val="00C27918"/>
    <w:rsid w:val="00C35F5F"/>
    <w:rsid w:val="00C86D35"/>
    <w:rsid w:val="00C94194"/>
    <w:rsid w:val="00CC56F4"/>
    <w:rsid w:val="00D0459E"/>
    <w:rsid w:val="00D202E2"/>
    <w:rsid w:val="00D24BA1"/>
    <w:rsid w:val="00D339D8"/>
    <w:rsid w:val="00D4510B"/>
    <w:rsid w:val="00D93B7D"/>
    <w:rsid w:val="00DA6C3A"/>
    <w:rsid w:val="00DB3CDC"/>
    <w:rsid w:val="00DD37F0"/>
    <w:rsid w:val="00DE505D"/>
    <w:rsid w:val="00DF5757"/>
    <w:rsid w:val="00E20E6C"/>
    <w:rsid w:val="00E41FFA"/>
    <w:rsid w:val="00E52F75"/>
    <w:rsid w:val="00E77291"/>
    <w:rsid w:val="00ED799A"/>
    <w:rsid w:val="00F11590"/>
    <w:rsid w:val="00F2238B"/>
    <w:rsid w:val="00F227FD"/>
    <w:rsid w:val="00F23E93"/>
    <w:rsid w:val="00F32059"/>
    <w:rsid w:val="00F509D3"/>
    <w:rsid w:val="00F710E1"/>
    <w:rsid w:val="00F752AB"/>
    <w:rsid w:val="00F76108"/>
    <w:rsid w:val="00F85186"/>
    <w:rsid w:val="00F945D3"/>
    <w:rsid w:val="00F9680B"/>
    <w:rsid w:val="00FB0FB6"/>
    <w:rsid w:val="00FB4AD3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D82F"/>
  <w15:chartTrackingRefBased/>
  <w15:docId w15:val="{09E14776-5E01-4FC2-8CC7-A89CF76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F21"/>
    <w:pPr>
      <w:jc w:val="both"/>
    </w:pPr>
    <w:rPr>
      <w:rFonts w:ascii="Times New Roman" w:hAnsi="Times New Roman"/>
      <w:sz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AE6F21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E6F21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E6F21"/>
    <w:pPr>
      <w:spacing w:after="0" w:line="240" w:lineRule="auto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6F21"/>
    <w:rPr>
      <w:rFonts w:ascii="Times New Roman" w:eastAsiaTheme="majorEastAsia" w:hAnsi="Times New Roman" w:cstheme="majorBidi"/>
      <w:b/>
      <w:caps/>
      <w:spacing w:val="-10"/>
      <w:kern w:val="28"/>
      <w:sz w:val="28"/>
      <w:szCs w:val="5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AE6F21"/>
    <w:rPr>
      <w:rFonts w:ascii="Times New Roman" w:eastAsiaTheme="majorEastAsia" w:hAnsi="Times New Roman" w:cstheme="majorBidi"/>
      <w:sz w:val="24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AE6F21"/>
    <w:rPr>
      <w:rFonts w:ascii="Times New Roman" w:eastAsiaTheme="majorEastAsia" w:hAnsi="Times New Roman" w:cstheme="majorBidi"/>
      <w:sz w:val="24"/>
      <w:szCs w:val="26"/>
      <w:lang w:val="en-GB"/>
    </w:rPr>
  </w:style>
  <w:style w:type="paragraph" w:customStyle="1" w:styleId="Naslov20">
    <w:name w:val="Naslov_2"/>
    <w:basedOn w:val="Odlomakpopisa"/>
    <w:link w:val="Naslov2Char0"/>
    <w:autoRedefine/>
    <w:qFormat/>
    <w:rsid w:val="00D0459E"/>
    <w:pPr>
      <w:spacing w:line="240" w:lineRule="auto"/>
      <w:ind w:left="0"/>
      <w:contextualSpacing w:val="0"/>
      <w:jc w:val="center"/>
      <w:outlineLvl w:val="1"/>
    </w:pPr>
    <w:rPr>
      <w:szCs w:val="20"/>
      <w:lang w:val="hr-HR"/>
    </w:rPr>
  </w:style>
  <w:style w:type="character" w:customStyle="1" w:styleId="Naslov2Char0">
    <w:name w:val="Naslov_2 Char"/>
    <w:basedOn w:val="Zadanifontodlomka"/>
    <w:link w:val="Naslov20"/>
    <w:rsid w:val="00D0459E"/>
    <w:rPr>
      <w:rFonts w:ascii="Times New Roman" w:hAnsi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AE6F21"/>
    <w:pPr>
      <w:ind w:left="720"/>
      <w:contextualSpacing/>
    </w:pPr>
  </w:style>
  <w:style w:type="paragraph" w:customStyle="1" w:styleId="Naslov10">
    <w:name w:val="Naslov_1"/>
    <w:basedOn w:val="Odlomakpopisa"/>
    <w:link w:val="Naslov1Char0"/>
    <w:autoRedefine/>
    <w:qFormat/>
    <w:rsid w:val="00AE6F21"/>
    <w:pPr>
      <w:spacing w:line="240" w:lineRule="auto"/>
      <w:ind w:left="0"/>
      <w:contextualSpacing w:val="0"/>
      <w:jc w:val="center"/>
      <w:outlineLvl w:val="0"/>
    </w:pPr>
    <w:rPr>
      <w:rFonts w:cs="Segoe UI"/>
      <w:caps/>
      <w:szCs w:val="20"/>
      <w:lang w:val="hr-HR"/>
    </w:rPr>
  </w:style>
  <w:style w:type="character" w:customStyle="1" w:styleId="Naslov1Char0">
    <w:name w:val="Naslov_1 Char"/>
    <w:basedOn w:val="Zadanifontodlomka"/>
    <w:link w:val="Naslov10"/>
    <w:rsid w:val="00AE6F21"/>
    <w:rPr>
      <w:rFonts w:ascii="Times New Roman" w:hAnsi="Times New Roman" w:cs="Segoe UI"/>
      <w:caps/>
      <w:sz w:val="24"/>
      <w:szCs w:val="20"/>
    </w:rPr>
  </w:style>
  <w:style w:type="paragraph" w:styleId="Bezproreda">
    <w:name w:val="No Spacing"/>
    <w:aliases w:val="Članak"/>
    <w:uiPriority w:val="1"/>
    <w:qFormat/>
    <w:rsid w:val="00D0459E"/>
    <w:pPr>
      <w:spacing w:before="200" w:after="140" w:line="240" w:lineRule="auto"/>
      <w:jc w:val="center"/>
    </w:pPr>
    <w:rPr>
      <w:rFonts w:ascii="Times New Roman" w:hAnsi="Times New Roman"/>
    </w:rPr>
  </w:style>
  <w:style w:type="table" w:styleId="Reetkatablice">
    <w:name w:val="Table Grid"/>
    <w:basedOn w:val="Obinatablica"/>
    <w:uiPriority w:val="59"/>
    <w:rsid w:val="005A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0-9-kurz-s">
    <w:name w:val="t-10-9-kurz-s"/>
    <w:basedOn w:val="Normal"/>
    <w:rsid w:val="00D339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2C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2C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2C5F"/>
    <w:rPr>
      <w:rFonts w:ascii="Times New Roman" w:hAnsi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2C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2C5F"/>
    <w:rPr>
      <w:rFonts w:ascii="Times New Roman" w:hAnsi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C5F"/>
    <w:rPr>
      <w:rFonts w:ascii="Segoe UI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41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51B"/>
    <w:rPr>
      <w:rFonts w:ascii="Times New Roman" w:hAnsi="Times New Roman"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41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51B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38FB-CD35-4818-95FD-B2DCC28E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6775</Words>
  <Characters>38622</Characters>
  <Application>Microsoft Office Word</Application>
  <DocSecurity>0</DocSecurity>
  <Lines>321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Bartolić</dc:creator>
  <cp:keywords/>
  <dc:description/>
  <cp:lastModifiedBy>Damir Bartolić</cp:lastModifiedBy>
  <cp:revision>4</cp:revision>
  <cp:lastPrinted>2020-03-12T10:55:00Z</cp:lastPrinted>
  <dcterms:created xsi:type="dcterms:W3CDTF">2020-04-17T07:34:00Z</dcterms:created>
  <dcterms:modified xsi:type="dcterms:W3CDTF">2020-04-23T14:47:00Z</dcterms:modified>
</cp:coreProperties>
</file>