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F96AE2" w:rsidRPr="0077506C" w:rsidTr="0077506C">
        <w:tc>
          <w:tcPr>
            <w:tcW w:w="9923" w:type="dxa"/>
            <w:gridSpan w:val="8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DC17C3" w:rsidP="00CE47D1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Ministarstvo </w:t>
            </w:r>
            <w:r w:rsidR="00CE47D1">
              <w:rPr>
                <w:szCs w:val="24"/>
              </w:rPr>
              <w:t>gospodarstva i održivog razvoja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A00F0" w:rsidRPr="008A00F0" w:rsidRDefault="008A00F0" w:rsidP="008A00F0">
            <w:pPr>
              <w:rPr>
                <w:rFonts w:eastAsia="Times New Roman"/>
                <w:szCs w:val="24"/>
              </w:rPr>
            </w:pPr>
            <w:r w:rsidRPr="008A00F0">
              <w:rPr>
                <w:rFonts w:eastAsia="Times New Roman"/>
                <w:szCs w:val="24"/>
              </w:rPr>
              <w:t xml:space="preserve">Zakon o izmjenama i dopunama Zakona o </w:t>
            </w:r>
            <w:proofErr w:type="spellStart"/>
            <w:r w:rsidRPr="008A00F0">
              <w:rPr>
                <w:rFonts w:eastAsia="Times New Roman"/>
                <w:szCs w:val="24"/>
              </w:rPr>
              <w:t>biogorivima</w:t>
            </w:r>
            <w:proofErr w:type="spellEnd"/>
            <w:r>
              <w:rPr>
                <w:rFonts w:eastAsia="Times New Roman"/>
                <w:szCs w:val="24"/>
              </w:rPr>
              <w:t xml:space="preserve"> za prijevoz</w:t>
            </w:r>
          </w:p>
          <w:p w:rsidR="00F96AE2" w:rsidRPr="0077506C" w:rsidRDefault="00F96AE2" w:rsidP="004A3637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CE47D1" w:rsidRDefault="00CE47D1" w:rsidP="00CE47D1">
            <w:pPr>
              <w:pStyle w:val="Odlomakpopisa"/>
              <w:numPr>
                <w:ilvl w:val="0"/>
                <w:numId w:val="45"/>
              </w:num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rujna 2020</w:t>
            </w:r>
            <w:r w:rsidR="00DC17C3" w:rsidRPr="00CE47D1">
              <w:rPr>
                <w:szCs w:val="24"/>
              </w:rPr>
              <w:t>.</w:t>
            </w:r>
            <w:bookmarkStart w:id="0" w:name="_GoBack"/>
            <w:bookmarkEnd w:id="0"/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Default="00F14E9D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Služba za obnovljive izvore energije </w:t>
            </w:r>
          </w:p>
          <w:p w:rsidR="00DC17C3" w:rsidRDefault="00CE47D1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01/6610 936</w:t>
            </w:r>
          </w:p>
          <w:p w:rsidR="00DC17C3" w:rsidRPr="0077506C" w:rsidRDefault="00DC17C3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zdravka.zmajlovic@mzoe.hr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F96AE2" w:rsidRPr="0077506C" w:rsidRDefault="004A3637" w:rsidP="004A3637">
            <w:pPr>
              <w:shd w:val="clear" w:color="auto" w:fill="FFFFFF" w:themeFill="background1"/>
              <w:rPr>
                <w:szCs w:val="24"/>
              </w:rPr>
            </w:pPr>
            <w:r w:rsidRPr="004A3637">
              <w:rPr>
                <w:szCs w:val="24"/>
              </w:rPr>
              <w:t>N</w:t>
            </w:r>
            <w:r>
              <w:rPr>
                <w:szCs w:val="24"/>
              </w:rPr>
              <w:t>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4A3637" w:rsidRPr="0077506C" w:rsidRDefault="004A3637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  <w:p w:rsidR="004A3637" w:rsidRPr="0077506C" w:rsidRDefault="004A3637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4A3637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  <w:r w:rsidR="00DC17C3">
              <w:rPr>
                <w:szCs w:val="24"/>
              </w:rPr>
              <w:t xml:space="preserve"> </w:t>
            </w:r>
          </w:p>
          <w:p w:rsidR="00F96AE2" w:rsidRPr="0077506C" w:rsidRDefault="008A00F0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  <w:p w:rsidR="008A00F0" w:rsidRPr="0077506C" w:rsidRDefault="008A00F0" w:rsidP="008A00F0">
            <w:pPr>
              <w:shd w:val="clear" w:color="auto" w:fill="FFFFFF" w:themeFill="background1"/>
              <w:rPr>
                <w:szCs w:val="24"/>
              </w:rPr>
            </w:pPr>
            <w:r w:rsidRPr="008A00F0">
              <w:rPr>
                <w:rFonts w:cs="Calibri"/>
              </w:rPr>
              <w:t>Direktivu (EU) 2015/1513/EZ Europskog parlamenta i Vijeća od 9. rujna 2015. o</w:t>
            </w:r>
            <w:r w:rsidRPr="00BA5CF3">
              <w:rPr>
                <w:rFonts w:cs="Calibri"/>
              </w:rPr>
              <w:t xml:space="preserve"> izmjeni Direktive 98/70/EZ o kakvoći benzinskih i dizelskih goriva i izmjeni Direktive 2009/28/EZ o promicanju uporabe energije iz obnovljivih izvora</w:t>
            </w:r>
          </w:p>
        </w:tc>
      </w:tr>
      <w:tr w:rsidR="00F96AE2" w:rsidRPr="0077506C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8A00F0" w:rsidRPr="0077506C" w:rsidRDefault="00CE47D1" w:rsidP="00CE47D1">
            <w:pPr>
              <w:jc w:val="both"/>
              <w:rPr>
                <w:szCs w:val="24"/>
              </w:rPr>
            </w:pPr>
            <w:r w:rsidRPr="001265AE">
              <w:rPr>
                <w:szCs w:val="24"/>
              </w:rPr>
              <w:t xml:space="preserve">potrebno je pokrenuti izmjenu i dopunu </w:t>
            </w:r>
            <w:r>
              <w:rPr>
                <w:szCs w:val="24"/>
              </w:rPr>
              <w:t>Zakona zbog</w:t>
            </w:r>
            <w:r w:rsidRPr="001265AE">
              <w:rPr>
                <w:szCs w:val="24"/>
              </w:rPr>
              <w:t xml:space="preserve"> Obrazloženog mišljenja EK od 2. srpnja 2020. vezano za nepriopćavanje mjera za prenošenje Direktive 2015/1513 u nacionalno pravo te potrebe propisivanja obveza nakon 2020., a koje bi morali obveznici stavljanja </w:t>
            </w:r>
            <w:proofErr w:type="spellStart"/>
            <w:r w:rsidRPr="001265AE">
              <w:rPr>
                <w:szCs w:val="24"/>
              </w:rPr>
              <w:t>biogoriva</w:t>
            </w:r>
            <w:proofErr w:type="spellEnd"/>
            <w:r w:rsidRPr="001265AE">
              <w:rPr>
                <w:szCs w:val="24"/>
              </w:rPr>
              <w:t xml:space="preserve"> ispuniti u 2021. godini do definiranja desetogodišnjih obveza sukladno Direktivi (EU) 2018/2001 o promicanju uporabe obnovljivih izvora energije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CE47D1" w:rsidRPr="00CE47D1" w:rsidRDefault="00CE47D1" w:rsidP="00CE47D1">
            <w:pPr>
              <w:pStyle w:val="Odlomakpopisa"/>
              <w:numPr>
                <w:ilvl w:val="0"/>
                <w:numId w:val="44"/>
              </w:numPr>
              <w:jc w:val="both"/>
              <w:rPr>
                <w:szCs w:val="24"/>
              </w:rPr>
            </w:pPr>
            <w:r w:rsidRPr="00CE47D1">
              <w:rPr>
                <w:szCs w:val="24"/>
              </w:rPr>
              <w:t>potrebne dopune zakona u smislu prenošenja Direktive 2009/28/EU odnosno njene izmjene iz 2015. godine potrebno je jasno</w:t>
            </w:r>
            <w:r w:rsidR="000D00B5">
              <w:rPr>
                <w:szCs w:val="24"/>
              </w:rPr>
              <w:t xml:space="preserve"> prenijeti odrednice iz Prilog III., dio A. od (o) do (t</w:t>
            </w:r>
            <w:r w:rsidRPr="00CE47D1">
              <w:rPr>
                <w:szCs w:val="24"/>
              </w:rPr>
              <w:t xml:space="preserve">) gdje su definirane  sirovine za napredna </w:t>
            </w:r>
            <w:proofErr w:type="spellStart"/>
            <w:r w:rsidRPr="00CE47D1">
              <w:rPr>
                <w:szCs w:val="24"/>
              </w:rPr>
              <w:t>biogoriva</w:t>
            </w:r>
            <w:proofErr w:type="spellEnd"/>
            <w:r w:rsidRPr="00CE47D1">
              <w:rPr>
                <w:szCs w:val="24"/>
              </w:rPr>
              <w:t xml:space="preserve"> (Povreda prava EU, obrazloženo mišljenje 2017/0529)</w:t>
            </w:r>
          </w:p>
          <w:p w:rsidR="00CE47D1" w:rsidRPr="00CE47D1" w:rsidRDefault="000D00B5" w:rsidP="00CE47D1">
            <w:pPr>
              <w:pStyle w:val="Odlomakpopisa"/>
              <w:numPr>
                <w:ilvl w:val="0"/>
                <w:numId w:val="44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CE47D1" w:rsidRPr="00CE47D1">
              <w:rPr>
                <w:szCs w:val="24"/>
              </w:rPr>
              <w:t>ažeći zakon stoga regulira period do 2020. godine. Izmjenama i dopunama ovoga Zakona potrebno je propisati obvezu opskrbljivačima u narednom periodu.</w:t>
            </w:r>
          </w:p>
          <w:p w:rsidR="00CE47D1" w:rsidRPr="000D00B5" w:rsidRDefault="00CE47D1" w:rsidP="00CE47D1">
            <w:pPr>
              <w:pStyle w:val="Odlomakpopisa"/>
              <w:numPr>
                <w:ilvl w:val="0"/>
                <w:numId w:val="44"/>
              </w:numPr>
              <w:jc w:val="both"/>
              <w:rPr>
                <w:szCs w:val="24"/>
              </w:rPr>
            </w:pPr>
            <w:r w:rsidRPr="000D00B5">
              <w:rPr>
                <w:szCs w:val="24"/>
              </w:rPr>
              <w:t xml:space="preserve">Trenutačno projekcije koje su dane u Nacionalno energetsko klimatskom planu (NECP-u) govore o </w:t>
            </w:r>
            <w:r w:rsidRPr="000D00B5">
              <w:rPr>
                <w:szCs w:val="24"/>
              </w:rPr>
              <w:lastRenderedPageBreak/>
              <w:t>ispunjenju cilja od 13,6% OIE u prometu u 2030. godini dok je zadani nacionalni cilj sukladno Direktivi (EU) 2018/2001 (RED II) o promicanju uporabe energije iz obnovljivih izvora, 14%.</w:t>
            </w:r>
            <w:r w:rsidR="000D00B5" w:rsidRPr="000D00B5">
              <w:rPr>
                <w:szCs w:val="24"/>
              </w:rPr>
              <w:t xml:space="preserve"> </w:t>
            </w:r>
            <w:r w:rsidRPr="000D00B5">
              <w:rPr>
                <w:szCs w:val="24"/>
              </w:rPr>
              <w:t>Predlaže se da se izmjenama zakona uredi obveza za prvi</w:t>
            </w:r>
            <w:r w:rsidR="000D00B5">
              <w:rPr>
                <w:szCs w:val="24"/>
              </w:rPr>
              <w:t xml:space="preserve"> </w:t>
            </w:r>
            <w:proofErr w:type="spellStart"/>
            <w:r w:rsidRPr="000D00B5">
              <w:rPr>
                <w:szCs w:val="24"/>
              </w:rPr>
              <w:t>dvo</w:t>
            </w:r>
            <w:proofErr w:type="spellEnd"/>
            <w:r w:rsidRPr="000D00B5">
              <w:rPr>
                <w:szCs w:val="24"/>
              </w:rPr>
              <w:t xml:space="preserve"> ili trogodišnji period a koji će stvoriti pret</w:t>
            </w:r>
            <w:r w:rsidR="000D00B5" w:rsidRPr="000D00B5">
              <w:rPr>
                <w:szCs w:val="24"/>
              </w:rPr>
              <w:t>p</w:t>
            </w:r>
            <w:r w:rsidR="000D00B5">
              <w:rPr>
                <w:szCs w:val="24"/>
              </w:rPr>
              <w:t xml:space="preserve">ostavka </w:t>
            </w:r>
            <w:r w:rsidRPr="000D00B5">
              <w:rPr>
                <w:szCs w:val="24"/>
              </w:rPr>
              <w:t>za ostvarivanje zadanog cilja od 14% na gospodarski</w:t>
            </w:r>
            <w:r w:rsidR="000D00B5">
              <w:rPr>
                <w:szCs w:val="24"/>
              </w:rPr>
              <w:t xml:space="preserve"> </w:t>
            </w:r>
            <w:r w:rsidRPr="000D00B5">
              <w:rPr>
                <w:szCs w:val="24"/>
              </w:rPr>
              <w:t>učinkovit način.</w:t>
            </w:r>
          </w:p>
          <w:p w:rsidR="00F96AE2" w:rsidRPr="0077506C" w:rsidRDefault="00F96AE2" w:rsidP="00CB33D8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77506C" w:rsidTr="0077506C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F3710C" w:rsidP="00AC248B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Direktiva 2009/28/EZ Europskog parlamenta i Vijeća od 23. travnja 2009. o promicanju uporabe energije iz o</w:t>
            </w:r>
            <w:r w:rsidR="00A246D6">
              <w:rPr>
                <w:szCs w:val="24"/>
              </w:rPr>
              <w:t>bnovljivih izvora kojom se</w:t>
            </w:r>
            <w:r>
              <w:rPr>
                <w:szCs w:val="24"/>
              </w:rPr>
              <w:t xml:space="preserve"> nalaže državama članicama </w:t>
            </w:r>
            <w:r w:rsidR="00A246D6">
              <w:rPr>
                <w:szCs w:val="24"/>
              </w:rPr>
              <w:t xml:space="preserve">postizanje ciljeva u korištenju obnovljivih izvora energije do 2020. godine, </w:t>
            </w:r>
            <w:r w:rsidR="00CB33D8">
              <w:rPr>
                <w:szCs w:val="24"/>
              </w:rPr>
              <w:t xml:space="preserve">pa tako i u prometu 10%, te </w:t>
            </w:r>
            <w:r w:rsidR="00CB33D8" w:rsidRPr="008A00F0">
              <w:rPr>
                <w:rFonts w:cs="Calibri"/>
              </w:rPr>
              <w:t>Direktivu (EU) 2015/1513/EZ Europskog parlamenta i Vijeća od 9. rujna 2015. o</w:t>
            </w:r>
            <w:r w:rsidR="00CB33D8" w:rsidRPr="00BA5CF3">
              <w:rPr>
                <w:rFonts w:cs="Calibri"/>
              </w:rPr>
              <w:t xml:space="preserve"> izmjeni Direktive 98/70/EZ o kakvoći benzinskih i dizelskih goriva i izmjeni Direktive 2009/28/EZ o promicanju uporabe energije iz obnovljivih izvora</w:t>
            </w:r>
            <w:r w:rsidR="00CB33D8">
              <w:rPr>
                <w:rFonts w:cs="Calibri"/>
              </w:rPr>
              <w:t xml:space="preserve"> koja je uvela ograničenje na udio OIE u prijevozu na </w:t>
            </w:r>
            <w:proofErr w:type="spellStart"/>
            <w:r w:rsidR="00CB33D8">
              <w:rPr>
                <w:rFonts w:cs="Calibri"/>
              </w:rPr>
              <w:t>biogoriva</w:t>
            </w:r>
            <w:proofErr w:type="spellEnd"/>
            <w:r w:rsidR="00CB33D8">
              <w:rPr>
                <w:rFonts w:cs="Calibri"/>
              </w:rPr>
              <w:t xml:space="preserve"> I. generacije.</w:t>
            </w:r>
          </w:p>
        </w:tc>
      </w:tr>
      <w:tr w:rsidR="00F96AE2" w:rsidRPr="0077506C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sdt>
            <w:sdtPr>
              <w:rPr>
                <w:rFonts w:eastAsia="Times New Roman"/>
                <w:szCs w:val="24"/>
              </w:rPr>
              <w:id w:val="486220838"/>
              <w:placeholder>
                <w:docPart w:val="C8E3BEB55C2B4911BD6F8C5FA82491AC"/>
              </w:placeholder>
            </w:sdtPr>
            <w:sdtContent>
              <w:p w:rsidR="00841D18" w:rsidRPr="00841D18" w:rsidRDefault="00841D18" w:rsidP="00841D18">
                <w:pPr>
                  <w:rPr>
                    <w:rFonts w:eastAsia="Times New Roman"/>
                    <w:szCs w:val="24"/>
                  </w:rPr>
                </w:pPr>
                <w:r w:rsidRPr="00841D18">
                  <w:rPr>
                    <w:rFonts w:eastAsia="Times New Roman"/>
                    <w:szCs w:val="24"/>
                  </w:rPr>
                  <w:t>Potpun prijenos i implem</w:t>
                </w:r>
                <w:r w:rsidR="00C17555">
                  <w:rPr>
                    <w:rFonts w:eastAsia="Times New Roman"/>
                    <w:szCs w:val="24"/>
                  </w:rPr>
                  <w:t>e</w:t>
                </w:r>
                <w:r w:rsidRPr="00841D18">
                  <w:rPr>
                    <w:rFonts w:eastAsia="Times New Roman"/>
                    <w:szCs w:val="24"/>
                  </w:rPr>
                  <w:t xml:space="preserve">ntacija strateških i razvojnih dokumenata i pravne stečevine Europske unije u području </w:t>
                </w:r>
                <w:r w:rsidR="001E7991">
                  <w:rPr>
                    <w:rFonts w:eastAsia="Times New Roman"/>
                    <w:szCs w:val="24"/>
                  </w:rPr>
                  <w:t xml:space="preserve">obnovljivih izvora energije, </w:t>
                </w:r>
                <w:r w:rsidRPr="00841D18">
                  <w:rPr>
                    <w:rFonts w:eastAsia="Times New Roman"/>
                    <w:szCs w:val="24"/>
                  </w:rPr>
                  <w:t xml:space="preserve">razvoj i provedba mjera podrške u </w:t>
                </w:r>
                <w:r w:rsidR="001E7991">
                  <w:rPr>
                    <w:rFonts w:eastAsia="Times New Roman"/>
                    <w:szCs w:val="24"/>
                  </w:rPr>
                  <w:t xml:space="preserve">kontekstu cilja u 2020. godini, te definiranje obveze u prijelaznom dvogodišnjem razdoblju (2021.-2022.) </w:t>
                </w:r>
              </w:p>
              <w:p w:rsidR="00841D18" w:rsidRPr="00841D18" w:rsidRDefault="00CE47D1" w:rsidP="00841D18">
                <w:pPr>
                  <w:rPr>
                    <w:rFonts w:eastAsia="Times New Roman"/>
                    <w:szCs w:val="24"/>
                  </w:rPr>
                </w:pPr>
              </w:p>
            </w:sdtContent>
          </w:sdt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sdt>
            <w:sdtPr>
              <w:rPr>
                <w:rFonts w:eastAsia="Times New Roman"/>
                <w:szCs w:val="24"/>
              </w:rPr>
              <w:id w:val="-2069100416"/>
              <w:placeholder>
                <w:docPart w:val="8BF5202F1B554F2A9DA46EA505FDD687"/>
              </w:placeholder>
            </w:sdtPr>
            <w:sdtContent>
              <w:p w:rsidR="00841D18" w:rsidRPr="00841D18" w:rsidRDefault="00531306" w:rsidP="00531306">
                <w:pPr>
                  <w:jc w:val="both"/>
                  <w:rPr>
                    <w:rFonts w:eastAsia="Times New Roman"/>
                    <w:szCs w:val="24"/>
                  </w:rPr>
                </w:pPr>
                <w:r>
                  <w:rPr>
                    <w:rFonts w:eastAsia="Times New Roman"/>
                    <w:szCs w:val="24"/>
                  </w:rPr>
                  <w:t>S</w:t>
                </w:r>
                <w:r w:rsidR="00841D18" w:rsidRPr="00841D18">
                  <w:rPr>
                    <w:rFonts w:eastAsia="Times New Roman"/>
                    <w:szCs w:val="24"/>
                  </w:rPr>
                  <w:t xml:space="preserve">trukturiranost područja obnovljivih izvora, preglednost, jasnoća i razumljivost za nositelje obveza i prava, usklađenost s pravnom stečevinom te </w:t>
                </w:r>
                <w:r w:rsidR="001E7991">
                  <w:rPr>
                    <w:rFonts w:eastAsia="Times New Roman"/>
                    <w:szCs w:val="24"/>
                  </w:rPr>
                  <w:t xml:space="preserve">učinkovita provedba </w:t>
                </w:r>
                <w:r w:rsidR="00841D18" w:rsidRPr="00841D18">
                  <w:rPr>
                    <w:rFonts w:eastAsia="Times New Roman"/>
                    <w:szCs w:val="24"/>
                  </w:rPr>
                  <w:t xml:space="preserve">normativnog </w:t>
                </w:r>
                <w:r>
                  <w:rPr>
                    <w:rFonts w:eastAsia="Times New Roman"/>
                    <w:szCs w:val="24"/>
                  </w:rPr>
                  <w:t xml:space="preserve">rješenja u </w:t>
                </w:r>
                <w:r w:rsidR="00634855">
                  <w:rPr>
                    <w:rFonts w:eastAsia="Times New Roman"/>
                    <w:szCs w:val="24"/>
                  </w:rPr>
                  <w:t>prijelaznom dvogodišnjem razdoblju.</w:t>
                </w:r>
              </w:p>
            </w:sdtContent>
          </w:sdt>
          <w:p w:rsidR="00F96AE2" w:rsidRPr="0077506C" w:rsidRDefault="00F96AE2" w:rsidP="00634855">
            <w:pPr>
              <w:jc w:val="both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sdt>
            <w:sdtPr>
              <w:rPr>
                <w:rFonts w:eastAsia="Times New Roman"/>
                <w:szCs w:val="24"/>
              </w:rPr>
              <w:id w:val="-1995641983"/>
              <w:placeholder>
                <w:docPart w:val="BBFFADA5DBD04FF7BEF1CA5B57EC11AE"/>
              </w:placeholder>
            </w:sdtPr>
            <w:sdtContent>
              <w:p w:rsidR="00441908" w:rsidRDefault="00841D18" w:rsidP="00841D18">
                <w:pPr>
                  <w:rPr>
                    <w:rFonts w:eastAsia="Times New Roman"/>
                    <w:szCs w:val="24"/>
                  </w:rPr>
                </w:pPr>
                <w:r w:rsidRPr="00841D18">
                  <w:rPr>
                    <w:rFonts w:eastAsia="Times New Roman"/>
                    <w:szCs w:val="24"/>
                  </w:rPr>
                  <w:t xml:space="preserve">Vremenski okvir za </w:t>
                </w:r>
                <w:r w:rsidR="00531306">
                  <w:rPr>
                    <w:rFonts w:eastAsia="Times New Roman"/>
                    <w:szCs w:val="24"/>
                  </w:rPr>
                  <w:t xml:space="preserve">izradu je </w:t>
                </w:r>
                <w:r w:rsidR="00CB33D8">
                  <w:rPr>
                    <w:rFonts w:eastAsia="Times New Roman"/>
                    <w:szCs w:val="24"/>
                  </w:rPr>
                  <w:t>IV</w:t>
                </w:r>
                <w:r w:rsidR="0055099F">
                  <w:rPr>
                    <w:rFonts w:eastAsia="Times New Roman"/>
                    <w:szCs w:val="24"/>
                  </w:rPr>
                  <w:t>. kvartal</w:t>
                </w:r>
                <w:r w:rsidR="00634855">
                  <w:rPr>
                    <w:rFonts w:eastAsia="Times New Roman"/>
                    <w:szCs w:val="24"/>
                  </w:rPr>
                  <w:t xml:space="preserve"> 2020</w:t>
                </w:r>
                <w:r w:rsidRPr="00841D18">
                  <w:rPr>
                    <w:rFonts w:eastAsia="Times New Roman"/>
                    <w:szCs w:val="24"/>
                  </w:rPr>
                  <w:t>.</w:t>
                </w:r>
                <w:r w:rsidR="0055099F">
                  <w:rPr>
                    <w:rFonts w:eastAsia="Times New Roman"/>
                    <w:szCs w:val="24"/>
                  </w:rPr>
                  <w:t>, a postizanje ishoda do kraja godine.</w:t>
                </w:r>
              </w:p>
              <w:p w:rsidR="00841D18" w:rsidRPr="00841D18" w:rsidRDefault="00841D18" w:rsidP="00841D18">
                <w:pPr>
                  <w:rPr>
                    <w:rFonts w:eastAsia="Times New Roman"/>
                    <w:szCs w:val="24"/>
                  </w:rPr>
                </w:pPr>
                <w:r w:rsidRPr="00841D18">
                  <w:rPr>
                    <w:rFonts w:eastAsia="Times New Roman"/>
                    <w:szCs w:val="24"/>
                  </w:rPr>
                  <w:t>Rizici su</w:t>
                </w:r>
                <w:r w:rsidR="00634855">
                  <w:rPr>
                    <w:rFonts w:eastAsia="Times New Roman"/>
                    <w:szCs w:val="24"/>
                  </w:rPr>
                  <w:t xml:space="preserve"> koordinacija tijela u provedbi te</w:t>
                </w:r>
                <w:r w:rsidRPr="00841D18">
                  <w:rPr>
                    <w:rFonts w:eastAsia="Times New Roman"/>
                    <w:szCs w:val="24"/>
                  </w:rPr>
                  <w:t xml:space="preserve"> </w:t>
                </w:r>
                <w:r w:rsidR="00634855">
                  <w:rPr>
                    <w:rFonts w:eastAsia="Times New Roman"/>
                    <w:szCs w:val="24"/>
                  </w:rPr>
                  <w:t>izrada stručne analize</w:t>
                </w:r>
                <w:r w:rsidRPr="00841D18">
                  <w:rPr>
                    <w:rFonts w:eastAsia="Times New Roman"/>
                    <w:szCs w:val="24"/>
                  </w:rPr>
                  <w:t xml:space="preserve"> </w:t>
                </w:r>
                <w:r w:rsidR="00634855">
                  <w:rPr>
                    <w:rFonts w:eastAsia="Times New Roman"/>
                    <w:szCs w:val="24"/>
                  </w:rPr>
                  <w:t xml:space="preserve">pri rješavanju. </w:t>
                </w:r>
                <w:r w:rsidR="004F4F5C">
                  <w:rPr>
                    <w:rFonts w:eastAsia="Times New Roman"/>
                    <w:szCs w:val="24"/>
                  </w:rPr>
                  <w:t xml:space="preserve"> </w:t>
                </w:r>
              </w:p>
            </w:sdtContent>
          </w:sdt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F96AE2" w:rsidRPr="0077506C" w:rsidTr="0077506C"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F96AE2" w:rsidRPr="0077506C" w:rsidRDefault="00F96AE2" w:rsidP="00F14E9D">
            <w:pPr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sdt>
            <w:sdtPr>
              <w:rPr>
                <w:rFonts w:eastAsia="Times New Roman"/>
                <w:szCs w:val="24"/>
              </w:rPr>
              <w:id w:val="2015718351"/>
              <w:placeholder>
                <w:docPart w:val="43841EAEB841459CA54BC459FA41D0F4"/>
              </w:placeholder>
            </w:sdtPr>
            <w:sdtContent>
              <w:p w:rsidR="00F14E9D" w:rsidRDefault="00441908" w:rsidP="00F14E9D">
                <w:r>
                  <w:rPr>
                    <w:rFonts w:eastAsia="Times New Roman"/>
                    <w:szCs w:val="24"/>
                  </w:rPr>
                  <w:t>P</w:t>
                </w:r>
                <w:r w:rsidR="00F14E9D" w:rsidRPr="00841D18">
                  <w:rPr>
                    <w:rFonts w:eastAsia="Times New Roman"/>
                    <w:szCs w:val="24"/>
                  </w:rPr>
                  <w:t>ostigla bi se strukturiranost područja obnovljivih izvora</w:t>
                </w:r>
                <w:r w:rsidR="00024AF5">
                  <w:rPr>
                    <w:rFonts w:eastAsia="Times New Roman"/>
                    <w:szCs w:val="24"/>
                  </w:rPr>
                  <w:t xml:space="preserve"> u sektoru prometa</w:t>
                </w:r>
                <w:r w:rsidR="00F14E9D" w:rsidRPr="00841D18">
                  <w:rPr>
                    <w:rFonts w:eastAsia="Times New Roman"/>
                    <w:szCs w:val="24"/>
                  </w:rPr>
                  <w:t xml:space="preserve">, preglednost, jasnoća i razumljivost za nositelje obveza i prava, usklađenost s pravnom stečevinom </w:t>
                </w:r>
                <w:r w:rsidR="00634855">
                  <w:rPr>
                    <w:rFonts w:eastAsia="Times New Roman"/>
                    <w:szCs w:val="24"/>
                  </w:rPr>
                  <w:t xml:space="preserve">te učinkovito provođenje obveze tijekom prijelaznog razdoblja. </w:t>
                </w:r>
              </w:p>
            </w:sdtContent>
          </w:sdt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F96AE2" w:rsidRPr="0077506C" w:rsidRDefault="00F96AE2" w:rsidP="00F14E9D">
            <w:pPr>
              <w:rPr>
                <w:szCs w:val="24"/>
              </w:rPr>
            </w:pPr>
          </w:p>
        </w:tc>
      </w:tr>
      <w:tr w:rsidR="00F96AE2" w:rsidRPr="0077506C" w:rsidTr="0077506C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14E9D" w:rsidRPr="00841D18" w:rsidRDefault="00F96AE2" w:rsidP="00F14E9D">
            <w:pPr>
              <w:rPr>
                <w:rFonts w:eastAsia="Times New Roman"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F14E9D" w:rsidRPr="00841D18">
              <w:rPr>
                <w:rFonts w:eastAsia="Times New Roman"/>
                <w:szCs w:val="24"/>
              </w:rPr>
              <w:t xml:space="preserve"> </w:t>
            </w:r>
            <w:sdt>
              <w:sdtPr>
                <w:rPr>
                  <w:rFonts w:eastAsia="Times New Roman"/>
                  <w:szCs w:val="24"/>
                </w:rPr>
                <w:id w:val="113101432"/>
                <w:placeholder>
                  <w:docPart w:val="998F77F363BC4DF499E5CF1E583CA6EB"/>
                </w:placeholder>
              </w:sdtPr>
              <w:sdtContent>
                <w:r w:rsidR="006E590E">
                  <w:rPr>
                    <w:szCs w:val="24"/>
                  </w:rPr>
                  <w:t xml:space="preserve">Nema mogućnosti </w:t>
                </w:r>
                <w:proofErr w:type="spellStart"/>
                <w:r w:rsidR="006E590E">
                  <w:rPr>
                    <w:szCs w:val="24"/>
                  </w:rPr>
                  <w:t>nenormativnog</w:t>
                </w:r>
                <w:proofErr w:type="spellEnd"/>
                <w:r w:rsidR="006E590E">
                  <w:rPr>
                    <w:szCs w:val="24"/>
                  </w:rPr>
                  <w:t xml:space="preserve"> rješavanja.</w:t>
                </w:r>
              </w:sdtContent>
            </w:sdt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60BA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60BAE" w:rsidRDefault="00E60BAE">
            <w:r w:rsidRPr="00D429A3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60BAE" w:rsidRDefault="00E60BAE">
            <w:r w:rsidRPr="00D429A3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60BAE" w:rsidRDefault="00E60BAE">
            <w:r w:rsidRPr="00D429A3"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F4F5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6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024A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6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6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6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F4F5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1F61B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14E9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sdt>
            <w:sdtPr>
              <w:rPr>
                <w:rFonts w:eastAsia="Times New Roman"/>
                <w:szCs w:val="24"/>
              </w:rPr>
              <w:id w:val="-1021930754"/>
              <w:placeholder>
                <w:docPart w:val="9477635678C644F1AC5355C1C738911E"/>
              </w:placeholder>
            </w:sdtPr>
            <w:sdtContent>
              <w:p w:rsidR="00F96AE2" w:rsidRPr="00FC7AC0" w:rsidRDefault="004F4F5C" w:rsidP="004F4F5C">
                <w:pPr>
                  <w:rPr>
                    <w:rFonts w:eastAsia="Times New Roman"/>
                    <w:szCs w:val="24"/>
                  </w:rPr>
                </w:pPr>
                <w:r>
                  <w:rPr>
                    <w:rFonts w:eastAsia="Times New Roman"/>
                    <w:szCs w:val="24"/>
                  </w:rPr>
                  <w:t>Neznatan učinak.</w:t>
                </w:r>
              </w:p>
            </w:sdtContent>
          </w:sdt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E60BA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60BAE" w:rsidRDefault="00E60BAE">
            <w:r w:rsidRPr="0026292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60BAE" w:rsidRDefault="00E60BAE">
            <w:r w:rsidRPr="00C678A3">
              <w:rPr>
                <w:b/>
                <w:szCs w:val="24"/>
              </w:rPr>
              <w:t>NE</w:t>
            </w:r>
          </w:p>
        </w:tc>
      </w:tr>
      <w:tr w:rsidR="00E60BA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60BAE" w:rsidRPr="0077506C" w:rsidRDefault="004F4F5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60BAE" w:rsidRDefault="00E60BAE">
            <w:r w:rsidRPr="0026292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60BAE" w:rsidRDefault="00E60BAE">
            <w:r w:rsidRPr="00C678A3">
              <w:rPr>
                <w:b/>
                <w:szCs w:val="24"/>
              </w:rPr>
              <w:t>NE</w:t>
            </w:r>
          </w:p>
        </w:tc>
      </w:tr>
      <w:tr w:rsidR="00E60BA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60BAE" w:rsidRPr="0077506C" w:rsidRDefault="004F4F5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60BAE" w:rsidRDefault="00E60BAE">
            <w:r w:rsidRPr="0026292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60BAE" w:rsidRDefault="00E60BAE">
            <w:r w:rsidRPr="00C678A3">
              <w:rPr>
                <w:b/>
                <w:szCs w:val="24"/>
              </w:rPr>
              <w:t>NE</w:t>
            </w:r>
          </w:p>
        </w:tc>
      </w:tr>
      <w:tr w:rsidR="00E60BA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60BAE" w:rsidRDefault="00E60BAE">
            <w:r w:rsidRPr="0026292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60BAE" w:rsidRDefault="00E60BAE">
            <w:r w:rsidRPr="00C678A3">
              <w:rPr>
                <w:b/>
                <w:szCs w:val="24"/>
              </w:rPr>
              <w:t>NE</w:t>
            </w:r>
          </w:p>
        </w:tc>
      </w:tr>
      <w:tr w:rsidR="00E60BA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60BAE" w:rsidRDefault="00E60BAE">
            <w:r w:rsidRPr="0026292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60BAE" w:rsidRDefault="00E60BAE">
            <w:r w:rsidRPr="00C678A3">
              <w:rPr>
                <w:b/>
                <w:szCs w:val="24"/>
              </w:rPr>
              <w:t>NE</w:t>
            </w:r>
          </w:p>
        </w:tc>
      </w:tr>
      <w:tr w:rsidR="00E60BA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60BAE" w:rsidRDefault="00E60BAE">
            <w:r w:rsidRPr="0026292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60BAE" w:rsidRDefault="00E60BAE">
            <w:r w:rsidRPr="00C678A3">
              <w:rPr>
                <w:b/>
                <w:szCs w:val="24"/>
              </w:rPr>
              <w:t>NE</w:t>
            </w:r>
          </w:p>
        </w:tc>
      </w:tr>
      <w:tr w:rsidR="00E60BA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60BAE" w:rsidRDefault="00E60BAE">
            <w:r w:rsidRPr="0026292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60BAE" w:rsidRDefault="00E60BAE">
            <w:r w:rsidRPr="00C678A3">
              <w:rPr>
                <w:b/>
                <w:szCs w:val="24"/>
              </w:rPr>
              <w:t>NE</w:t>
            </w:r>
          </w:p>
        </w:tc>
      </w:tr>
      <w:tr w:rsidR="00E60BA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60BAE" w:rsidRDefault="00E60BAE">
            <w:r w:rsidRPr="0026292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60BAE" w:rsidRDefault="00E60BAE">
            <w:r w:rsidRPr="00C678A3">
              <w:rPr>
                <w:b/>
                <w:szCs w:val="24"/>
              </w:rPr>
              <w:t>NE</w:t>
            </w:r>
          </w:p>
        </w:tc>
      </w:tr>
      <w:tr w:rsidR="00E60BA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Središnja tijela državne uprave, druga državna tijela, pravosudna tijela, javne ustanove, jedinice lokalne i </w:t>
            </w:r>
            <w:r w:rsidRPr="0077506C">
              <w:rPr>
                <w:szCs w:val="24"/>
              </w:rPr>
              <w:lastRenderedPageBreak/>
              <w:t>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60BAE" w:rsidRDefault="00E60BAE">
            <w:r w:rsidRPr="0026292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60BAE" w:rsidRDefault="00E60BAE">
            <w:r w:rsidRPr="00C678A3">
              <w:rPr>
                <w:b/>
                <w:szCs w:val="24"/>
              </w:rPr>
              <w:t>NE</w:t>
            </w:r>
          </w:p>
        </w:tc>
      </w:tr>
      <w:tr w:rsidR="00E60BA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60BAE" w:rsidRPr="0077506C" w:rsidRDefault="004F4F5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60BAE" w:rsidRDefault="00E60BAE">
            <w:r w:rsidRPr="0026292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60BAE" w:rsidRDefault="00E60BAE">
            <w:r w:rsidRPr="00C678A3">
              <w:rPr>
                <w:b/>
                <w:szCs w:val="24"/>
              </w:rPr>
              <w:t>NE</w:t>
            </w:r>
          </w:p>
        </w:tc>
      </w:tr>
      <w:tr w:rsidR="00E60BA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60BAE" w:rsidRDefault="00E60BAE">
            <w:r w:rsidRPr="00480E2E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60BAE" w:rsidRDefault="00E60BAE">
            <w:r w:rsidRPr="00480E2E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60BAE" w:rsidRDefault="00E60BAE">
            <w:r w:rsidRPr="00480E2E"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F96AE2" w:rsidRPr="0077506C" w:rsidRDefault="004F4F5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Nema adresata.</w:t>
            </w:r>
          </w:p>
        </w:tc>
      </w:tr>
      <w:tr w:rsidR="00F96AE2" w:rsidRPr="0077506C" w:rsidTr="0077506C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F4F5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60BA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60BAE" w:rsidRPr="0077506C" w:rsidRDefault="00E60BA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60BAE" w:rsidRDefault="00E60BAE">
            <w:r w:rsidRPr="004C4BD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60BAE" w:rsidRDefault="00E60BAE">
            <w:r w:rsidRPr="004C4BD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60BAE" w:rsidRDefault="00E60BAE">
            <w:r w:rsidRPr="004C4BDA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024AF5"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86A50" w:rsidRDefault="00686A50">
            <w:r w:rsidRPr="007A1AC5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86A50" w:rsidRDefault="00686A50">
            <w:r w:rsidRPr="007A1AC5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F47F3B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86A50" w:rsidRDefault="00686A50">
            <w:r w:rsidRPr="00F47F3B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86A50" w:rsidRDefault="00686A50">
            <w:r w:rsidRPr="00F47F3B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686A50" w:rsidRPr="0077506C" w:rsidRDefault="00686A50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2E31C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86A50" w:rsidRDefault="00686A50">
            <w:r w:rsidRPr="002E31C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86A50" w:rsidRDefault="00686A50">
            <w:r w:rsidRPr="002E31C1"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sdt>
            <w:sdtPr>
              <w:rPr>
                <w:rFonts w:eastAsia="Times New Roman"/>
                <w:szCs w:val="24"/>
              </w:rPr>
              <w:id w:val="1026444735"/>
            </w:sdtPr>
            <w:sdtContent>
              <w:p w:rsidR="00FC7AC0" w:rsidRPr="00FC7AC0" w:rsidRDefault="004F4F5C" w:rsidP="00FC7AC0">
                <w:pPr>
                  <w:jc w:val="both"/>
                  <w:rPr>
                    <w:rFonts w:eastAsia="Times New Roman"/>
                    <w:szCs w:val="24"/>
                  </w:rPr>
                </w:pPr>
                <w:r>
                  <w:rPr>
                    <w:rFonts w:eastAsia="Times New Roman"/>
                    <w:szCs w:val="24"/>
                  </w:rPr>
                  <w:t>Nema učinka.</w:t>
                </w:r>
              </w:p>
            </w:sdtContent>
          </w:sdt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2633A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86A50" w:rsidRDefault="00686A50">
            <w:r w:rsidRPr="002633A1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86A50" w:rsidRDefault="00686A50">
            <w:r w:rsidRPr="002633A1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Pr="0077506C" w:rsidRDefault="004F4F5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86A50" w:rsidRDefault="00686A50">
            <w:r w:rsidRPr="00A5411E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86A50" w:rsidRDefault="00686A50">
            <w:r w:rsidRPr="00A5411E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86A50" w:rsidRDefault="00686A50">
            <w:r w:rsidRPr="00AD4020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Pr="0077506C" w:rsidRDefault="004F4F5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86A50" w:rsidRDefault="00686A50">
            <w:r w:rsidRPr="0001039B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86A50" w:rsidRDefault="00686A50">
            <w:r w:rsidRPr="0001039B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D009E3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86A50" w:rsidRDefault="00686A50">
            <w:r w:rsidRPr="00D009E3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86A50" w:rsidRDefault="00686A50">
            <w:r w:rsidRPr="00D009E3"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F96AE2" w:rsidRPr="0077506C" w:rsidRDefault="004F4F5C" w:rsidP="00FD0C09">
            <w:pPr>
              <w:rPr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Nema adresata.</w:t>
            </w:r>
          </w:p>
        </w:tc>
      </w:tr>
      <w:tr w:rsidR="00F96AE2" w:rsidRPr="0077506C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6121B"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FD0C09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F96AE2" w:rsidRPr="0077506C" w:rsidRDefault="00024AF5" w:rsidP="00FD0C09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t xml:space="preserve">Nema </w:t>
            </w:r>
            <w:r w:rsidR="00FD0C09">
              <w:t>socijalnih učinaka.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6842C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6842C7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6842C7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Pr="0077506C" w:rsidRDefault="00024A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924894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924894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E33584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Pr="0077506C" w:rsidRDefault="00024A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4047F4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4047F4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C0594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C0594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C05941"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F96AE2" w:rsidRPr="00FD0C09" w:rsidRDefault="00024AF5" w:rsidP="004F4F5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Nema </w:t>
            </w:r>
            <w:r w:rsidR="004F4F5C">
              <w:rPr>
                <w:szCs w:val="24"/>
              </w:rPr>
              <w:t>adresata.</w:t>
            </w:r>
          </w:p>
        </w:tc>
      </w:tr>
      <w:tr w:rsidR="00F96AE2" w:rsidRPr="0077506C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686A50" w:rsidRPr="0077506C" w:rsidRDefault="00686A50" w:rsidP="0077506C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F5A83"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F96AE2" w:rsidRPr="0077506C" w:rsidRDefault="00024A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Nema učinka na rad i tržište rada.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6E0E4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6E0E4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6E0E4F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Pr="0077506C" w:rsidRDefault="00024A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D6D2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D6D26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D97DC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D6D2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D6D26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D97DC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D6D2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D6D26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D97DC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D6D2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D6D26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D97DC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D6D2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D6D26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3D07E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3D07E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3D07EA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3D07E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3D07E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3D07EA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3D07E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3D07E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3D07EA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Pr="0077506C" w:rsidRDefault="00024A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18782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187826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F964CE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F964CE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F964CE"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F96AE2" w:rsidRPr="00FD0C09" w:rsidRDefault="00024AF5" w:rsidP="004F4F5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Nema </w:t>
            </w:r>
            <w:r w:rsidR="004F4F5C">
              <w:rPr>
                <w:szCs w:val="24"/>
              </w:rPr>
              <w:t>adresata</w:t>
            </w:r>
            <w:r>
              <w:rPr>
                <w:szCs w:val="24"/>
              </w:rPr>
              <w:t>.</w:t>
            </w:r>
          </w:p>
        </w:tc>
      </w:tr>
      <w:tr w:rsidR="00F96AE2" w:rsidRPr="0077506C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B2040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B2040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B2040F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B2040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B2040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B2040F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B2040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B2040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B2040F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Pr="0077506C" w:rsidRDefault="00024AF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024AF5"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231902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4801D9"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sdt>
            <w:sdtPr>
              <w:rPr>
                <w:rFonts w:eastAsia="Times New Roman"/>
                <w:szCs w:val="24"/>
              </w:rPr>
              <w:id w:val="-986471315"/>
            </w:sdtPr>
            <w:sdtContent>
              <w:p w:rsidR="00FD0C09" w:rsidRPr="00FD0C09" w:rsidRDefault="004F4F5C" w:rsidP="00FD0C09">
                <w:pPr>
                  <w:jc w:val="both"/>
                  <w:rPr>
                    <w:rFonts w:eastAsia="Times New Roman"/>
                    <w:szCs w:val="24"/>
                  </w:rPr>
                </w:pPr>
                <w:r>
                  <w:rPr>
                    <w:rFonts w:eastAsia="Times New Roman"/>
                    <w:szCs w:val="24"/>
                  </w:rPr>
                  <w:t>Ima mali učinak na zaštitu okoliša u smislu poboljšanja zaštite okoliša.</w:t>
                </w:r>
              </w:p>
            </w:sdtContent>
          </w:sdt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D0E4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D0E4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D0E4B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Pr="0077506C" w:rsidRDefault="004F4F5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FF022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FF022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080F73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Pr="0077506C" w:rsidRDefault="0031019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B35BD8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B35BD8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CC65C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CC65C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CC65C2"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F96AE2" w:rsidRPr="00FD0C09" w:rsidRDefault="004F4F5C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Neznatan adresat</w:t>
            </w:r>
            <w:r w:rsidR="00FD0C09" w:rsidRPr="00FD0C09">
              <w:rPr>
                <w:szCs w:val="24"/>
              </w:rPr>
              <w:t>.</w:t>
            </w:r>
          </w:p>
        </w:tc>
      </w:tr>
      <w:tr w:rsidR="00F96AE2" w:rsidRPr="0077506C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F4F5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86A50" w:rsidRPr="0077506C" w:rsidTr="0077506C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D7090E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231256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23125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231256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231256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23125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231256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231256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23125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231256"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sdt>
            <w:sdtPr>
              <w:rPr>
                <w:rFonts w:eastAsia="Times New Roman"/>
                <w:szCs w:val="24"/>
              </w:rPr>
              <w:id w:val="192817951"/>
            </w:sdtPr>
            <w:sdtContent>
              <w:p w:rsidR="00FD0C09" w:rsidRDefault="0035307E" w:rsidP="00FD0C09">
                <w:pPr>
                  <w:jc w:val="both"/>
                </w:pPr>
                <w:r>
                  <w:rPr>
                    <w:rFonts w:eastAsia="Times New Roman"/>
                    <w:szCs w:val="24"/>
                  </w:rPr>
                  <w:t>Nema učinka.</w:t>
                </w:r>
              </w:p>
            </w:sdtContent>
          </w:sdt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8E041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8E041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8E0412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Srednji i veliki</w:t>
            </w:r>
            <w:r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Pr="0077506C" w:rsidRDefault="00353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077A78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077A78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4707A6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Pr="0077506C" w:rsidRDefault="00353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C738A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C738A5">
              <w:rPr>
                <w:b/>
                <w:szCs w:val="24"/>
              </w:rPr>
              <w:t>NE</w:t>
            </w:r>
          </w:p>
        </w:tc>
      </w:tr>
      <w:tr w:rsidR="00686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86A50" w:rsidRPr="0077506C" w:rsidRDefault="00686A50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86A50" w:rsidRDefault="00686A50">
            <w:r w:rsidRPr="005023F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86A50" w:rsidRDefault="00686A50">
            <w:r w:rsidRPr="005023F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86A50" w:rsidRDefault="00686A50">
            <w:r w:rsidRPr="005023FF"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F96AE2" w:rsidRPr="009654A0" w:rsidRDefault="004F4F5C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Nema adresata</w:t>
            </w:r>
            <w:r w:rsidR="0035307E">
              <w:rPr>
                <w:szCs w:val="24"/>
              </w:rPr>
              <w:t>.</w:t>
            </w:r>
          </w:p>
        </w:tc>
      </w:tr>
      <w:tr w:rsidR="00F96AE2" w:rsidRPr="0077506C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F2C1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0915C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  <w:r w:rsidR="000915CC">
              <w:rPr>
                <w:szCs w:val="24"/>
              </w:rPr>
              <w:t>dodaje se moguće korištenje sirovina s malim postotkom CO</w:t>
            </w:r>
            <w:r w:rsidR="000915CC" w:rsidRPr="000915CC">
              <w:rPr>
                <w:szCs w:val="24"/>
                <w:vertAlign w:val="subscript"/>
              </w:rPr>
              <w:t>2</w:t>
            </w:r>
            <w:r w:rsidR="000915CC">
              <w:rPr>
                <w:szCs w:val="24"/>
              </w:rPr>
              <w:t xml:space="preserve"> za proizvodnju naprednih </w:t>
            </w:r>
            <w:proofErr w:type="spellStart"/>
            <w:r w:rsidR="000915CC">
              <w:rPr>
                <w:szCs w:val="24"/>
              </w:rPr>
              <w:t>biogoriva</w:t>
            </w:r>
            <w:proofErr w:type="spellEnd"/>
            <w:r w:rsidR="000915CC">
              <w:rPr>
                <w:szCs w:val="24"/>
              </w:rPr>
              <w:t xml:space="preserve"> te regulira obveza za prijelazni period.</w:t>
            </w:r>
          </w:p>
          <w:p w:rsidR="00F96AE2" w:rsidRPr="0077506C" w:rsidRDefault="00F96AE2" w:rsidP="000915C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F2C1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546B69">
              <w:rPr>
                <w:szCs w:val="24"/>
              </w:rPr>
              <w:t xml:space="preserve"> </w:t>
            </w:r>
          </w:p>
          <w:p w:rsidR="00F96AE2" w:rsidRPr="0077506C" w:rsidRDefault="009654A0" w:rsidP="0035307E">
            <w:pPr>
              <w:shd w:val="clear" w:color="auto" w:fill="FFFFFF" w:themeFill="background1"/>
              <w:rPr>
                <w:b/>
                <w:szCs w:val="24"/>
              </w:rPr>
            </w:pPr>
            <w:r w:rsidRPr="009654A0">
              <w:rPr>
                <w:szCs w:val="24"/>
              </w:rPr>
              <w:t>Neće utjecati na slobodu tržišne konkurencije</w:t>
            </w:r>
            <w:r w:rsidR="0035307E">
              <w:rPr>
                <w:b/>
                <w:szCs w:val="24"/>
              </w:rPr>
              <w:t>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46B6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35307E" w:rsidRPr="0077506C" w:rsidRDefault="00F96AE2" w:rsidP="0035307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AF2C17">
              <w:rPr>
                <w:szCs w:val="24"/>
              </w:rPr>
              <w:t xml:space="preserve"> </w:t>
            </w:r>
            <w:r w:rsidR="0035307E">
              <w:rPr>
                <w:szCs w:val="24"/>
              </w:rPr>
              <w:t xml:space="preserve">Distributerima </w:t>
            </w:r>
            <w:proofErr w:type="spellStart"/>
            <w:r w:rsidR="0035307E">
              <w:rPr>
                <w:szCs w:val="24"/>
              </w:rPr>
              <w:t>biogoriva</w:t>
            </w:r>
            <w:proofErr w:type="spellEnd"/>
            <w:r w:rsidR="0035307E">
              <w:rPr>
                <w:szCs w:val="24"/>
              </w:rPr>
              <w:t xml:space="preserve"> zadržava se dosadašnja obveza stavljanja </w:t>
            </w:r>
            <w:proofErr w:type="spellStart"/>
            <w:r w:rsidR="0035307E">
              <w:rPr>
                <w:szCs w:val="24"/>
              </w:rPr>
              <w:t>biogoriva</w:t>
            </w:r>
            <w:proofErr w:type="spellEnd"/>
            <w:r w:rsidR="0035307E">
              <w:rPr>
                <w:szCs w:val="24"/>
              </w:rPr>
              <w:t xml:space="preserve"> na tržište</w:t>
            </w:r>
            <w:r w:rsidR="000915CC">
              <w:rPr>
                <w:szCs w:val="24"/>
              </w:rPr>
              <w:t xml:space="preserve"> i otvara veća mogućnost korištenja naprednih </w:t>
            </w:r>
            <w:proofErr w:type="spellStart"/>
            <w:r w:rsidR="000915CC">
              <w:rPr>
                <w:szCs w:val="24"/>
              </w:rPr>
              <w:t>biogoriva</w:t>
            </w:r>
            <w:proofErr w:type="spellEnd"/>
            <w:r w:rsidR="000915CC">
              <w:rPr>
                <w:szCs w:val="24"/>
              </w:rPr>
              <w:t xml:space="preserve"> na tržištu.</w:t>
            </w:r>
            <w:r w:rsidR="0035307E">
              <w:rPr>
                <w:szCs w:val="24"/>
              </w:rPr>
              <w:t xml:space="preserve"> 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F2C1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9654A0" w:rsidRDefault="009654A0" w:rsidP="0077506C">
            <w:pPr>
              <w:shd w:val="clear" w:color="auto" w:fill="FFFFFF" w:themeFill="background1"/>
              <w:rPr>
                <w:szCs w:val="24"/>
              </w:rPr>
            </w:pPr>
            <w:r w:rsidRPr="009654A0">
              <w:rPr>
                <w:szCs w:val="24"/>
              </w:rPr>
              <w:t>Taj učinak je neznatan.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546B69" w:rsidP="000915C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Pojašnjava se i konkretizira mogućnost </w:t>
            </w:r>
            <w:r w:rsidR="000915CC">
              <w:rPr>
                <w:szCs w:val="24"/>
              </w:rPr>
              <w:t>korištenja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biogoriva</w:t>
            </w:r>
            <w:proofErr w:type="spellEnd"/>
            <w:r>
              <w:rPr>
                <w:szCs w:val="24"/>
              </w:rPr>
              <w:t xml:space="preserve"> iz sirovina koje se koriste </w:t>
            </w:r>
            <w:r w:rsidR="000915CC">
              <w:rPr>
                <w:szCs w:val="24"/>
              </w:rPr>
              <w:t>za proizvodnju učinkovitije i manje štetne za okoliš tj. s malim postotkom CO</w:t>
            </w:r>
            <w:r w:rsidR="000915CC" w:rsidRPr="000915CC">
              <w:rPr>
                <w:szCs w:val="24"/>
                <w:vertAlign w:val="subscript"/>
              </w:rPr>
              <w:t>2</w:t>
            </w:r>
            <w:r>
              <w:rPr>
                <w:szCs w:val="24"/>
              </w:rPr>
              <w:t xml:space="preserve">.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8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46B69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1F61B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1F61B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1F61B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46B69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1F61B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1F61B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1F61B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1F61B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</w:p>
          <w:p w:rsidR="00F96AE2" w:rsidRPr="0077506C" w:rsidRDefault="0077506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F96AE2" w:rsidRPr="0097347E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F96AE2" w:rsidRPr="0077506C" w:rsidRDefault="00F96AE2" w:rsidP="0077506C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70780" w:rsidRDefault="00A70780" w:rsidP="0077506C">
      <w:pPr>
        <w:shd w:val="clear" w:color="auto" w:fill="FFFFFF" w:themeFill="background1"/>
      </w:pPr>
    </w:p>
    <w:p w:rsidR="00FD58D2" w:rsidRDefault="00FD58D2" w:rsidP="0077506C">
      <w:pPr>
        <w:shd w:val="clear" w:color="auto" w:fill="FFFFFF" w:themeFill="background1"/>
      </w:pPr>
    </w:p>
    <w:p w:rsidR="00FD58D2" w:rsidRDefault="00FD58D2" w:rsidP="0077506C">
      <w:pPr>
        <w:shd w:val="clear" w:color="auto" w:fill="FFFFFF" w:themeFill="background1"/>
      </w:pPr>
    </w:p>
    <w:p w:rsidR="00546B69" w:rsidRDefault="00546B69" w:rsidP="0077506C">
      <w:pPr>
        <w:shd w:val="clear" w:color="auto" w:fill="FFFFFF" w:themeFill="background1"/>
      </w:pPr>
    </w:p>
    <w:p w:rsidR="00546B69" w:rsidRDefault="00546B69" w:rsidP="0077506C">
      <w:pPr>
        <w:shd w:val="clear" w:color="auto" w:fill="FFFFFF" w:themeFill="background1"/>
      </w:pPr>
    </w:p>
    <w:p w:rsidR="00FD58D2" w:rsidRDefault="00FD58D2" w:rsidP="0077506C">
      <w:pPr>
        <w:shd w:val="clear" w:color="auto" w:fill="FFFFFF" w:themeFill="background1"/>
      </w:pPr>
    </w:p>
    <w:p w:rsidR="00FD58D2" w:rsidRDefault="00FD58D2" w:rsidP="0077506C">
      <w:pPr>
        <w:shd w:val="clear" w:color="auto" w:fill="FFFFFF" w:themeFill="background1"/>
      </w:pPr>
    </w:p>
    <w:p w:rsidR="00FD58D2" w:rsidRDefault="00FD58D2" w:rsidP="0077506C">
      <w:pPr>
        <w:shd w:val="clear" w:color="auto" w:fill="FFFFFF" w:themeFill="background1"/>
      </w:pPr>
    </w:p>
    <w:sectPr w:rsidR="00FD58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B1C" w:rsidRDefault="00C84B1C" w:rsidP="0077506C">
      <w:r>
        <w:separator/>
      </w:r>
    </w:p>
  </w:endnote>
  <w:endnote w:type="continuationSeparator" w:id="0">
    <w:p w:rsidR="00C84B1C" w:rsidRDefault="00C84B1C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Content>
      <w:p w:rsidR="00CE47D1" w:rsidRDefault="00CE47D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7BD">
          <w:rPr>
            <w:noProof/>
          </w:rPr>
          <w:t>1</w:t>
        </w:r>
        <w:r>
          <w:fldChar w:fldCharType="end"/>
        </w:r>
      </w:p>
    </w:sdtContent>
  </w:sdt>
  <w:p w:rsidR="00CE47D1" w:rsidRDefault="00CE47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B1C" w:rsidRDefault="00C84B1C" w:rsidP="0077506C">
      <w:r>
        <w:separator/>
      </w:r>
    </w:p>
  </w:footnote>
  <w:footnote w:type="continuationSeparator" w:id="0">
    <w:p w:rsidR="00C84B1C" w:rsidRDefault="00C84B1C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4A10A5"/>
    <w:multiLevelType w:val="hybridMultilevel"/>
    <w:tmpl w:val="A5842F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42E526F"/>
    <w:multiLevelType w:val="hybridMultilevel"/>
    <w:tmpl w:val="816C8B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5"/>
  </w:num>
  <w:num w:numId="3">
    <w:abstractNumId w:val="36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6"/>
  </w:num>
  <w:num w:numId="9">
    <w:abstractNumId w:val="31"/>
  </w:num>
  <w:num w:numId="10">
    <w:abstractNumId w:val="28"/>
  </w:num>
  <w:num w:numId="11">
    <w:abstractNumId w:val="29"/>
  </w:num>
  <w:num w:numId="12">
    <w:abstractNumId w:val="25"/>
  </w:num>
  <w:num w:numId="13">
    <w:abstractNumId w:val="1"/>
  </w:num>
  <w:num w:numId="14">
    <w:abstractNumId w:val="11"/>
  </w:num>
  <w:num w:numId="15">
    <w:abstractNumId w:val="21"/>
  </w:num>
  <w:num w:numId="16">
    <w:abstractNumId w:val="8"/>
  </w:num>
  <w:num w:numId="17">
    <w:abstractNumId w:val="9"/>
  </w:num>
  <w:num w:numId="18">
    <w:abstractNumId w:val="40"/>
  </w:num>
  <w:num w:numId="19">
    <w:abstractNumId w:val="10"/>
  </w:num>
  <w:num w:numId="20">
    <w:abstractNumId w:val="32"/>
  </w:num>
  <w:num w:numId="21">
    <w:abstractNumId w:val="44"/>
  </w:num>
  <w:num w:numId="22">
    <w:abstractNumId w:val="38"/>
  </w:num>
  <w:num w:numId="23">
    <w:abstractNumId w:val="6"/>
  </w:num>
  <w:num w:numId="24">
    <w:abstractNumId w:val="17"/>
  </w:num>
  <w:num w:numId="25">
    <w:abstractNumId w:val="33"/>
  </w:num>
  <w:num w:numId="26">
    <w:abstractNumId w:val="37"/>
  </w:num>
  <w:num w:numId="27">
    <w:abstractNumId w:val="34"/>
  </w:num>
  <w:num w:numId="28">
    <w:abstractNumId w:val="35"/>
  </w:num>
  <w:num w:numId="29">
    <w:abstractNumId w:val="27"/>
  </w:num>
  <w:num w:numId="30">
    <w:abstractNumId w:val="22"/>
  </w:num>
  <w:num w:numId="31">
    <w:abstractNumId w:val="30"/>
  </w:num>
  <w:num w:numId="32">
    <w:abstractNumId w:val="7"/>
  </w:num>
  <w:num w:numId="33">
    <w:abstractNumId w:val="24"/>
  </w:num>
  <w:num w:numId="34">
    <w:abstractNumId w:val="14"/>
  </w:num>
  <w:num w:numId="35">
    <w:abstractNumId w:val="19"/>
  </w:num>
  <w:num w:numId="36">
    <w:abstractNumId w:val="0"/>
  </w:num>
  <w:num w:numId="37">
    <w:abstractNumId w:val="23"/>
  </w:num>
  <w:num w:numId="38">
    <w:abstractNumId w:val="2"/>
  </w:num>
  <w:num w:numId="39">
    <w:abstractNumId w:val="18"/>
  </w:num>
  <w:num w:numId="40">
    <w:abstractNumId w:val="15"/>
  </w:num>
  <w:num w:numId="41">
    <w:abstractNumId w:val="42"/>
  </w:num>
  <w:num w:numId="42">
    <w:abstractNumId w:val="41"/>
  </w:num>
  <w:num w:numId="43">
    <w:abstractNumId w:val="3"/>
  </w:num>
  <w:num w:numId="44">
    <w:abstractNumId w:val="20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2"/>
    <w:rsid w:val="00024AF5"/>
    <w:rsid w:val="00041A91"/>
    <w:rsid w:val="00075AC5"/>
    <w:rsid w:val="000915CC"/>
    <w:rsid w:val="000C3AD7"/>
    <w:rsid w:val="000D00B5"/>
    <w:rsid w:val="00161059"/>
    <w:rsid w:val="00191963"/>
    <w:rsid w:val="001E7991"/>
    <w:rsid w:val="001F61BA"/>
    <w:rsid w:val="00224F38"/>
    <w:rsid w:val="0031019E"/>
    <w:rsid w:val="0035307E"/>
    <w:rsid w:val="003679DD"/>
    <w:rsid w:val="0039072E"/>
    <w:rsid w:val="0039775E"/>
    <w:rsid w:val="003C2D80"/>
    <w:rsid w:val="003D3DF7"/>
    <w:rsid w:val="003D57B0"/>
    <w:rsid w:val="00441908"/>
    <w:rsid w:val="004A3637"/>
    <w:rsid w:val="004E4DD7"/>
    <w:rsid w:val="004F4F5C"/>
    <w:rsid w:val="00531306"/>
    <w:rsid w:val="00541F85"/>
    <w:rsid w:val="00546B69"/>
    <w:rsid w:val="0055099F"/>
    <w:rsid w:val="00554CB5"/>
    <w:rsid w:val="005807BD"/>
    <w:rsid w:val="005A7443"/>
    <w:rsid w:val="005B38E9"/>
    <w:rsid w:val="005D48F2"/>
    <w:rsid w:val="00634855"/>
    <w:rsid w:val="00681164"/>
    <w:rsid w:val="00686A50"/>
    <w:rsid w:val="006E590E"/>
    <w:rsid w:val="0077506C"/>
    <w:rsid w:val="008250C9"/>
    <w:rsid w:val="00841D18"/>
    <w:rsid w:val="008970FC"/>
    <w:rsid w:val="008A00F0"/>
    <w:rsid w:val="009654A0"/>
    <w:rsid w:val="00992341"/>
    <w:rsid w:val="009A55FB"/>
    <w:rsid w:val="00A246D6"/>
    <w:rsid w:val="00A70780"/>
    <w:rsid w:val="00AC248B"/>
    <w:rsid w:val="00AF2C17"/>
    <w:rsid w:val="00B302CB"/>
    <w:rsid w:val="00BA24B2"/>
    <w:rsid w:val="00BE02E9"/>
    <w:rsid w:val="00C17555"/>
    <w:rsid w:val="00C84B1C"/>
    <w:rsid w:val="00CB33D8"/>
    <w:rsid w:val="00CE47D1"/>
    <w:rsid w:val="00CE69B2"/>
    <w:rsid w:val="00D24D7F"/>
    <w:rsid w:val="00D637AE"/>
    <w:rsid w:val="00DC17C3"/>
    <w:rsid w:val="00E06320"/>
    <w:rsid w:val="00E25508"/>
    <w:rsid w:val="00E42EEC"/>
    <w:rsid w:val="00E60BAE"/>
    <w:rsid w:val="00EF42CF"/>
    <w:rsid w:val="00F14E9D"/>
    <w:rsid w:val="00F3710C"/>
    <w:rsid w:val="00F96AE2"/>
    <w:rsid w:val="00FC7AC0"/>
    <w:rsid w:val="00FD0C09"/>
    <w:rsid w:val="00FD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F934"/>
  <w15:docId w15:val="{A9E47687-1959-4BF8-809C-337F0F1C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Odlomakpopisa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5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96AE2"/>
    <w:rPr>
      <w:color w:val="0000FF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E59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standard-cost-mod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E3BEB55C2B4911BD6F8C5FA8249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7ADED-90D5-4828-B35C-21B2F3A695D1}"/>
      </w:docPartPr>
      <w:docPartBody>
        <w:p w:rsidR="005D569F" w:rsidRDefault="005D569F" w:rsidP="005D569F">
          <w:pPr>
            <w:pStyle w:val="C8E3BEB55C2B4911BD6F8C5FA82491AC"/>
          </w:pPr>
          <w:r w:rsidRPr="00DD0971">
            <w:rPr>
              <w:rStyle w:val="Tekstrezerviranogmjesta"/>
              <w:rFonts w:eastAsia="Calibri"/>
            </w:rPr>
            <w:t>Click here to enter text.</w:t>
          </w:r>
        </w:p>
      </w:docPartBody>
    </w:docPart>
    <w:docPart>
      <w:docPartPr>
        <w:name w:val="BBFFADA5DBD04FF7BEF1CA5B57EC1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863E9-AAAF-4201-809C-41D6C70A14AF}"/>
      </w:docPartPr>
      <w:docPartBody>
        <w:p w:rsidR="005D569F" w:rsidRDefault="005D569F" w:rsidP="005D569F">
          <w:pPr>
            <w:pStyle w:val="BBFFADA5DBD04FF7BEF1CA5B57EC11AE"/>
          </w:pPr>
          <w:r w:rsidRPr="00DD0971">
            <w:rPr>
              <w:rStyle w:val="Tekstrezerviranogmjesta"/>
            </w:rPr>
            <w:t>Click here to enter text.</w:t>
          </w:r>
        </w:p>
      </w:docPartBody>
    </w:docPart>
    <w:docPart>
      <w:docPartPr>
        <w:name w:val="8BF5202F1B554F2A9DA46EA505FDD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03785-6081-4B54-86DA-17348F6E8001}"/>
      </w:docPartPr>
      <w:docPartBody>
        <w:p w:rsidR="005D569F" w:rsidRDefault="005D569F" w:rsidP="005D569F">
          <w:pPr>
            <w:pStyle w:val="8BF5202F1B554F2A9DA46EA505FDD687"/>
          </w:pPr>
          <w:r w:rsidRPr="00DD0971">
            <w:rPr>
              <w:rStyle w:val="Tekstrezerviranogmjesta"/>
            </w:rPr>
            <w:t>Click here to enter text.</w:t>
          </w:r>
        </w:p>
      </w:docPartBody>
    </w:docPart>
    <w:docPart>
      <w:docPartPr>
        <w:name w:val="43841EAEB841459CA54BC459FA41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869B3-B13C-4CCB-AFFB-CCA8BB4760A7}"/>
      </w:docPartPr>
      <w:docPartBody>
        <w:p w:rsidR="005D569F" w:rsidRDefault="005D569F" w:rsidP="005D569F">
          <w:pPr>
            <w:pStyle w:val="43841EAEB841459CA54BC459FA41D0F4"/>
          </w:pPr>
          <w:r w:rsidRPr="00DD0971">
            <w:rPr>
              <w:rStyle w:val="Tekstrezerviranogmjesta"/>
            </w:rPr>
            <w:t>Click here to enter text.</w:t>
          </w:r>
        </w:p>
      </w:docPartBody>
    </w:docPart>
    <w:docPart>
      <w:docPartPr>
        <w:name w:val="998F77F363BC4DF499E5CF1E583CA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A8515-EBCF-4533-8F89-C3DA80742800}"/>
      </w:docPartPr>
      <w:docPartBody>
        <w:p w:rsidR="005D569F" w:rsidRDefault="005D569F" w:rsidP="005D569F">
          <w:pPr>
            <w:pStyle w:val="998F77F363BC4DF499E5CF1E583CA6EB"/>
          </w:pPr>
          <w:r w:rsidRPr="00DD0971">
            <w:rPr>
              <w:rStyle w:val="Tekstrezerviranogmjesta"/>
            </w:rPr>
            <w:t>Click here to enter text.</w:t>
          </w:r>
        </w:p>
      </w:docPartBody>
    </w:docPart>
    <w:docPart>
      <w:docPartPr>
        <w:name w:val="9477635678C644F1AC5355C1C7389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4853F-F3A9-48DC-B567-DF8B9F3C1C6C}"/>
      </w:docPartPr>
      <w:docPartBody>
        <w:p w:rsidR="00AD69FE" w:rsidRDefault="0044769B" w:rsidP="0044769B">
          <w:pPr>
            <w:pStyle w:val="9477635678C644F1AC5355C1C738911E"/>
          </w:pPr>
          <w:r w:rsidRPr="00DD0971">
            <w:rPr>
              <w:rStyle w:val="Tekstrezerviranogmjest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9F"/>
    <w:rsid w:val="001F39F1"/>
    <w:rsid w:val="002610F9"/>
    <w:rsid w:val="003227A5"/>
    <w:rsid w:val="0044769B"/>
    <w:rsid w:val="005D569F"/>
    <w:rsid w:val="00631487"/>
    <w:rsid w:val="00697476"/>
    <w:rsid w:val="00A20163"/>
    <w:rsid w:val="00A72454"/>
    <w:rsid w:val="00AD69FE"/>
    <w:rsid w:val="00CE2DBA"/>
    <w:rsid w:val="00D15C2E"/>
    <w:rsid w:val="00F55893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1D800D1E3324819AE01590196D25FE2">
    <w:name w:val="61D800D1E3324819AE01590196D25FE2"/>
    <w:rsid w:val="005D569F"/>
  </w:style>
  <w:style w:type="character" w:styleId="Tekstrezerviranogmjesta">
    <w:name w:val="Placeholder Text"/>
    <w:basedOn w:val="Zadanifontodlomka"/>
    <w:uiPriority w:val="99"/>
    <w:semiHidden/>
    <w:rsid w:val="0044769B"/>
    <w:rPr>
      <w:color w:val="808080"/>
    </w:rPr>
  </w:style>
  <w:style w:type="paragraph" w:customStyle="1" w:styleId="C8E3BEB55C2B4911BD6F8C5FA82491AC">
    <w:name w:val="C8E3BEB55C2B4911BD6F8C5FA82491AC"/>
    <w:rsid w:val="005D569F"/>
  </w:style>
  <w:style w:type="paragraph" w:customStyle="1" w:styleId="BBFFADA5DBD04FF7BEF1CA5B57EC11AE">
    <w:name w:val="BBFFADA5DBD04FF7BEF1CA5B57EC11AE"/>
    <w:rsid w:val="005D569F"/>
  </w:style>
  <w:style w:type="paragraph" w:customStyle="1" w:styleId="8BF5202F1B554F2A9DA46EA505FDD687">
    <w:name w:val="8BF5202F1B554F2A9DA46EA505FDD687"/>
    <w:rsid w:val="005D569F"/>
  </w:style>
  <w:style w:type="paragraph" w:customStyle="1" w:styleId="E448332EC5884571BDB49D616CB945C1">
    <w:name w:val="E448332EC5884571BDB49D616CB945C1"/>
    <w:rsid w:val="005D569F"/>
  </w:style>
  <w:style w:type="paragraph" w:customStyle="1" w:styleId="EB65C96DA25B48E78CA2C01D89454EB0">
    <w:name w:val="EB65C96DA25B48E78CA2C01D89454EB0"/>
    <w:rsid w:val="005D569F"/>
  </w:style>
  <w:style w:type="paragraph" w:customStyle="1" w:styleId="34393B8184B8416FA381784135AD3AB9">
    <w:name w:val="34393B8184B8416FA381784135AD3AB9"/>
    <w:rsid w:val="005D569F"/>
  </w:style>
  <w:style w:type="paragraph" w:customStyle="1" w:styleId="43841EAEB841459CA54BC459FA41D0F4">
    <w:name w:val="43841EAEB841459CA54BC459FA41D0F4"/>
    <w:rsid w:val="005D569F"/>
  </w:style>
  <w:style w:type="paragraph" w:customStyle="1" w:styleId="998F77F363BC4DF499E5CF1E583CA6EB">
    <w:name w:val="998F77F363BC4DF499E5CF1E583CA6EB"/>
    <w:rsid w:val="005D569F"/>
  </w:style>
  <w:style w:type="paragraph" w:customStyle="1" w:styleId="9477635678C644F1AC5355C1C738911E">
    <w:name w:val="9477635678C644F1AC5355C1C738911E"/>
    <w:rsid w:val="004476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4F7D1-0DFA-4509-8769-9B955A2E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3640</Words>
  <Characters>20752</Characters>
  <Application>Microsoft Office Word</Application>
  <DocSecurity>0</DocSecurity>
  <Lines>172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Zdravka Zmajlović</cp:lastModifiedBy>
  <cp:revision>8</cp:revision>
  <cp:lastPrinted>2018-01-05T11:40:00Z</cp:lastPrinted>
  <dcterms:created xsi:type="dcterms:W3CDTF">2020-09-01T07:57:00Z</dcterms:created>
  <dcterms:modified xsi:type="dcterms:W3CDTF">2020-09-01T08:54:00Z</dcterms:modified>
</cp:coreProperties>
</file>