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39" w:rsidRDefault="00117139" w:rsidP="00117139">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870"/>
      </w:tblGrid>
      <w:tr w:rsidR="00117139" w:rsidRPr="00AA051D" w:rsidTr="00C9590D">
        <w:tc>
          <w:tcPr>
            <w:tcW w:w="9288" w:type="dxa"/>
            <w:gridSpan w:val="2"/>
            <w:shd w:val="clear" w:color="auto" w:fill="B8CCE4"/>
            <w:vAlign w:val="center"/>
          </w:tcPr>
          <w:p w:rsidR="00117139" w:rsidRPr="00AA051D" w:rsidRDefault="00117139" w:rsidP="0008777D">
            <w:pPr>
              <w:spacing w:after="0"/>
              <w:jc w:val="center"/>
              <w:rPr>
                <w:rFonts w:ascii="Arial" w:eastAsia="Simsun (Founder Extended)" w:hAnsi="Arial" w:cs="Arial"/>
                <w:b/>
                <w:sz w:val="20"/>
                <w:szCs w:val="20"/>
              </w:rPr>
            </w:pPr>
          </w:p>
          <w:p w:rsidR="00117139" w:rsidRPr="00AA051D" w:rsidRDefault="00117139" w:rsidP="0008777D">
            <w:pPr>
              <w:spacing w:after="0"/>
              <w:jc w:val="center"/>
              <w:rPr>
                <w:rFonts w:ascii="Arial" w:eastAsia="Simsun (Founder Extended)" w:hAnsi="Arial" w:cs="Arial"/>
                <w:b/>
                <w:sz w:val="20"/>
                <w:szCs w:val="20"/>
              </w:rPr>
            </w:pPr>
            <w:r w:rsidRPr="00AA051D">
              <w:rPr>
                <w:rFonts w:ascii="Arial" w:eastAsia="Simsun (Founder Extended)" w:hAnsi="Arial" w:cs="Arial"/>
                <w:b/>
                <w:sz w:val="20"/>
                <w:szCs w:val="20"/>
              </w:rPr>
              <w:t>Standardni obrazac sadržaja dokumenta za savjetovanje</w:t>
            </w:r>
          </w:p>
          <w:p w:rsidR="00117139" w:rsidRPr="00AA051D" w:rsidRDefault="00117139" w:rsidP="0008777D">
            <w:pPr>
              <w:spacing w:after="0"/>
              <w:jc w:val="center"/>
              <w:rPr>
                <w:rFonts w:ascii="Arial" w:eastAsia="Simsun (Founder Extended)" w:hAnsi="Arial" w:cs="Arial"/>
                <w:b/>
                <w:sz w:val="20"/>
                <w:szCs w:val="20"/>
              </w:rPr>
            </w:pPr>
          </w:p>
        </w:tc>
      </w:tr>
      <w:tr w:rsidR="00117139" w:rsidRPr="00AA051D" w:rsidTr="0008777D">
        <w:tc>
          <w:tcPr>
            <w:tcW w:w="2418" w:type="dxa"/>
          </w:tcPr>
          <w:p w:rsidR="00117139" w:rsidRPr="00AA051D" w:rsidRDefault="00BE22C2" w:rsidP="0008777D">
            <w:pPr>
              <w:spacing w:after="0" w:line="240" w:lineRule="auto"/>
              <w:jc w:val="both"/>
              <w:rPr>
                <w:rFonts w:ascii="Arial" w:eastAsia="Simsun (Founder Extended)" w:hAnsi="Arial" w:cs="Arial"/>
                <w:sz w:val="20"/>
                <w:szCs w:val="20"/>
              </w:rPr>
            </w:pPr>
            <w:r w:rsidRPr="00BE22C2">
              <w:rPr>
                <w:rFonts w:ascii="Arial" w:eastAsia="Simsun (Founder Extended)" w:hAnsi="Arial" w:cs="Arial"/>
                <w:sz w:val="20"/>
                <w:szCs w:val="20"/>
              </w:rPr>
              <w:t>Naziv nacrta zakona, drugog propisa ili akta</w:t>
            </w:r>
          </w:p>
        </w:tc>
        <w:tc>
          <w:tcPr>
            <w:tcW w:w="6870" w:type="dxa"/>
          </w:tcPr>
          <w:p w:rsidR="00117139" w:rsidRPr="00AA051D" w:rsidRDefault="007609B6" w:rsidP="004C59DC">
            <w:pPr>
              <w:spacing w:after="0" w:line="240" w:lineRule="auto"/>
              <w:rPr>
                <w:rFonts w:ascii="Arial" w:eastAsia="Simsun (Founder Extended)" w:hAnsi="Arial" w:cs="Arial"/>
                <w:sz w:val="20"/>
                <w:szCs w:val="20"/>
              </w:rPr>
            </w:pPr>
            <w:r>
              <w:rPr>
                <w:rFonts w:ascii="Arial" w:eastAsia="Simsun (Founder Extended)" w:hAnsi="Arial" w:cs="Arial"/>
                <w:sz w:val="20"/>
                <w:szCs w:val="20"/>
              </w:rPr>
              <w:t>Prijedlog</w:t>
            </w:r>
            <w:r w:rsidR="00117139" w:rsidRPr="00AA051D">
              <w:rPr>
                <w:rFonts w:ascii="Arial" w:eastAsia="Simsun (Founder Extended)" w:hAnsi="Arial" w:cs="Arial"/>
                <w:sz w:val="20"/>
                <w:szCs w:val="20"/>
              </w:rPr>
              <w:t xml:space="preserve"> </w:t>
            </w:r>
            <w:r w:rsidR="004C59DC">
              <w:rPr>
                <w:rFonts w:ascii="Arial" w:eastAsia="Simsun (Founder Extended)" w:hAnsi="Arial" w:cs="Arial"/>
                <w:sz w:val="20"/>
                <w:szCs w:val="20"/>
              </w:rPr>
              <w:t>PROGRAMA PRAĆENJA KVALITET</w:t>
            </w:r>
            <w:r w:rsidR="00BD18C5">
              <w:rPr>
                <w:rFonts w:ascii="Arial" w:eastAsia="Simsun (Founder Extended)" w:hAnsi="Arial" w:cs="Arial"/>
                <w:sz w:val="20"/>
                <w:szCs w:val="20"/>
              </w:rPr>
              <w:t>E TEKUĆIH NAFTNIH GORIVA ZA 2021</w:t>
            </w:r>
            <w:r w:rsidR="004C59DC">
              <w:rPr>
                <w:rFonts w:ascii="Arial" w:eastAsia="Simsun (Founder Extended)" w:hAnsi="Arial" w:cs="Arial"/>
                <w:sz w:val="20"/>
                <w:szCs w:val="20"/>
              </w:rPr>
              <w:t>.</w:t>
            </w:r>
          </w:p>
        </w:tc>
      </w:tr>
      <w:tr w:rsidR="00117139" w:rsidRPr="00AA051D" w:rsidTr="0008777D">
        <w:tc>
          <w:tcPr>
            <w:tcW w:w="2418" w:type="dxa"/>
          </w:tcPr>
          <w:p w:rsidR="00117139" w:rsidRPr="00AA051D" w:rsidRDefault="00117139" w:rsidP="0008777D">
            <w:pPr>
              <w:spacing w:after="0" w:line="240" w:lineRule="auto"/>
              <w:rPr>
                <w:rFonts w:ascii="Arial" w:eastAsia="Simsun (Founder Extended)" w:hAnsi="Arial" w:cs="Arial"/>
                <w:sz w:val="20"/>
                <w:szCs w:val="20"/>
              </w:rPr>
            </w:pPr>
            <w:r w:rsidRPr="00AA051D">
              <w:rPr>
                <w:rFonts w:ascii="Arial" w:eastAsia="Simsun (Founder Extended)" w:hAnsi="Arial" w:cs="Arial"/>
                <w:sz w:val="20"/>
                <w:szCs w:val="20"/>
              </w:rPr>
              <w:t>Stvaratelj dokumenta, tijelo koje provodi savjetovanje</w:t>
            </w:r>
          </w:p>
        </w:tc>
        <w:tc>
          <w:tcPr>
            <w:tcW w:w="6870" w:type="dxa"/>
          </w:tcPr>
          <w:p w:rsidR="00117139" w:rsidRPr="00AA051D" w:rsidRDefault="004C59DC" w:rsidP="00BD18C5">
            <w:pPr>
              <w:spacing w:after="0" w:line="240" w:lineRule="auto"/>
              <w:jc w:val="both"/>
              <w:rPr>
                <w:rFonts w:ascii="Arial" w:eastAsia="Simsun (Founder Extended)" w:hAnsi="Arial" w:cs="Arial"/>
                <w:sz w:val="20"/>
                <w:szCs w:val="20"/>
              </w:rPr>
            </w:pPr>
            <w:r>
              <w:rPr>
                <w:rFonts w:ascii="Arial" w:eastAsia="Simsun (Founder Extended)" w:hAnsi="Arial" w:cs="Arial"/>
                <w:sz w:val="20"/>
                <w:szCs w:val="20"/>
              </w:rPr>
              <w:t xml:space="preserve">Ministarstvo </w:t>
            </w:r>
            <w:r w:rsidR="00BD18C5">
              <w:rPr>
                <w:rFonts w:ascii="Arial" w:eastAsia="Simsun (Founder Extended)" w:hAnsi="Arial" w:cs="Arial"/>
                <w:sz w:val="20"/>
                <w:szCs w:val="20"/>
              </w:rPr>
              <w:t>gospodarstva i održivog razvoja</w:t>
            </w:r>
          </w:p>
        </w:tc>
      </w:tr>
      <w:tr w:rsidR="00117139" w:rsidRPr="00AA051D" w:rsidTr="0008777D">
        <w:tc>
          <w:tcPr>
            <w:tcW w:w="2418" w:type="dxa"/>
          </w:tcPr>
          <w:p w:rsidR="00117139" w:rsidRPr="00AA051D" w:rsidRDefault="00117139" w:rsidP="0008777D">
            <w:pPr>
              <w:spacing w:after="0" w:line="240" w:lineRule="auto"/>
              <w:jc w:val="both"/>
              <w:rPr>
                <w:rFonts w:ascii="Arial" w:eastAsia="Simsun (Founder Extended)" w:hAnsi="Arial" w:cs="Arial"/>
                <w:sz w:val="20"/>
                <w:szCs w:val="20"/>
              </w:rPr>
            </w:pPr>
            <w:r w:rsidRPr="00AA051D">
              <w:rPr>
                <w:rFonts w:ascii="Arial" w:eastAsia="Simsun (Founder Extended)" w:hAnsi="Arial" w:cs="Arial"/>
                <w:sz w:val="20"/>
                <w:szCs w:val="20"/>
              </w:rPr>
              <w:t>Svrha dokumenta</w:t>
            </w:r>
          </w:p>
        </w:tc>
        <w:tc>
          <w:tcPr>
            <w:tcW w:w="6870" w:type="dxa"/>
          </w:tcPr>
          <w:p w:rsidR="00FB6023" w:rsidRPr="00FB6023" w:rsidRDefault="00BD18C5" w:rsidP="00FB6023">
            <w:pPr>
              <w:spacing w:after="0" w:line="240" w:lineRule="auto"/>
              <w:jc w:val="both"/>
              <w:rPr>
                <w:rFonts w:ascii="Arial" w:eastAsia="Simsun (Founder Extended)" w:hAnsi="Arial" w:cs="Arial"/>
                <w:sz w:val="20"/>
                <w:szCs w:val="20"/>
              </w:rPr>
            </w:pPr>
            <w:r w:rsidRPr="00BD18C5">
              <w:rPr>
                <w:rFonts w:ascii="Arial" w:eastAsia="Simsun (Founder Extended)" w:hAnsi="Arial" w:cs="Arial"/>
                <w:sz w:val="20"/>
                <w:szCs w:val="20"/>
              </w:rPr>
              <w:t>Pravna osnova za donošenje Programa praćenja kvalitete tekućih naftnih goriva za 2021. godinu je članak 49. stavak 4.</w:t>
            </w:r>
            <w:r w:rsidRPr="00BD18C5">
              <w:rPr>
                <w:rFonts w:ascii="Arial" w:eastAsia="Simsun (Founder Extended)" w:hAnsi="Arial" w:cs="Arial"/>
                <w:i/>
                <w:sz w:val="20"/>
                <w:szCs w:val="20"/>
              </w:rPr>
              <w:t xml:space="preserve"> Zakona o zaštiti zraka („Narodne novine“, br. 127/19)</w:t>
            </w:r>
            <w:r w:rsidRPr="00BD18C5">
              <w:rPr>
                <w:rFonts w:ascii="Arial" w:eastAsia="Simsun (Founder Extended)" w:hAnsi="Arial" w:cs="Arial"/>
                <w:sz w:val="20"/>
                <w:szCs w:val="20"/>
              </w:rPr>
              <w:t xml:space="preserve"> kojim je dana ovlast ministru gospodarstva i održivog razvoja za donošenjem godišnjeg Programa kojim se obuhvaćaju dobavljači koji tekuća naftna goriva stavljaju na tržište ili koriste za vlastite potrebe. Temeljem istog članka Zakona, predmetni Program se objavljuje na mrežnim stranicama Ministarstva gospodarstva i održivog razvoja.</w:t>
            </w:r>
            <w:r w:rsidR="00FB6023" w:rsidRPr="00FB6023">
              <w:rPr>
                <w:rFonts w:ascii="Arial" w:eastAsia="Simsun (Founder Extended)" w:hAnsi="Arial" w:cs="Arial"/>
                <w:sz w:val="20"/>
                <w:szCs w:val="20"/>
              </w:rPr>
              <w:t xml:space="preserve"> </w:t>
            </w:r>
          </w:p>
          <w:p w:rsidR="00FB6023" w:rsidRPr="00FB6023" w:rsidRDefault="00FB6023" w:rsidP="00FB6023">
            <w:pPr>
              <w:spacing w:after="0" w:line="240" w:lineRule="auto"/>
              <w:jc w:val="both"/>
              <w:rPr>
                <w:rFonts w:ascii="Arial" w:eastAsia="Simsun (Founder Extended)" w:hAnsi="Arial" w:cs="Arial"/>
                <w:sz w:val="20"/>
                <w:szCs w:val="20"/>
              </w:rPr>
            </w:pPr>
          </w:p>
          <w:p w:rsidR="00FB6023" w:rsidRPr="00BD18C5" w:rsidRDefault="00BD18C5" w:rsidP="00FB6023">
            <w:pPr>
              <w:spacing w:after="0" w:line="240" w:lineRule="auto"/>
              <w:jc w:val="both"/>
              <w:rPr>
                <w:rFonts w:ascii="Arial" w:eastAsia="Simsun (Founder Extended)" w:hAnsi="Arial" w:cs="Arial"/>
                <w:sz w:val="20"/>
                <w:szCs w:val="20"/>
              </w:rPr>
            </w:pPr>
            <w:r w:rsidRPr="00BD18C5">
              <w:rPr>
                <w:rFonts w:ascii="Arial" w:eastAsia="Simsun (Founder Extended)" w:hAnsi="Arial" w:cs="Arial"/>
                <w:sz w:val="20"/>
                <w:szCs w:val="20"/>
              </w:rPr>
              <w:t>Tekuća naftna goriva koja su obuhvaćena ovim Programom su benzin, dizel, plinsko i loživo ulje, te brodska goriva (na terminalima)</w:t>
            </w:r>
            <w:r>
              <w:rPr>
                <w:rFonts w:ascii="Arial" w:eastAsia="Simsun (Founder Extended)" w:hAnsi="Arial" w:cs="Arial"/>
                <w:sz w:val="20"/>
                <w:szCs w:val="20"/>
              </w:rPr>
              <w:t>.</w:t>
            </w:r>
          </w:p>
          <w:p w:rsidR="00FB6023" w:rsidRPr="00FB6023" w:rsidRDefault="00FB6023" w:rsidP="00FB6023">
            <w:pPr>
              <w:spacing w:after="0" w:line="240" w:lineRule="auto"/>
              <w:jc w:val="both"/>
              <w:rPr>
                <w:rFonts w:ascii="Arial" w:eastAsia="Simsun (Founder Extended)" w:hAnsi="Arial" w:cs="Arial"/>
                <w:sz w:val="20"/>
                <w:szCs w:val="20"/>
              </w:rPr>
            </w:pPr>
          </w:p>
          <w:p w:rsidR="004C59DC" w:rsidRPr="00AA051D" w:rsidRDefault="00BD18C5" w:rsidP="00FB6023">
            <w:pPr>
              <w:spacing w:after="0" w:line="240" w:lineRule="auto"/>
              <w:jc w:val="both"/>
              <w:rPr>
                <w:rFonts w:ascii="Arial" w:eastAsia="Simsun (Founder Extended)" w:hAnsi="Arial" w:cs="Arial"/>
                <w:sz w:val="20"/>
                <w:szCs w:val="20"/>
              </w:rPr>
            </w:pPr>
            <w:r w:rsidRPr="00BD18C5">
              <w:rPr>
                <w:rFonts w:ascii="Arial" w:eastAsia="Simsun (Founder Extended)" w:hAnsi="Arial" w:cs="Arial"/>
                <w:sz w:val="20"/>
                <w:szCs w:val="20"/>
              </w:rPr>
              <w:t xml:space="preserve">Svrha donošenja Programa je praćenje i provjera kvalitete navedenih goriva koja se stavljaju na tržište te njihovom udovoljavanju propisanim odredbama kvalitete iz </w:t>
            </w:r>
            <w:r w:rsidRPr="00BD18C5">
              <w:rPr>
                <w:rFonts w:ascii="Arial" w:eastAsia="Simsun (Founder Extended)" w:hAnsi="Arial" w:cs="Arial"/>
                <w:i/>
                <w:sz w:val="20"/>
                <w:szCs w:val="20"/>
                <w:lang w:val="pl-PL"/>
              </w:rPr>
              <w:t>Uredbe</w:t>
            </w:r>
            <w:r w:rsidRPr="00BD18C5">
              <w:rPr>
                <w:rFonts w:ascii="Arial" w:eastAsia="Simsun (Founder Extended)" w:hAnsi="Arial" w:cs="Arial"/>
                <w:i/>
                <w:sz w:val="20"/>
                <w:szCs w:val="20"/>
              </w:rPr>
              <w:t xml:space="preserve"> </w:t>
            </w:r>
            <w:r w:rsidRPr="00BD18C5">
              <w:rPr>
                <w:rFonts w:ascii="Arial" w:eastAsia="Simsun (Founder Extended)" w:hAnsi="Arial" w:cs="Arial"/>
                <w:i/>
                <w:sz w:val="20"/>
                <w:szCs w:val="20"/>
                <w:lang w:val="pl-PL"/>
              </w:rPr>
              <w:t>o</w:t>
            </w:r>
            <w:r w:rsidRPr="00BD18C5">
              <w:rPr>
                <w:rFonts w:ascii="Arial" w:eastAsia="Simsun (Founder Extended)" w:hAnsi="Arial" w:cs="Arial"/>
                <w:i/>
                <w:sz w:val="20"/>
                <w:szCs w:val="20"/>
              </w:rPr>
              <w:t xml:space="preserve"> </w:t>
            </w:r>
            <w:r w:rsidRPr="00BD18C5">
              <w:rPr>
                <w:rFonts w:ascii="Arial" w:eastAsia="Simsun (Founder Extended)" w:hAnsi="Arial" w:cs="Arial"/>
                <w:i/>
                <w:sz w:val="20"/>
                <w:szCs w:val="20"/>
                <w:lang w:val="pl-PL"/>
              </w:rPr>
              <w:t>kvaliteti</w:t>
            </w:r>
            <w:r w:rsidRPr="00BD18C5">
              <w:rPr>
                <w:rFonts w:ascii="Arial" w:eastAsia="Simsun (Founder Extended)" w:hAnsi="Arial" w:cs="Arial"/>
                <w:i/>
                <w:sz w:val="20"/>
                <w:szCs w:val="20"/>
              </w:rPr>
              <w:t xml:space="preserve"> </w:t>
            </w:r>
            <w:r w:rsidRPr="00BD18C5">
              <w:rPr>
                <w:rFonts w:ascii="Arial" w:eastAsia="Simsun (Founder Extended)" w:hAnsi="Arial" w:cs="Arial"/>
                <w:i/>
                <w:sz w:val="20"/>
                <w:szCs w:val="20"/>
                <w:lang w:val="pl-PL"/>
              </w:rPr>
              <w:t>teku</w:t>
            </w:r>
            <w:r w:rsidRPr="00BD18C5">
              <w:rPr>
                <w:rFonts w:ascii="Arial" w:eastAsia="Simsun (Founder Extended)" w:hAnsi="Arial" w:cs="Arial"/>
                <w:i/>
                <w:sz w:val="20"/>
                <w:szCs w:val="20"/>
              </w:rPr>
              <w:t>ć</w:t>
            </w:r>
            <w:r w:rsidRPr="00BD18C5">
              <w:rPr>
                <w:rFonts w:ascii="Arial" w:eastAsia="Simsun (Founder Extended)" w:hAnsi="Arial" w:cs="Arial"/>
                <w:i/>
                <w:sz w:val="20"/>
                <w:szCs w:val="20"/>
                <w:lang w:val="pl-PL"/>
              </w:rPr>
              <w:t>ih</w:t>
            </w:r>
            <w:r w:rsidRPr="00BD18C5">
              <w:rPr>
                <w:rFonts w:ascii="Arial" w:eastAsia="Simsun (Founder Extended)" w:hAnsi="Arial" w:cs="Arial"/>
                <w:i/>
                <w:sz w:val="20"/>
                <w:szCs w:val="20"/>
              </w:rPr>
              <w:t xml:space="preserve"> </w:t>
            </w:r>
            <w:r w:rsidRPr="00BD18C5">
              <w:rPr>
                <w:rFonts w:ascii="Arial" w:eastAsia="Simsun (Founder Extended)" w:hAnsi="Arial" w:cs="Arial"/>
                <w:i/>
                <w:sz w:val="20"/>
                <w:szCs w:val="20"/>
                <w:lang w:val="pl-PL"/>
              </w:rPr>
              <w:t>naftnih</w:t>
            </w:r>
            <w:r w:rsidRPr="00BD18C5">
              <w:rPr>
                <w:rFonts w:ascii="Arial" w:eastAsia="Simsun (Founder Extended)" w:hAnsi="Arial" w:cs="Arial"/>
                <w:i/>
                <w:sz w:val="20"/>
                <w:szCs w:val="20"/>
              </w:rPr>
              <w:t xml:space="preserve"> </w:t>
            </w:r>
            <w:r w:rsidRPr="00BD18C5">
              <w:rPr>
                <w:rFonts w:ascii="Arial" w:eastAsia="Simsun (Founder Extended)" w:hAnsi="Arial" w:cs="Arial"/>
                <w:i/>
                <w:sz w:val="20"/>
                <w:szCs w:val="20"/>
                <w:lang w:val="pl-PL"/>
              </w:rPr>
              <w:t>goriva</w:t>
            </w:r>
            <w:r w:rsidRPr="00BD18C5">
              <w:rPr>
                <w:rFonts w:ascii="Arial" w:eastAsia="Simsun (Founder Extended)" w:hAnsi="Arial" w:cs="Arial"/>
                <w:i/>
                <w:sz w:val="20"/>
                <w:szCs w:val="20"/>
              </w:rPr>
              <w:t xml:space="preserve"> i načinu praćenja i izvješćivanja te metodologiji izračuna emisija stakleničkih plinova u životnom vijeku isporučenih goriva i energije</w:t>
            </w:r>
            <w:r w:rsidRPr="00BD18C5">
              <w:rPr>
                <w:rFonts w:ascii="Arial" w:eastAsia="Simsun (Founder Extended)" w:hAnsi="Arial" w:cs="Arial"/>
                <w:sz w:val="20"/>
                <w:szCs w:val="20"/>
              </w:rPr>
              <w:t xml:space="preserve"> </w:t>
            </w:r>
            <w:r w:rsidRPr="00BD18C5">
              <w:rPr>
                <w:rFonts w:ascii="Arial" w:eastAsia="Simsun (Founder Extended)" w:hAnsi="Arial" w:cs="Arial"/>
                <w:i/>
                <w:sz w:val="20"/>
                <w:szCs w:val="20"/>
              </w:rPr>
              <w:t>(Narodne novine, broj 57/17)</w:t>
            </w:r>
            <w:r w:rsidRPr="00BD18C5">
              <w:rPr>
                <w:rFonts w:ascii="Arial" w:eastAsia="Simsun (Founder Extended)" w:hAnsi="Arial" w:cs="Arial"/>
                <w:sz w:val="20"/>
                <w:szCs w:val="20"/>
              </w:rPr>
              <w:t>, a naročito propisanoj količini sumpora u gorivima.</w:t>
            </w:r>
          </w:p>
        </w:tc>
      </w:tr>
      <w:tr w:rsidR="00117139" w:rsidRPr="00AA051D" w:rsidTr="0008777D">
        <w:tc>
          <w:tcPr>
            <w:tcW w:w="2418" w:type="dxa"/>
          </w:tcPr>
          <w:p w:rsidR="00117139" w:rsidRPr="00AA051D" w:rsidRDefault="00117139" w:rsidP="0008777D">
            <w:pPr>
              <w:spacing w:after="0" w:line="240" w:lineRule="auto"/>
              <w:jc w:val="both"/>
              <w:rPr>
                <w:rFonts w:ascii="Arial" w:eastAsia="Simsun (Founder Extended)" w:hAnsi="Arial" w:cs="Arial"/>
                <w:sz w:val="20"/>
                <w:szCs w:val="20"/>
              </w:rPr>
            </w:pPr>
            <w:r w:rsidRPr="00AA051D">
              <w:rPr>
                <w:rFonts w:ascii="Arial" w:eastAsia="Simsun (Founder Extended)" w:hAnsi="Arial" w:cs="Arial"/>
                <w:sz w:val="20"/>
                <w:szCs w:val="20"/>
              </w:rPr>
              <w:t>Datum dokumenta</w:t>
            </w:r>
          </w:p>
        </w:tc>
        <w:tc>
          <w:tcPr>
            <w:tcW w:w="6870" w:type="dxa"/>
          </w:tcPr>
          <w:p w:rsidR="00117139" w:rsidRPr="00AA051D" w:rsidRDefault="00D26BDB" w:rsidP="004C59DC">
            <w:pPr>
              <w:spacing w:after="0" w:line="240" w:lineRule="auto"/>
              <w:jc w:val="both"/>
              <w:rPr>
                <w:rFonts w:ascii="Arial" w:eastAsia="Simsun (Founder Extended)" w:hAnsi="Arial" w:cs="Arial"/>
                <w:sz w:val="20"/>
                <w:szCs w:val="20"/>
              </w:rPr>
            </w:pPr>
            <w:r>
              <w:rPr>
                <w:rFonts w:ascii="Arial" w:eastAsia="Simsun (Founder Extended)" w:hAnsi="Arial" w:cs="Arial"/>
                <w:sz w:val="20"/>
                <w:szCs w:val="20"/>
              </w:rPr>
              <w:t>30. listopada 2020</w:t>
            </w:r>
            <w:r w:rsidR="004C59DC">
              <w:rPr>
                <w:rFonts w:ascii="Arial" w:eastAsia="Simsun (Founder Extended)" w:hAnsi="Arial" w:cs="Arial"/>
                <w:sz w:val="20"/>
                <w:szCs w:val="20"/>
              </w:rPr>
              <w:t>.</w:t>
            </w:r>
            <w:r w:rsidR="00117139" w:rsidRPr="00AA051D">
              <w:rPr>
                <w:rFonts w:ascii="Arial" w:eastAsia="Simsun (Founder Extended)" w:hAnsi="Arial" w:cs="Arial"/>
                <w:sz w:val="20"/>
                <w:szCs w:val="20"/>
              </w:rPr>
              <w:t xml:space="preserve"> </w:t>
            </w:r>
          </w:p>
        </w:tc>
      </w:tr>
      <w:tr w:rsidR="00117139" w:rsidRPr="00AA051D" w:rsidTr="0008777D">
        <w:tc>
          <w:tcPr>
            <w:tcW w:w="2418" w:type="dxa"/>
          </w:tcPr>
          <w:p w:rsidR="00117139" w:rsidRPr="00AA051D" w:rsidRDefault="00117139" w:rsidP="0008777D">
            <w:pPr>
              <w:spacing w:after="0" w:line="240" w:lineRule="auto"/>
              <w:jc w:val="both"/>
              <w:rPr>
                <w:rFonts w:ascii="Arial" w:eastAsia="Simsun (Founder Extended)" w:hAnsi="Arial" w:cs="Arial"/>
                <w:sz w:val="20"/>
                <w:szCs w:val="20"/>
              </w:rPr>
            </w:pPr>
            <w:r w:rsidRPr="00AA051D">
              <w:rPr>
                <w:rFonts w:ascii="Arial" w:eastAsia="Simsun (Founder Extended)" w:hAnsi="Arial" w:cs="Arial"/>
                <w:sz w:val="20"/>
                <w:szCs w:val="20"/>
              </w:rPr>
              <w:t>Verzija dokumenta</w:t>
            </w:r>
          </w:p>
        </w:tc>
        <w:tc>
          <w:tcPr>
            <w:tcW w:w="6870" w:type="dxa"/>
          </w:tcPr>
          <w:p w:rsidR="00117139" w:rsidRPr="00AA051D" w:rsidRDefault="001806F9" w:rsidP="0008777D">
            <w:pPr>
              <w:spacing w:after="0" w:line="240" w:lineRule="auto"/>
              <w:jc w:val="both"/>
              <w:rPr>
                <w:rFonts w:ascii="Arial" w:eastAsia="Simsun (Founder Extended)" w:hAnsi="Arial" w:cs="Arial"/>
                <w:sz w:val="20"/>
                <w:szCs w:val="20"/>
              </w:rPr>
            </w:pPr>
            <w:r>
              <w:rPr>
                <w:rFonts w:ascii="Arial" w:eastAsia="Simsun (Founder Extended)" w:hAnsi="Arial" w:cs="Arial"/>
                <w:sz w:val="20"/>
                <w:szCs w:val="20"/>
              </w:rPr>
              <w:t>verzija za e-savjetovanje</w:t>
            </w:r>
          </w:p>
        </w:tc>
      </w:tr>
      <w:tr w:rsidR="00117139" w:rsidRPr="00AA051D" w:rsidTr="0008777D">
        <w:tc>
          <w:tcPr>
            <w:tcW w:w="9288" w:type="dxa"/>
            <w:gridSpan w:val="2"/>
          </w:tcPr>
          <w:p w:rsidR="00BD18C5" w:rsidRPr="00BD18C5" w:rsidRDefault="00BD18C5" w:rsidP="00BD18C5">
            <w:pPr>
              <w:spacing w:after="0"/>
              <w:jc w:val="both"/>
              <w:rPr>
                <w:rFonts w:ascii="Arial" w:hAnsi="Arial" w:cs="Arial"/>
                <w:sz w:val="20"/>
                <w:szCs w:val="20"/>
              </w:rPr>
            </w:pPr>
            <w:r w:rsidRPr="00BD18C5">
              <w:rPr>
                <w:rFonts w:ascii="Arial" w:hAnsi="Arial" w:cs="Arial"/>
                <w:sz w:val="20"/>
                <w:szCs w:val="20"/>
              </w:rPr>
              <w:t>Prijedlogom Programa propisuje se:</w:t>
            </w:r>
          </w:p>
          <w:p w:rsidR="00BD18C5" w:rsidRPr="00BD18C5" w:rsidRDefault="00BD18C5" w:rsidP="00BD18C5">
            <w:pPr>
              <w:numPr>
                <w:ilvl w:val="0"/>
                <w:numId w:val="2"/>
              </w:numPr>
              <w:spacing w:after="0"/>
              <w:jc w:val="both"/>
              <w:rPr>
                <w:rFonts w:ascii="Arial" w:hAnsi="Arial" w:cs="Arial"/>
                <w:sz w:val="20"/>
                <w:szCs w:val="20"/>
              </w:rPr>
            </w:pPr>
            <w:r w:rsidRPr="00BD18C5">
              <w:rPr>
                <w:rFonts w:ascii="Arial" w:hAnsi="Arial" w:cs="Arial"/>
                <w:sz w:val="20"/>
                <w:szCs w:val="20"/>
              </w:rPr>
              <w:t>način uzorkovanja tekućih naftnih goriva na benzinskim postajama,</w:t>
            </w:r>
          </w:p>
          <w:p w:rsidR="00BD18C5" w:rsidRPr="00BD18C5" w:rsidRDefault="00BD18C5" w:rsidP="00BD18C5">
            <w:pPr>
              <w:numPr>
                <w:ilvl w:val="0"/>
                <w:numId w:val="2"/>
              </w:numPr>
              <w:spacing w:after="0"/>
              <w:jc w:val="both"/>
              <w:rPr>
                <w:rFonts w:ascii="Arial" w:hAnsi="Arial" w:cs="Arial"/>
                <w:sz w:val="20"/>
                <w:szCs w:val="20"/>
              </w:rPr>
            </w:pPr>
            <w:r w:rsidRPr="00BD18C5">
              <w:rPr>
                <w:rFonts w:ascii="Arial" w:hAnsi="Arial" w:cs="Arial"/>
                <w:sz w:val="20"/>
                <w:szCs w:val="20"/>
              </w:rPr>
              <w:t>broj i učestalost uzimanja uzoraka i lokacije uzorkovanja tekućih naftnih goriva na benzinskim postajama po dobavljačima,</w:t>
            </w:r>
          </w:p>
          <w:p w:rsidR="00BD18C5" w:rsidRPr="00BD18C5" w:rsidRDefault="00BD18C5" w:rsidP="00BD18C5">
            <w:pPr>
              <w:numPr>
                <w:ilvl w:val="0"/>
                <w:numId w:val="2"/>
              </w:numPr>
              <w:spacing w:after="0"/>
              <w:jc w:val="both"/>
              <w:rPr>
                <w:rFonts w:ascii="Arial" w:hAnsi="Arial" w:cs="Arial"/>
                <w:sz w:val="20"/>
                <w:szCs w:val="20"/>
              </w:rPr>
            </w:pPr>
            <w:r w:rsidRPr="00BD18C5">
              <w:rPr>
                <w:rFonts w:ascii="Arial" w:hAnsi="Arial" w:cs="Arial"/>
                <w:sz w:val="20"/>
                <w:szCs w:val="20"/>
              </w:rPr>
              <w:t>način uzorkovanja tekućih naftnih goriva na skladištima,</w:t>
            </w:r>
          </w:p>
          <w:p w:rsidR="00BD18C5" w:rsidRPr="00BD18C5" w:rsidRDefault="00BD18C5" w:rsidP="00BD18C5">
            <w:pPr>
              <w:numPr>
                <w:ilvl w:val="0"/>
                <w:numId w:val="2"/>
              </w:numPr>
              <w:spacing w:after="0"/>
              <w:jc w:val="both"/>
              <w:rPr>
                <w:rFonts w:ascii="Arial" w:hAnsi="Arial" w:cs="Arial"/>
                <w:sz w:val="20"/>
                <w:szCs w:val="20"/>
              </w:rPr>
            </w:pPr>
            <w:r w:rsidRPr="00BD18C5">
              <w:rPr>
                <w:rFonts w:ascii="Arial" w:hAnsi="Arial" w:cs="Arial"/>
                <w:sz w:val="20"/>
                <w:szCs w:val="20"/>
              </w:rPr>
              <w:t>broj uzorkovanja tekućih naftnih goriva na skladištima po dobavljačima,</w:t>
            </w:r>
          </w:p>
          <w:p w:rsidR="00BD18C5" w:rsidRPr="00BD18C5" w:rsidRDefault="00BD18C5" w:rsidP="00BD18C5">
            <w:pPr>
              <w:numPr>
                <w:ilvl w:val="0"/>
                <w:numId w:val="2"/>
              </w:numPr>
              <w:spacing w:after="0"/>
              <w:jc w:val="both"/>
              <w:rPr>
                <w:rFonts w:ascii="Arial" w:hAnsi="Arial" w:cs="Arial"/>
                <w:sz w:val="20"/>
                <w:szCs w:val="20"/>
              </w:rPr>
            </w:pPr>
            <w:r w:rsidRPr="00BD18C5">
              <w:rPr>
                <w:rFonts w:ascii="Arial" w:hAnsi="Arial" w:cs="Arial"/>
                <w:sz w:val="20"/>
                <w:szCs w:val="20"/>
              </w:rPr>
              <w:t>način obavljanja laboratorijske analize uzoraka tekućih naftnih goriva i izvješćivanje o rezultatima.</w:t>
            </w:r>
          </w:p>
          <w:p w:rsidR="001806F9" w:rsidRDefault="00BD18C5" w:rsidP="00BD18C5">
            <w:pPr>
              <w:spacing w:after="120" w:line="240" w:lineRule="auto"/>
              <w:jc w:val="both"/>
              <w:rPr>
                <w:rFonts w:ascii="Arial" w:eastAsia="Simsun (Founder Extended)" w:hAnsi="Arial" w:cs="Arial"/>
                <w:sz w:val="20"/>
                <w:szCs w:val="20"/>
              </w:rPr>
            </w:pPr>
            <w:r w:rsidRPr="00BD18C5">
              <w:rPr>
                <w:rFonts w:ascii="Arial" w:hAnsi="Arial" w:cs="Arial"/>
                <w:sz w:val="20"/>
                <w:szCs w:val="20"/>
              </w:rPr>
              <w:t>Izrađenim prijedlogom Programa je u 2021. godini predviđeno ukupno 506 uzorkovanja i analiza tekućih naftnih goriva (370 na benzinskim postajama i 136 na terminalima) za 39 pravnih osoba (dobavljača) koje stavljaju tekuća naftna goriva na tržište Republike Hrvatske.</w:t>
            </w:r>
          </w:p>
          <w:p w:rsidR="001806F9" w:rsidRDefault="001806F9" w:rsidP="001806F9">
            <w:pPr>
              <w:spacing w:after="120" w:line="240" w:lineRule="auto"/>
              <w:jc w:val="both"/>
              <w:rPr>
                <w:rFonts w:ascii="Arial" w:eastAsia="Simsun (Founder Extended)" w:hAnsi="Arial" w:cs="Arial"/>
                <w:sz w:val="20"/>
                <w:szCs w:val="20"/>
              </w:rPr>
            </w:pPr>
            <w:r w:rsidRPr="001806F9">
              <w:rPr>
                <w:rFonts w:ascii="Arial" w:eastAsia="Simsun (Founder Extended)" w:hAnsi="Arial" w:cs="Arial"/>
                <w:sz w:val="20"/>
                <w:szCs w:val="20"/>
              </w:rPr>
              <w:t xml:space="preserve">Donošenjem predmetnog Programa provode se odredbe iz </w:t>
            </w:r>
            <w:r w:rsidRPr="00BD18C5">
              <w:rPr>
                <w:rFonts w:ascii="Arial" w:eastAsia="Simsun (Founder Extended)" w:hAnsi="Arial" w:cs="Arial"/>
                <w:i/>
                <w:sz w:val="20"/>
                <w:szCs w:val="20"/>
              </w:rPr>
              <w:t>Uredbe o kvaliteti tekućih naftnih goriva i načinu praćenja i izvješćivanja te metodologiji izračuna emisija stakleničkih plinova u životnom vijeku isporučenih goriva i energije</w:t>
            </w:r>
            <w:r w:rsidRPr="001806F9">
              <w:rPr>
                <w:rFonts w:ascii="Arial" w:eastAsia="Simsun (Founder Extended)" w:hAnsi="Arial" w:cs="Arial"/>
                <w:sz w:val="20"/>
                <w:szCs w:val="20"/>
              </w:rPr>
              <w:t xml:space="preserve"> kojom je usklađeno hrvatsko zakonodavstvo iz područja zaštite okoliša sa pravnom stečevinom Europske unije i odredbama Direktive 98/70/EZ od 13. listopada 1998. u pogledu specifikacija benzina, dizelskog goriva i plinskog ulja i uvođenjem mehanizama praćenja i smanjivanja emisija stakleničkih plinova i Direktive Vijeća 1999/32/EZ o smanjenju sadržaja sumpora u određenim tekućim gorivima, te njihovim izmjenama i dopunama kroz Direktivu 2003/17/EZ Europskog parlamenata i Vijeća od 03. ožujka 2003. godine, Direktivu 2005/33EZ Europskog parlamenta i Vijeća od 06. srpnja 2005., Direktivu 2009/30/EZ Europskog parlamenta i Vijeća od 23. travnja 2009. i Direktivu 2012/33/EU Europskog parlamenta i Vijeća od 21. studenoga 2012.</w:t>
            </w:r>
          </w:p>
          <w:p w:rsidR="001806F9" w:rsidRPr="00AA051D" w:rsidRDefault="001806F9" w:rsidP="001806F9">
            <w:pPr>
              <w:spacing w:after="120" w:line="240" w:lineRule="auto"/>
              <w:jc w:val="both"/>
              <w:rPr>
                <w:rFonts w:ascii="Arial" w:eastAsia="Simsun (Founder Extended)" w:hAnsi="Arial" w:cs="Arial"/>
                <w:sz w:val="20"/>
                <w:szCs w:val="20"/>
              </w:rPr>
            </w:pPr>
            <w:r w:rsidRPr="001806F9">
              <w:rPr>
                <w:rFonts w:ascii="Arial" w:eastAsia="Simsun (Founder Extended)" w:hAnsi="Arial" w:cs="Arial"/>
                <w:sz w:val="20"/>
                <w:szCs w:val="20"/>
              </w:rPr>
              <w:t>Obveza praćenja kvalitete benzina i dizelskog goriva za sve članice Europske unije propisana je Direktivom 98/70/EZ i njenim izmjenama i dopunama kroz Direktive 2003/17/EZ i 2009/30/EZ dok je obveza praćenja plinskog i loživog ulja te brodskih goriva propisana Direktivom 1999/32/EZ i njenim izmjenama i dopunama kroz Direktivu 2012/33/EU. Minimalni broj uzoraka kroz godinu i način praćenja tekućih naftnih goriva propisuje se u skladu sa standardima Europske unije odnosno temeljem pravila statističke metode HRN EN 14274.</w:t>
            </w:r>
          </w:p>
        </w:tc>
      </w:tr>
      <w:tr w:rsidR="00117139" w:rsidRPr="00AA051D" w:rsidTr="0008777D">
        <w:tc>
          <w:tcPr>
            <w:tcW w:w="9288" w:type="dxa"/>
            <w:gridSpan w:val="2"/>
          </w:tcPr>
          <w:p w:rsidR="00117139" w:rsidRPr="00AA051D" w:rsidRDefault="001806F9" w:rsidP="001806F9">
            <w:pPr>
              <w:spacing w:before="120" w:after="120" w:line="240" w:lineRule="auto"/>
              <w:jc w:val="both"/>
              <w:rPr>
                <w:rFonts w:ascii="Arial" w:eastAsia="Simsun (Founder Extended)" w:hAnsi="Arial" w:cs="Arial"/>
                <w:sz w:val="20"/>
                <w:szCs w:val="20"/>
              </w:rPr>
            </w:pPr>
            <w:r w:rsidRPr="001806F9">
              <w:rPr>
                <w:rFonts w:ascii="Arial" w:eastAsia="Simsun (Founder Extended)" w:hAnsi="Arial" w:cs="Arial"/>
                <w:sz w:val="20"/>
                <w:szCs w:val="20"/>
              </w:rPr>
              <w:t>Javnost i zainteresirana javnost može se uključiti u izradu Prijedloga Programa davanjem svojih prijedloga, mišljenja ili primjedbi putem portala e-Savjetovanja u razdoblju</w:t>
            </w:r>
            <w:r w:rsidR="007609B6">
              <w:rPr>
                <w:rFonts w:ascii="Arial" w:eastAsia="Simsun (Founder Extended)" w:hAnsi="Arial" w:cs="Arial"/>
                <w:sz w:val="20"/>
                <w:szCs w:val="20"/>
              </w:rPr>
              <w:t xml:space="preserve"> od 30 dana od dana objave ovog savjetovanja</w:t>
            </w:r>
            <w:r w:rsidRPr="001806F9">
              <w:rPr>
                <w:rFonts w:ascii="Arial" w:eastAsia="Simsun (Founder Extended)" w:hAnsi="Arial" w:cs="Arial"/>
                <w:sz w:val="20"/>
                <w:szCs w:val="20"/>
              </w:rPr>
              <w:t>.</w:t>
            </w:r>
            <w:bookmarkStart w:id="0" w:name="_GoBack"/>
            <w:bookmarkEnd w:id="0"/>
          </w:p>
        </w:tc>
      </w:tr>
    </w:tbl>
    <w:p w:rsidR="0083569D" w:rsidRDefault="0083569D"/>
    <w:sectPr w:rsidR="0083569D" w:rsidSect="00BD18C5">
      <w:pgSz w:w="12242" w:h="17067" w:code="1"/>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Founder Extended)">
    <w:charset w:val="86"/>
    <w:family w:val="script"/>
    <w:pitch w:val="fixed"/>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56F"/>
    <w:multiLevelType w:val="hybridMultilevel"/>
    <w:tmpl w:val="5CD0F9D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21E5C26"/>
    <w:multiLevelType w:val="hybridMultilevel"/>
    <w:tmpl w:val="F4920DB6"/>
    <w:lvl w:ilvl="0" w:tplc="8CDA06DE">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39"/>
    <w:rsid w:val="0008777D"/>
    <w:rsid w:val="000A69CB"/>
    <w:rsid w:val="00117139"/>
    <w:rsid w:val="001806F9"/>
    <w:rsid w:val="00297BD5"/>
    <w:rsid w:val="004C59DC"/>
    <w:rsid w:val="0066471C"/>
    <w:rsid w:val="007609B6"/>
    <w:rsid w:val="007968C1"/>
    <w:rsid w:val="007A3196"/>
    <w:rsid w:val="0083569D"/>
    <w:rsid w:val="009436A5"/>
    <w:rsid w:val="00A14585"/>
    <w:rsid w:val="00A17EFF"/>
    <w:rsid w:val="00AA051D"/>
    <w:rsid w:val="00B0255E"/>
    <w:rsid w:val="00BD18C5"/>
    <w:rsid w:val="00BE22C2"/>
    <w:rsid w:val="00BF0E0B"/>
    <w:rsid w:val="00C9590D"/>
    <w:rsid w:val="00CD5231"/>
    <w:rsid w:val="00D26BDB"/>
    <w:rsid w:val="00DD1522"/>
    <w:rsid w:val="00E3268D"/>
    <w:rsid w:val="00E34ED3"/>
    <w:rsid w:val="00EE6637"/>
    <w:rsid w:val="00F46CF3"/>
    <w:rsid w:val="00F504AD"/>
    <w:rsid w:val="00FB60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FC704"/>
  <w15:chartTrackingRefBased/>
  <w15:docId w15:val="{C9417520-A382-4B35-9917-826665DD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139"/>
    <w:pPr>
      <w:spacing w:after="200" w:line="276" w:lineRule="auto"/>
    </w:pPr>
    <w:rPr>
      <w:rFonts w:ascii="Calibri" w:eastAsia="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577</Words>
  <Characters>3290</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Lendic Kasalo</dc:creator>
  <cp:keywords/>
  <cp:lastModifiedBy>Gordan Došen</cp:lastModifiedBy>
  <cp:revision>6</cp:revision>
  <dcterms:created xsi:type="dcterms:W3CDTF">2018-11-20T08:36:00Z</dcterms:created>
  <dcterms:modified xsi:type="dcterms:W3CDTF">2020-10-30T13:27:00Z</dcterms:modified>
</cp:coreProperties>
</file>