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eetkatablice"/>
        <w:tblW w:w="9923" w:type="dxa"/>
        <w:tblInd w:w="-289" w:type="dxa"/>
        <w:tblLayout w:type="fixed"/>
        <w:tblLook w:val="04A0" w:firstRow="1" w:lastRow="0" w:firstColumn="1" w:lastColumn="0" w:noHBand="0" w:noVBand="1"/>
      </w:tblPr>
      <w:tblGrid>
        <w:gridCol w:w="851"/>
        <w:gridCol w:w="2698"/>
        <w:gridCol w:w="988"/>
        <w:gridCol w:w="5386"/>
      </w:tblGrid>
      <w:tr w:rsidR="000213BB" w:rsidRPr="00665B2E" w14:paraId="30510DC8" w14:textId="77777777" w:rsidTr="00D5585E">
        <w:tc>
          <w:tcPr>
            <w:tcW w:w="9923" w:type="dxa"/>
            <w:gridSpan w:val="4"/>
            <w:shd w:val="clear" w:color="auto" w:fill="auto"/>
          </w:tcPr>
          <w:p w14:paraId="3E5B395A" w14:textId="77777777" w:rsidR="000213BB" w:rsidRPr="00665B2E" w:rsidRDefault="000213BB" w:rsidP="00665B2E">
            <w:pPr>
              <w:shd w:val="clear" w:color="auto" w:fill="FFFFFF" w:themeFill="background1"/>
              <w:jc w:val="center"/>
              <w:rPr>
                <w:b/>
              </w:rPr>
            </w:pPr>
            <w:r w:rsidRPr="00665B2E">
              <w:rPr>
                <w:b/>
              </w:rPr>
              <w:t>PRILOG 5.</w:t>
            </w:r>
          </w:p>
          <w:p w14:paraId="4CB3FF2C" w14:textId="77777777" w:rsidR="000213BB" w:rsidRPr="00665B2E" w:rsidRDefault="000213BB" w:rsidP="00665B2E">
            <w:pPr>
              <w:shd w:val="clear" w:color="auto" w:fill="FFFFFF" w:themeFill="background1"/>
              <w:jc w:val="center"/>
              <w:rPr>
                <w:b/>
              </w:rPr>
            </w:pPr>
            <w:r w:rsidRPr="00665B2E">
              <w:rPr>
                <w:b/>
              </w:rPr>
              <w:t>OBRAZAC NAKNADNE PROCJENE UČINAKA PROPISA</w:t>
            </w:r>
          </w:p>
        </w:tc>
      </w:tr>
      <w:tr w:rsidR="000213BB" w:rsidRPr="00665B2E" w14:paraId="77EB08A8" w14:textId="77777777" w:rsidTr="00D5585E">
        <w:tc>
          <w:tcPr>
            <w:tcW w:w="851" w:type="dxa"/>
          </w:tcPr>
          <w:p w14:paraId="308A807B" w14:textId="77777777" w:rsidR="000213BB" w:rsidRPr="00665B2E" w:rsidRDefault="000213BB" w:rsidP="00665B2E">
            <w:pPr>
              <w:shd w:val="clear" w:color="auto" w:fill="FFFFFF" w:themeFill="background1"/>
              <w:rPr>
                <w:b/>
              </w:rPr>
            </w:pPr>
            <w:r w:rsidRPr="00665B2E">
              <w:rPr>
                <w:b/>
              </w:rPr>
              <w:t>1.</w:t>
            </w:r>
          </w:p>
        </w:tc>
        <w:tc>
          <w:tcPr>
            <w:tcW w:w="9072" w:type="dxa"/>
            <w:gridSpan w:val="3"/>
          </w:tcPr>
          <w:p w14:paraId="4C6FCBD2" w14:textId="77777777" w:rsidR="000213BB" w:rsidRPr="00665B2E" w:rsidRDefault="000213BB" w:rsidP="00665B2E">
            <w:pPr>
              <w:shd w:val="clear" w:color="auto" w:fill="FFFFFF" w:themeFill="background1"/>
              <w:rPr>
                <w:b/>
              </w:rPr>
            </w:pPr>
            <w:r w:rsidRPr="00665B2E">
              <w:rPr>
                <w:b/>
              </w:rPr>
              <w:t>OPĆE INFORMACIJE</w:t>
            </w:r>
          </w:p>
        </w:tc>
      </w:tr>
      <w:tr w:rsidR="000213BB" w:rsidRPr="00665B2E" w14:paraId="6908EAD5" w14:textId="77777777" w:rsidTr="00665B2E">
        <w:tc>
          <w:tcPr>
            <w:tcW w:w="851" w:type="dxa"/>
          </w:tcPr>
          <w:p w14:paraId="0EB81F47" w14:textId="77777777" w:rsidR="000213BB" w:rsidRPr="00665B2E" w:rsidRDefault="000213BB" w:rsidP="00665B2E">
            <w:pPr>
              <w:shd w:val="clear" w:color="auto" w:fill="FFFFFF" w:themeFill="background1"/>
            </w:pPr>
            <w:r w:rsidRPr="00665B2E">
              <w:t>1.1.</w:t>
            </w:r>
          </w:p>
        </w:tc>
        <w:tc>
          <w:tcPr>
            <w:tcW w:w="2698" w:type="dxa"/>
          </w:tcPr>
          <w:p w14:paraId="48949F37" w14:textId="77777777" w:rsidR="000213BB" w:rsidRPr="00665B2E" w:rsidRDefault="000213BB" w:rsidP="00665B2E">
            <w:pPr>
              <w:shd w:val="clear" w:color="auto" w:fill="FFFFFF" w:themeFill="background1"/>
            </w:pPr>
            <w:r w:rsidRPr="00665B2E">
              <w:t>Naziv zakona:</w:t>
            </w:r>
          </w:p>
        </w:tc>
        <w:tc>
          <w:tcPr>
            <w:tcW w:w="6374" w:type="dxa"/>
            <w:gridSpan w:val="2"/>
            <w:shd w:val="clear" w:color="auto" w:fill="FFFFFF" w:themeFill="background1"/>
          </w:tcPr>
          <w:p w14:paraId="08ACD235" w14:textId="77777777" w:rsidR="000213BB" w:rsidRPr="00665B2E" w:rsidRDefault="00D5585E" w:rsidP="00665B2E">
            <w:pPr>
              <w:shd w:val="clear" w:color="auto" w:fill="FFFFFF" w:themeFill="background1"/>
            </w:pPr>
            <w:r w:rsidRPr="00665B2E">
              <w:rPr>
                <w:szCs w:val="24"/>
              </w:rPr>
              <w:t>Zakon o izmjenama i dopunama Zakona o porezu na dobit</w:t>
            </w:r>
          </w:p>
        </w:tc>
      </w:tr>
      <w:tr w:rsidR="000213BB" w:rsidRPr="00665B2E" w14:paraId="5CE0B32D" w14:textId="77777777" w:rsidTr="00665B2E">
        <w:tc>
          <w:tcPr>
            <w:tcW w:w="851" w:type="dxa"/>
          </w:tcPr>
          <w:p w14:paraId="1625D455" w14:textId="77777777" w:rsidR="000213BB" w:rsidRPr="00665B2E" w:rsidRDefault="000213BB" w:rsidP="00665B2E">
            <w:pPr>
              <w:shd w:val="clear" w:color="auto" w:fill="FFFFFF" w:themeFill="background1"/>
            </w:pPr>
            <w:r w:rsidRPr="00665B2E">
              <w:t>1.2.</w:t>
            </w:r>
          </w:p>
        </w:tc>
        <w:tc>
          <w:tcPr>
            <w:tcW w:w="2698" w:type="dxa"/>
          </w:tcPr>
          <w:p w14:paraId="444F8A62" w14:textId="77777777" w:rsidR="000213BB" w:rsidRPr="00665B2E" w:rsidRDefault="000213BB" w:rsidP="00665B2E">
            <w:pPr>
              <w:shd w:val="clear" w:color="auto" w:fill="FFFFFF" w:themeFill="background1"/>
            </w:pPr>
            <w:r w:rsidRPr="00665B2E">
              <w:t>Broj "Narodnih novina"</w:t>
            </w:r>
          </w:p>
        </w:tc>
        <w:tc>
          <w:tcPr>
            <w:tcW w:w="6374" w:type="dxa"/>
            <w:gridSpan w:val="2"/>
            <w:shd w:val="clear" w:color="auto" w:fill="FFFFFF" w:themeFill="background1"/>
          </w:tcPr>
          <w:p w14:paraId="3A7CB2B6" w14:textId="77777777" w:rsidR="000213BB" w:rsidRPr="00665B2E" w:rsidRDefault="00D5585E" w:rsidP="00665B2E">
            <w:pPr>
              <w:shd w:val="clear" w:color="auto" w:fill="FFFFFF" w:themeFill="background1"/>
            </w:pPr>
            <w:r w:rsidRPr="00665B2E">
              <w:rPr>
                <w:rFonts w:eastAsia="Times New Roman"/>
                <w:szCs w:val="24"/>
              </w:rPr>
              <w:t>106/18</w:t>
            </w:r>
          </w:p>
        </w:tc>
      </w:tr>
      <w:tr w:rsidR="000213BB" w:rsidRPr="00665B2E" w14:paraId="57544DBC" w14:textId="77777777" w:rsidTr="00665B2E">
        <w:tc>
          <w:tcPr>
            <w:tcW w:w="851" w:type="dxa"/>
          </w:tcPr>
          <w:p w14:paraId="3346B4FE" w14:textId="77777777" w:rsidR="000213BB" w:rsidRPr="00665B2E" w:rsidRDefault="000213BB" w:rsidP="00665B2E">
            <w:pPr>
              <w:shd w:val="clear" w:color="auto" w:fill="FFFFFF" w:themeFill="background1"/>
            </w:pPr>
            <w:r w:rsidRPr="00665B2E">
              <w:t>1.3.</w:t>
            </w:r>
          </w:p>
        </w:tc>
        <w:tc>
          <w:tcPr>
            <w:tcW w:w="2698" w:type="dxa"/>
          </w:tcPr>
          <w:p w14:paraId="3A9A407A" w14:textId="77777777" w:rsidR="000213BB" w:rsidRPr="00665B2E" w:rsidRDefault="000213BB" w:rsidP="00665B2E">
            <w:pPr>
              <w:shd w:val="clear" w:color="auto" w:fill="FFFFFF" w:themeFill="background1"/>
            </w:pPr>
            <w:r w:rsidRPr="00665B2E">
              <w:t>Program rada Vlade Republike Hrvatske, akt planiranja ili reformska mjera:</w:t>
            </w:r>
          </w:p>
        </w:tc>
        <w:tc>
          <w:tcPr>
            <w:tcW w:w="988" w:type="dxa"/>
            <w:shd w:val="clear" w:color="auto" w:fill="FFFFFF" w:themeFill="background1"/>
          </w:tcPr>
          <w:p w14:paraId="4AA857BE" w14:textId="77777777" w:rsidR="000213BB" w:rsidRPr="00665B2E" w:rsidRDefault="000213BB" w:rsidP="00665B2E">
            <w:pPr>
              <w:shd w:val="clear" w:color="auto" w:fill="FFFFFF" w:themeFill="background1"/>
            </w:pPr>
            <w:r w:rsidRPr="00665B2E">
              <w:t>Da/Ne:</w:t>
            </w:r>
          </w:p>
          <w:p w14:paraId="373B028B" w14:textId="77777777" w:rsidR="000213BB" w:rsidRPr="00665B2E" w:rsidRDefault="00D5585E" w:rsidP="00665B2E">
            <w:pPr>
              <w:shd w:val="clear" w:color="auto" w:fill="FFFFFF" w:themeFill="background1"/>
            </w:pPr>
            <w:r w:rsidRPr="00665B2E">
              <w:t>Da</w:t>
            </w:r>
          </w:p>
        </w:tc>
        <w:tc>
          <w:tcPr>
            <w:tcW w:w="5386" w:type="dxa"/>
            <w:shd w:val="clear" w:color="auto" w:fill="FFFFFF" w:themeFill="background1"/>
          </w:tcPr>
          <w:p w14:paraId="6DDD6543" w14:textId="77777777" w:rsidR="000D1E2A" w:rsidRPr="00665B2E" w:rsidRDefault="000213BB" w:rsidP="00665B2E">
            <w:pPr>
              <w:shd w:val="clear" w:color="auto" w:fill="FFFFFF" w:themeFill="background1"/>
              <w:rPr>
                <w:szCs w:val="24"/>
              </w:rPr>
            </w:pPr>
            <w:r w:rsidRPr="00665B2E">
              <w:t>Naziv akta:</w:t>
            </w:r>
            <w:r w:rsidR="000D1E2A" w:rsidRPr="00665B2E">
              <w:rPr>
                <w:szCs w:val="24"/>
              </w:rPr>
              <w:t xml:space="preserve"> </w:t>
            </w:r>
          </w:p>
          <w:p w14:paraId="6182A237" w14:textId="77777777" w:rsidR="000D1E2A" w:rsidRPr="00665B2E" w:rsidRDefault="000D1E2A" w:rsidP="00665B2E">
            <w:pPr>
              <w:shd w:val="clear" w:color="auto" w:fill="FFFFFF" w:themeFill="background1"/>
              <w:rPr>
                <w:szCs w:val="24"/>
              </w:rPr>
            </w:pPr>
            <w:r w:rsidRPr="00665B2E">
              <w:rPr>
                <w:szCs w:val="24"/>
              </w:rPr>
              <w:t>Program Vlade Republike Hrvatske za mandat 2016. – 2020.</w:t>
            </w:r>
          </w:p>
          <w:p w14:paraId="6B9600F4" w14:textId="77777777" w:rsidR="000213BB" w:rsidRPr="00665B2E" w:rsidRDefault="000213BB" w:rsidP="00665B2E">
            <w:pPr>
              <w:shd w:val="clear" w:color="auto" w:fill="FFFFFF" w:themeFill="background1"/>
            </w:pPr>
            <w:r w:rsidRPr="00665B2E">
              <w:t>Opis mjere:</w:t>
            </w:r>
            <w:r w:rsidR="000D1E2A" w:rsidRPr="00665B2E">
              <w:t xml:space="preserve"> </w:t>
            </w:r>
          </w:p>
          <w:p w14:paraId="74AF7CD6" w14:textId="77777777" w:rsidR="000D1E2A" w:rsidRPr="00665B2E" w:rsidRDefault="000D1E2A" w:rsidP="00665B2E">
            <w:pPr>
              <w:shd w:val="clear" w:color="auto" w:fill="FFFFFF" w:themeFill="background1"/>
              <w:rPr>
                <w:szCs w:val="24"/>
              </w:rPr>
            </w:pPr>
            <w:r w:rsidRPr="00665B2E">
              <w:rPr>
                <w:szCs w:val="24"/>
              </w:rPr>
              <w:t>1.2. Razvoj obrtništva i poduzetništva</w:t>
            </w:r>
          </w:p>
          <w:p w14:paraId="0B5502AD" w14:textId="77777777" w:rsidR="000D1E2A" w:rsidRPr="00665B2E" w:rsidRDefault="000D1E2A" w:rsidP="00665B2E">
            <w:pPr>
              <w:shd w:val="clear" w:color="auto" w:fill="FFFFFF" w:themeFill="background1"/>
            </w:pPr>
            <w:r w:rsidRPr="00665B2E">
              <w:rPr>
                <w:szCs w:val="24"/>
              </w:rPr>
              <w:t>7.2. Porezni sustav</w:t>
            </w:r>
          </w:p>
        </w:tc>
      </w:tr>
      <w:tr w:rsidR="000213BB" w:rsidRPr="00665B2E" w14:paraId="3DF1B822" w14:textId="77777777" w:rsidTr="00665B2E">
        <w:tc>
          <w:tcPr>
            <w:tcW w:w="851" w:type="dxa"/>
          </w:tcPr>
          <w:p w14:paraId="5837098D" w14:textId="77777777" w:rsidR="000213BB" w:rsidRPr="00665B2E" w:rsidRDefault="000213BB" w:rsidP="00665B2E">
            <w:pPr>
              <w:shd w:val="clear" w:color="auto" w:fill="FFFFFF" w:themeFill="background1"/>
            </w:pPr>
            <w:r w:rsidRPr="00665B2E">
              <w:t>1.4.</w:t>
            </w:r>
          </w:p>
        </w:tc>
        <w:tc>
          <w:tcPr>
            <w:tcW w:w="2698" w:type="dxa"/>
          </w:tcPr>
          <w:p w14:paraId="52764169" w14:textId="77777777" w:rsidR="000213BB" w:rsidRPr="00665B2E" w:rsidRDefault="000213BB" w:rsidP="00665B2E">
            <w:pPr>
              <w:shd w:val="clear" w:color="auto" w:fill="FFFFFF" w:themeFill="background1"/>
            </w:pPr>
            <w:r w:rsidRPr="00665B2E">
              <w:t>Plan usklađivanja zakonodavstva Republike Hrvatske s pravnom stečevinom Europske unije</w:t>
            </w:r>
          </w:p>
        </w:tc>
        <w:tc>
          <w:tcPr>
            <w:tcW w:w="988" w:type="dxa"/>
            <w:shd w:val="clear" w:color="auto" w:fill="FFFFFF" w:themeFill="background1"/>
          </w:tcPr>
          <w:p w14:paraId="1DB83529" w14:textId="77777777" w:rsidR="000213BB" w:rsidRPr="00665B2E" w:rsidRDefault="000213BB" w:rsidP="00665B2E">
            <w:pPr>
              <w:shd w:val="clear" w:color="auto" w:fill="FFFFFF" w:themeFill="background1"/>
            </w:pPr>
            <w:r w:rsidRPr="00665B2E">
              <w:t>Da/Ne:</w:t>
            </w:r>
          </w:p>
          <w:p w14:paraId="3EDC1B78" w14:textId="77777777" w:rsidR="000213BB" w:rsidRPr="00665B2E" w:rsidRDefault="000D1E2A" w:rsidP="00665B2E">
            <w:pPr>
              <w:shd w:val="clear" w:color="auto" w:fill="FFFFFF" w:themeFill="background1"/>
            </w:pPr>
            <w:r w:rsidRPr="00665B2E">
              <w:t>Da</w:t>
            </w:r>
          </w:p>
        </w:tc>
        <w:tc>
          <w:tcPr>
            <w:tcW w:w="5386" w:type="dxa"/>
            <w:shd w:val="clear" w:color="auto" w:fill="FFFFFF" w:themeFill="background1"/>
          </w:tcPr>
          <w:p w14:paraId="1D169F91" w14:textId="77777777" w:rsidR="000213BB" w:rsidRPr="00665B2E" w:rsidRDefault="000213BB" w:rsidP="00665B2E">
            <w:pPr>
              <w:shd w:val="clear" w:color="auto" w:fill="FFFFFF" w:themeFill="background1"/>
            </w:pPr>
            <w:r w:rsidRPr="00665B2E">
              <w:t>Naziv pravne stečevine EU:</w:t>
            </w:r>
          </w:p>
          <w:p w14:paraId="07F43068" w14:textId="77777777" w:rsidR="000D1E2A" w:rsidRPr="00665B2E" w:rsidRDefault="000D1E2A" w:rsidP="00665B2E">
            <w:pPr>
              <w:shd w:val="clear" w:color="auto" w:fill="FFFFFF" w:themeFill="background1"/>
            </w:pPr>
            <w:r w:rsidRPr="00665B2E">
              <w:rPr>
                <w:noProof/>
                <w:szCs w:val="24"/>
              </w:rPr>
              <w:t xml:space="preserve">Direktiva Vijeća (EU) </w:t>
            </w:r>
            <w:r w:rsidRPr="00665B2E">
              <w:rPr>
                <w:szCs w:val="24"/>
              </w:rPr>
              <w:t>2016/1164 od 12. srpnja 2016.</w:t>
            </w:r>
            <w:r w:rsidRPr="00665B2E">
              <w:rPr>
                <w:bCs/>
                <w:szCs w:val="24"/>
              </w:rPr>
              <w:t xml:space="preserve"> </w:t>
            </w:r>
            <w:r w:rsidRPr="00665B2E">
              <w:rPr>
                <w:szCs w:val="24"/>
              </w:rPr>
              <w:t>o</w:t>
            </w:r>
            <w:r w:rsidRPr="00665B2E">
              <w:rPr>
                <w:noProof/>
                <w:szCs w:val="24"/>
              </w:rPr>
              <w:t xml:space="preserve"> utvrđivanju pravila protiv praksi izbjegavanja poreza kojima se izravno utječe na funkcioniranje unutarnjeg tržišta.</w:t>
            </w:r>
          </w:p>
        </w:tc>
      </w:tr>
      <w:tr w:rsidR="000213BB" w:rsidRPr="00665B2E" w14:paraId="7C8EB6FF" w14:textId="77777777" w:rsidTr="00D5585E">
        <w:trPr>
          <w:trHeight w:val="314"/>
        </w:trPr>
        <w:tc>
          <w:tcPr>
            <w:tcW w:w="851" w:type="dxa"/>
          </w:tcPr>
          <w:p w14:paraId="7D31CC96" w14:textId="77777777" w:rsidR="000213BB" w:rsidRPr="00665B2E" w:rsidRDefault="000213BB" w:rsidP="00665B2E">
            <w:pPr>
              <w:shd w:val="clear" w:color="auto" w:fill="FFFFFF" w:themeFill="background1"/>
              <w:rPr>
                <w:b/>
              </w:rPr>
            </w:pPr>
            <w:r w:rsidRPr="00665B2E">
              <w:rPr>
                <w:b/>
              </w:rPr>
              <w:t>2.</w:t>
            </w:r>
          </w:p>
        </w:tc>
        <w:tc>
          <w:tcPr>
            <w:tcW w:w="9072" w:type="dxa"/>
            <w:gridSpan w:val="3"/>
            <w:shd w:val="clear" w:color="auto" w:fill="auto"/>
          </w:tcPr>
          <w:p w14:paraId="7A828755" w14:textId="77777777" w:rsidR="000213BB" w:rsidRPr="00665B2E" w:rsidRDefault="000213BB" w:rsidP="00665B2E">
            <w:pPr>
              <w:shd w:val="clear" w:color="auto" w:fill="FFFFFF" w:themeFill="background1"/>
              <w:rPr>
                <w:b/>
              </w:rPr>
            </w:pPr>
            <w:r w:rsidRPr="00665B2E">
              <w:rPr>
                <w:b/>
              </w:rPr>
              <w:t>ANALIZA POSTIGNUTIH REZULTATA PRIMJENE ZAKONA</w:t>
            </w:r>
          </w:p>
        </w:tc>
      </w:tr>
      <w:tr w:rsidR="000213BB" w:rsidRPr="00665B2E" w14:paraId="2E8DEA78" w14:textId="77777777" w:rsidTr="00665B2E">
        <w:tc>
          <w:tcPr>
            <w:tcW w:w="851" w:type="dxa"/>
          </w:tcPr>
          <w:p w14:paraId="0A0F3CDE" w14:textId="77777777" w:rsidR="000213BB" w:rsidRPr="00665B2E" w:rsidRDefault="000213BB" w:rsidP="00665B2E">
            <w:pPr>
              <w:shd w:val="clear" w:color="auto" w:fill="FFFFFF" w:themeFill="background1"/>
            </w:pPr>
            <w:r w:rsidRPr="00665B2E">
              <w:t>2.1.</w:t>
            </w:r>
          </w:p>
        </w:tc>
        <w:tc>
          <w:tcPr>
            <w:tcW w:w="9072" w:type="dxa"/>
            <w:gridSpan w:val="3"/>
            <w:shd w:val="clear" w:color="auto" w:fill="FFFFFF" w:themeFill="background1"/>
          </w:tcPr>
          <w:p w14:paraId="059EB73E" w14:textId="77777777" w:rsidR="000D1E2A" w:rsidRPr="00665B2E" w:rsidRDefault="000D1E2A" w:rsidP="00665B2E">
            <w:pPr>
              <w:shd w:val="clear" w:color="auto" w:fill="FFFFFF" w:themeFill="background1"/>
              <w:jc w:val="both"/>
              <w:rPr>
                <w:szCs w:val="24"/>
              </w:rPr>
            </w:pPr>
            <w:r w:rsidRPr="00665B2E">
              <w:rPr>
                <w:szCs w:val="24"/>
              </w:rPr>
              <w:t xml:space="preserve">U skladu s Programom Vlade Republike Hrvatske za mandat 2016. – 2020. provodi se cjelovita porezna reforma, koja obuhvaća sve segmente poreznog sustava, a posebno je usmjerena na pojednostavljenje sustava, širenje porezne baze i porezno rasterećenje građana i poduzetnika. Temeljem analize utvrđeni su ciljevi reforme poreznog sustava i to: smanjenje ukupnog poreznog opterećenja, poticanje konkurentnosti gospodarstva, izgradnja socijalno pravednijeg poreznog sustava, stabilan, održiv i jednostavan porezni sustav, pojednostavljenje i pojeftinjenje porezne administracije kao i pružanje veće pravne sigurnosti poreznim obveznicima. </w:t>
            </w:r>
          </w:p>
          <w:p w14:paraId="34E8678B" w14:textId="77777777" w:rsidR="000D1E2A" w:rsidRPr="00665B2E" w:rsidRDefault="000D1E2A" w:rsidP="00665B2E">
            <w:pPr>
              <w:shd w:val="clear" w:color="auto" w:fill="FFFFFF" w:themeFill="background1"/>
              <w:jc w:val="both"/>
              <w:rPr>
                <w:szCs w:val="24"/>
              </w:rPr>
            </w:pPr>
          </w:p>
          <w:p w14:paraId="52D904CE" w14:textId="77777777" w:rsidR="000D1E2A" w:rsidRPr="00665B2E" w:rsidRDefault="000D1E2A" w:rsidP="00856324">
            <w:pPr>
              <w:shd w:val="clear" w:color="auto" w:fill="FFFFFF" w:themeFill="background1"/>
              <w:contextualSpacing/>
              <w:jc w:val="both"/>
              <w:rPr>
                <w:szCs w:val="24"/>
              </w:rPr>
            </w:pPr>
            <w:r w:rsidRPr="00665B2E">
              <w:rPr>
                <w:noProof/>
                <w:szCs w:val="24"/>
              </w:rPr>
              <w:t>Suzbijanje prakse izbjegavanja poreza i to premještanjem dobiti ostvarene na području države gdje se prihodi i dobit ostvaruju na području druge države je globalan problem na kojem i sada intenzivno radi Oraganizacija za ekonomsku suradnu i razvoj koja je</w:t>
            </w:r>
            <w:r w:rsidRPr="00665B2E">
              <w:rPr>
                <w:szCs w:val="24"/>
              </w:rPr>
              <w:t xml:space="preserve"> radeći na projektu BEPS-a (skraćeno od: </w:t>
            </w:r>
            <w:r w:rsidRPr="00665B2E">
              <w:rPr>
                <w:i/>
                <w:szCs w:val="24"/>
              </w:rPr>
              <w:t xml:space="preserve">Base </w:t>
            </w:r>
            <w:proofErr w:type="spellStart"/>
            <w:r w:rsidRPr="00665B2E">
              <w:rPr>
                <w:i/>
                <w:szCs w:val="24"/>
              </w:rPr>
              <w:t>Erosion</w:t>
            </w:r>
            <w:proofErr w:type="spellEnd"/>
            <w:r w:rsidRPr="00665B2E">
              <w:rPr>
                <w:i/>
                <w:szCs w:val="24"/>
              </w:rPr>
              <w:t xml:space="preserve"> </w:t>
            </w:r>
            <w:proofErr w:type="spellStart"/>
            <w:r w:rsidRPr="00665B2E">
              <w:rPr>
                <w:i/>
                <w:szCs w:val="24"/>
              </w:rPr>
              <w:t>and</w:t>
            </w:r>
            <w:proofErr w:type="spellEnd"/>
            <w:r w:rsidRPr="00665B2E">
              <w:rPr>
                <w:i/>
                <w:szCs w:val="24"/>
              </w:rPr>
              <w:t xml:space="preserve"> Profit </w:t>
            </w:r>
            <w:proofErr w:type="spellStart"/>
            <w:r w:rsidRPr="00665B2E">
              <w:rPr>
                <w:i/>
                <w:szCs w:val="24"/>
              </w:rPr>
              <w:t>Shifting</w:t>
            </w:r>
            <w:proofErr w:type="spellEnd"/>
            <w:r w:rsidRPr="00665B2E">
              <w:rPr>
                <w:i/>
                <w:szCs w:val="24"/>
              </w:rPr>
              <w:t>)</w:t>
            </w:r>
            <w:r w:rsidRPr="00665B2E">
              <w:rPr>
                <w:szCs w:val="24"/>
              </w:rPr>
              <w:t>, identificirao 15 različitih mjera koje bi trebale smanjiti i suzbiti agresivno porezno planiranje, porezne prijevare i poreznu evaziju na globalnom nivou.</w:t>
            </w:r>
          </w:p>
          <w:p w14:paraId="6A9A2D59" w14:textId="77777777" w:rsidR="000D1E2A" w:rsidRPr="00665B2E" w:rsidRDefault="000D1E2A" w:rsidP="00856324">
            <w:pPr>
              <w:shd w:val="clear" w:color="auto" w:fill="FFFFFF" w:themeFill="background1"/>
              <w:contextualSpacing/>
              <w:jc w:val="both"/>
              <w:rPr>
                <w:noProof/>
                <w:szCs w:val="24"/>
              </w:rPr>
            </w:pPr>
            <w:r w:rsidRPr="00665B2E">
              <w:rPr>
                <w:noProof/>
                <w:szCs w:val="24"/>
              </w:rPr>
              <w:t xml:space="preserve"> </w:t>
            </w:r>
          </w:p>
          <w:p w14:paraId="37CA995B" w14:textId="77777777" w:rsidR="000D1E2A" w:rsidRPr="00665B2E" w:rsidRDefault="000D1E2A" w:rsidP="00856324">
            <w:pPr>
              <w:shd w:val="clear" w:color="auto" w:fill="FFFFFF" w:themeFill="background1"/>
              <w:contextualSpacing/>
              <w:jc w:val="both"/>
              <w:rPr>
                <w:szCs w:val="24"/>
              </w:rPr>
            </w:pPr>
            <w:r w:rsidRPr="00665B2E">
              <w:rPr>
                <w:szCs w:val="24"/>
              </w:rPr>
              <w:t xml:space="preserve">Zbog različitih sustava oporezivanja dobiti u državama događa se da porezni obveznici koji posluju u više država preko svojih povezanih osoba, sofisticiranim i nepredviđenim metodama poreznog planiranja, premještaju dobit iz države u kojoj ta dobit nastaje u državu koja ima određene porezne pogodnosti, a da pri tome ne krše propise. Kako bi se takvo postupanje suzbilo u potpunosti bit će potrebno provesti sve mjere iz BEPS-a, a to su:  </w:t>
            </w:r>
          </w:p>
          <w:p w14:paraId="726A12B8" w14:textId="77777777" w:rsidR="000D1E2A" w:rsidRPr="00665B2E" w:rsidRDefault="000D1E2A" w:rsidP="00665B2E">
            <w:pPr>
              <w:shd w:val="clear" w:color="auto" w:fill="FFFFFF" w:themeFill="background1"/>
              <w:contextualSpacing/>
              <w:rPr>
                <w:szCs w:val="24"/>
              </w:rPr>
            </w:pPr>
            <w:r w:rsidRPr="00665B2E">
              <w:rPr>
                <w:szCs w:val="24"/>
              </w:rPr>
              <w:t xml:space="preserve">1. Rješavanje izazova u području digitalne ekonomije </w:t>
            </w:r>
          </w:p>
          <w:p w14:paraId="6A5D14CD" w14:textId="77777777" w:rsidR="000D1E2A" w:rsidRPr="00665B2E" w:rsidRDefault="000D1E2A" w:rsidP="00665B2E">
            <w:pPr>
              <w:shd w:val="clear" w:color="auto" w:fill="FFFFFF" w:themeFill="background1"/>
              <w:contextualSpacing/>
              <w:rPr>
                <w:szCs w:val="24"/>
              </w:rPr>
            </w:pPr>
            <w:r w:rsidRPr="00665B2E">
              <w:rPr>
                <w:szCs w:val="24"/>
              </w:rPr>
              <w:t xml:space="preserve">2. Neutralizaciju hibridne neusklađenosti; </w:t>
            </w:r>
          </w:p>
          <w:p w14:paraId="0FF3F556" w14:textId="77777777" w:rsidR="000D1E2A" w:rsidRPr="00665B2E" w:rsidRDefault="000D1E2A" w:rsidP="00665B2E">
            <w:pPr>
              <w:shd w:val="clear" w:color="auto" w:fill="FFFFFF" w:themeFill="background1"/>
              <w:contextualSpacing/>
              <w:rPr>
                <w:szCs w:val="24"/>
              </w:rPr>
            </w:pPr>
            <w:r w:rsidRPr="00665B2E">
              <w:rPr>
                <w:szCs w:val="24"/>
              </w:rPr>
              <w:t xml:space="preserve">3. Uvođenje pravila o kontroliranim društvima; </w:t>
            </w:r>
          </w:p>
          <w:p w14:paraId="1D179732" w14:textId="77777777" w:rsidR="000D1E2A" w:rsidRPr="00665B2E" w:rsidRDefault="000D1E2A" w:rsidP="00665B2E">
            <w:pPr>
              <w:shd w:val="clear" w:color="auto" w:fill="FFFFFF" w:themeFill="background1"/>
              <w:contextualSpacing/>
              <w:rPr>
                <w:szCs w:val="24"/>
              </w:rPr>
            </w:pPr>
            <w:r w:rsidRPr="00665B2E">
              <w:rPr>
                <w:szCs w:val="24"/>
              </w:rPr>
              <w:t xml:space="preserve">4. Uvođenje pravila za odbitak kamate;    </w:t>
            </w:r>
          </w:p>
          <w:p w14:paraId="2D10206C" w14:textId="77777777" w:rsidR="000D1E2A" w:rsidRPr="00665B2E" w:rsidRDefault="000D1E2A" w:rsidP="00665B2E">
            <w:pPr>
              <w:shd w:val="clear" w:color="auto" w:fill="FFFFFF" w:themeFill="background1"/>
              <w:contextualSpacing/>
              <w:rPr>
                <w:szCs w:val="24"/>
              </w:rPr>
            </w:pPr>
            <w:r w:rsidRPr="00665B2E">
              <w:rPr>
                <w:szCs w:val="24"/>
              </w:rPr>
              <w:t>5. Suzbijanje štetne porezne prakse,</w:t>
            </w:r>
          </w:p>
          <w:p w14:paraId="5EB89F1B" w14:textId="77777777" w:rsidR="000D1E2A" w:rsidRPr="00665B2E" w:rsidRDefault="000D1E2A" w:rsidP="00665B2E">
            <w:pPr>
              <w:shd w:val="clear" w:color="auto" w:fill="FFFFFF" w:themeFill="background1"/>
              <w:contextualSpacing/>
              <w:rPr>
                <w:szCs w:val="24"/>
              </w:rPr>
            </w:pPr>
            <w:r w:rsidRPr="00665B2E">
              <w:rPr>
                <w:szCs w:val="24"/>
              </w:rPr>
              <w:t xml:space="preserve">6. </w:t>
            </w:r>
            <w:r w:rsidRPr="00665B2E">
              <w:rPr>
                <w:bCs/>
                <w:szCs w:val="24"/>
              </w:rPr>
              <w:t>Sprečavanje zlouporabe Ugovora o izbjegavanju dvostrukog oporezivanja;</w:t>
            </w:r>
          </w:p>
          <w:p w14:paraId="6BBCC0C6" w14:textId="77777777" w:rsidR="000D1E2A" w:rsidRPr="00665B2E" w:rsidRDefault="000D1E2A" w:rsidP="00665B2E">
            <w:pPr>
              <w:shd w:val="clear" w:color="auto" w:fill="FFFFFF" w:themeFill="background1"/>
              <w:contextualSpacing/>
              <w:rPr>
                <w:szCs w:val="24"/>
              </w:rPr>
            </w:pPr>
            <w:r w:rsidRPr="00665B2E">
              <w:rPr>
                <w:szCs w:val="24"/>
              </w:rPr>
              <w:t xml:space="preserve">7. </w:t>
            </w:r>
            <w:r w:rsidRPr="00665B2E">
              <w:rPr>
                <w:bCs/>
                <w:szCs w:val="24"/>
              </w:rPr>
              <w:t xml:space="preserve">Uspostava mjera koje će spriječiti izbjegavanje statusa poslovne jedinice; </w:t>
            </w:r>
          </w:p>
          <w:p w14:paraId="433C5055" w14:textId="77777777" w:rsidR="000D1E2A" w:rsidRPr="00665B2E" w:rsidRDefault="000D1E2A" w:rsidP="00665B2E">
            <w:pPr>
              <w:shd w:val="clear" w:color="auto" w:fill="FFFFFF" w:themeFill="background1"/>
              <w:contextualSpacing/>
              <w:rPr>
                <w:szCs w:val="24"/>
              </w:rPr>
            </w:pPr>
            <w:r w:rsidRPr="00665B2E">
              <w:rPr>
                <w:szCs w:val="24"/>
              </w:rPr>
              <w:t>8. 9. i 10. Razvoj pravila o transfernim cijenama koje se odnose na nematerijalnu imovinu,  za alokaciju rizika i kapitala i za visoko rizične transakcije;</w:t>
            </w:r>
          </w:p>
          <w:p w14:paraId="7BE2B600" w14:textId="77777777" w:rsidR="000D1E2A" w:rsidRPr="00665B2E" w:rsidRDefault="000D1E2A" w:rsidP="00665B2E">
            <w:pPr>
              <w:shd w:val="clear" w:color="auto" w:fill="FFFFFF" w:themeFill="background1"/>
              <w:contextualSpacing/>
              <w:rPr>
                <w:szCs w:val="24"/>
              </w:rPr>
            </w:pPr>
            <w:r w:rsidRPr="00665B2E">
              <w:rPr>
                <w:szCs w:val="24"/>
              </w:rPr>
              <w:t>11. Izrada metodologije izvješća i ekonomske analize;</w:t>
            </w:r>
          </w:p>
          <w:p w14:paraId="436D1822" w14:textId="77777777" w:rsidR="000D1E2A" w:rsidRPr="00665B2E" w:rsidRDefault="000D1E2A" w:rsidP="00665B2E">
            <w:pPr>
              <w:shd w:val="clear" w:color="auto" w:fill="FFFFFF" w:themeFill="background1"/>
              <w:contextualSpacing/>
              <w:rPr>
                <w:szCs w:val="24"/>
              </w:rPr>
            </w:pPr>
            <w:r w:rsidRPr="00665B2E">
              <w:rPr>
                <w:szCs w:val="24"/>
              </w:rPr>
              <w:t>12. Objavljivanje shema za agresivno porezno planiranje;</w:t>
            </w:r>
          </w:p>
          <w:p w14:paraId="4B43AD30" w14:textId="77777777" w:rsidR="000D1E2A" w:rsidRPr="00665B2E" w:rsidRDefault="000D1E2A" w:rsidP="00665B2E">
            <w:pPr>
              <w:shd w:val="clear" w:color="auto" w:fill="FFFFFF" w:themeFill="background1"/>
              <w:contextualSpacing/>
              <w:rPr>
                <w:szCs w:val="24"/>
              </w:rPr>
            </w:pPr>
            <w:r w:rsidRPr="00665B2E">
              <w:rPr>
                <w:szCs w:val="24"/>
              </w:rPr>
              <w:t xml:space="preserve">13. Izmjena dokumentacije o transfernim cijenama; </w:t>
            </w:r>
          </w:p>
          <w:p w14:paraId="7E57E64C" w14:textId="77777777" w:rsidR="000D1E2A" w:rsidRPr="00665B2E" w:rsidRDefault="000D1E2A" w:rsidP="00665B2E">
            <w:pPr>
              <w:shd w:val="clear" w:color="auto" w:fill="FFFFFF" w:themeFill="background1"/>
              <w:contextualSpacing/>
              <w:rPr>
                <w:szCs w:val="24"/>
              </w:rPr>
            </w:pPr>
            <w:r w:rsidRPr="00665B2E">
              <w:rPr>
                <w:szCs w:val="24"/>
              </w:rPr>
              <w:t>14. Mehanizmi za efikasnije rješavanje sporova;</w:t>
            </w:r>
          </w:p>
          <w:p w14:paraId="0D2AE5FA" w14:textId="77777777" w:rsidR="000D1E2A" w:rsidRPr="00665B2E" w:rsidRDefault="000D1E2A" w:rsidP="00665B2E">
            <w:pPr>
              <w:shd w:val="clear" w:color="auto" w:fill="FFFFFF" w:themeFill="background1"/>
              <w:contextualSpacing/>
              <w:rPr>
                <w:szCs w:val="24"/>
              </w:rPr>
            </w:pPr>
            <w:r w:rsidRPr="00665B2E">
              <w:rPr>
                <w:szCs w:val="24"/>
              </w:rPr>
              <w:t>15.  Multilateralni instrument za izmjenu međunarodnih ugovora.</w:t>
            </w:r>
          </w:p>
          <w:p w14:paraId="41C55EBE" w14:textId="77777777" w:rsidR="000D1E2A" w:rsidRPr="00665B2E" w:rsidRDefault="000D1E2A" w:rsidP="00665B2E">
            <w:pPr>
              <w:shd w:val="clear" w:color="auto" w:fill="FFFFFF" w:themeFill="background1"/>
              <w:contextualSpacing/>
              <w:rPr>
                <w:szCs w:val="24"/>
              </w:rPr>
            </w:pPr>
          </w:p>
          <w:p w14:paraId="4BD07E55" w14:textId="77777777" w:rsidR="000D1E2A" w:rsidRPr="00665B2E" w:rsidRDefault="000D1E2A" w:rsidP="00665B2E">
            <w:pPr>
              <w:shd w:val="clear" w:color="auto" w:fill="FFFFFF" w:themeFill="background1"/>
              <w:contextualSpacing/>
              <w:rPr>
                <w:szCs w:val="24"/>
              </w:rPr>
            </w:pPr>
            <w:r w:rsidRPr="00665B2E">
              <w:rPr>
                <w:noProof/>
                <w:szCs w:val="24"/>
              </w:rPr>
              <w:t xml:space="preserve">Jedan dio mjera sadržan je u Direktivi Vijeća (EU) </w:t>
            </w:r>
            <w:r w:rsidRPr="00665B2E">
              <w:rPr>
                <w:szCs w:val="24"/>
              </w:rPr>
              <w:t>2016/1164,</w:t>
            </w:r>
            <w:r w:rsidRPr="00665B2E">
              <w:rPr>
                <w:noProof/>
                <w:szCs w:val="24"/>
              </w:rPr>
              <w:t xml:space="preserve"> koju su sve države članice Europske unije trebale ugraditi u svoje porezne sustave, i to parcijalno do 31. siječnja 2019., 2020. i 2022. godine. Naime, u</w:t>
            </w:r>
            <w:proofErr w:type="spellStart"/>
            <w:r w:rsidRPr="00665B2E">
              <w:rPr>
                <w:szCs w:val="24"/>
              </w:rPr>
              <w:t>zimajući</w:t>
            </w:r>
            <w:proofErr w:type="spellEnd"/>
            <w:r w:rsidRPr="00665B2E">
              <w:rPr>
                <w:szCs w:val="24"/>
              </w:rPr>
              <w:t xml:space="preserve"> u obzir preporuke OECD-a i drugih uočenih potreba, izrađena je Direktiva Vijeća (EU) 2016/1164 (ATAD) koja je donijela pravila </w:t>
            </w:r>
            <w:r w:rsidRPr="00665B2E">
              <w:rPr>
                <w:noProof/>
                <w:szCs w:val="24"/>
              </w:rPr>
              <w:t>protiv praksi izbjegavanja poreza kojima se izravno utječe na funkcioniranje unutarnjeg tržišta</w:t>
            </w:r>
            <w:r w:rsidRPr="00665B2E">
              <w:rPr>
                <w:szCs w:val="24"/>
              </w:rPr>
              <w:t xml:space="preserve">, a odnose se na: </w:t>
            </w:r>
          </w:p>
          <w:p w14:paraId="188B5E85" w14:textId="77777777" w:rsidR="000D1E2A" w:rsidRPr="00665B2E" w:rsidRDefault="000D1E2A" w:rsidP="00665B2E">
            <w:pPr>
              <w:shd w:val="clear" w:color="auto" w:fill="FFFFFF" w:themeFill="background1"/>
              <w:contextualSpacing/>
              <w:rPr>
                <w:szCs w:val="24"/>
              </w:rPr>
            </w:pPr>
            <w:r w:rsidRPr="00665B2E">
              <w:rPr>
                <w:szCs w:val="24"/>
              </w:rPr>
              <w:t>1. Opće pravilo o suzbijanju zlouporabe</w:t>
            </w:r>
          </w:p>
          <w:p w14:paraId="35B5CD6A" w14:textId="77777777" w:rsidR="000D1E2A" w:rsidRPr="00665B2E" w:rsidRDefault="000D1E2A" w:rsidP="00665B2E">
            <w:pPr>
              <w:shd w:val="clear" w:color="auto" w:fill="FFFFFF" w:themeFill="background1"/>
              <w:contextualSpacing/>
              <w:rPr>
                <w:szCs w:val="24"/>
              </w:rPr>
            </w:pPr>
            <w:r w:rsidRPr="00665B2E">
              <w:rPr>
                <w:szCs w:val="24"/>
              </w:rPr>
              <w:t xml:space="preserve">2. Pravilo o ograničavanju kamate </w:t>
            </w:r>
          </w:p>
          <w:p w14:paraId="1A961EB9" w14:textId="77777777" w:rsidR="000D1E2A" w:rsidRPr="00665B2E" w:rsidRDefault="000D1E2A" w:rsidP="00665B2E">
            <w:pPr>
              <w:shd w:val="clear" w:color="auto" w:fill="FFFFFF" w:themeFill="background1"/>
              <w:contextualSpacing/>
              <w:rPr>
                <w:szCs w:val="24"/>
              </w:rPr>
            </w:pPr>
            <w:r w:rsidRPr="00665B2E">
              <w:rPr>
                <w:szCs w:val="24"/>
              </w:rPr>
              <w:t xml:space="preserve">3. Pravilo o kontroliranim inozemnim društvima </w:t>
            </w:r>
          </w:p>
          <w:p w14:paraId="0C255010" w14:textId="77777777" w:rsidR="000D1E2A" w:rsidRPr="00665B2E" w:rsidRDefault="000D1E2A" w:rsidP="00665B2E">
            <w:pPr>
              <w:shd w:val="clear" w:color="auto" w:fill="FFFFFF" w:themeFill="background1"/>
              <w:contextualSpacing/>
              <w:rPr>
                <w:szCs w:val="24"/>
              </w:rPr>
            </w:pPr>
            <w:r w:rsidRPr="00665B2E">
              <w:rPr>
                <w:szCs w:val="24"/>
              </w:rPr>
              <w:t xml:space="preserve">4. Hibridnu neusklađenost </w:t>
            </w:r>
          </w:p>
          <w:p w14:paraId="0E7D39C7" w14:textId="77777777" w:rsidR="000D1E2A" w:rsidRPr="00665B2E" w:rsidRDefault="000D1E2A" w:rsidP="00665B2E">
            <w:pPr>
              <w:shd w:val="clear" w:color="auto" w:fill="FFFFFF" w:themeFill="background1"/>
              <w:contextualSpacing/>
              <w:rPr>
                <w:szCs w:val="24"/>
              </w:rPr>
            </w:pPr>
            <w:r w:rsidRPr="00665B2E">
              <w:rPr>
                <w:szCs w:val="24"/>
              </w:rPr>
              <w:t>5. Izlazno oporezivanje.</w:t>
            </w:r>
          </w:p>
          <w:p w14:paraId="751E311A" w14:textId="77777777" w:rsidR="000D1E2A" w:rsidRPr="00665B2E" w:rsidRDefault="000D1E2A" w:rsidP="00665B2E">
            <w:pPr>
              <w:shd w:val="clear" w:color="auto" w:fill="FFFFFF" w:themeFill="background1"/>
              <w:contextualSpacing/>
              <w:rPr>
                <w:szCs w:val="24"/>
              </w:rPr>
            </w:pPr>
            <w:r w:rsidRPr="00665B2E">
              <w:rPr>
                <w:szCs w:val="24"/>
              </w:rPr>
              <w:tab/>
            </w:r>
          </w:p>
          <w:p w14:paraId="224E99EC" w14:textId="2A4FBF00" w:rsidR="000D1E2A" w:rsidRDefault="000D1E2A" w:rsidP="00665B2E">
            <w:pPr>
              <w:shd w:val="clear" w:color="auto" w:fill="FFFFFF" w:themeFill="background1"/>
              <w:contextualSpacing/>
              <w:jc w:val="both"/>
              <w:rPr>
                <w:szCs w:val="24"/>
              </w:rPr>
            </w:pPr>
            <w:r w:rsidRPr="00665B2E">
              <w:rPr>
                <w:szCs w:val="24"/>
              </w:rPr>
              <w:t>Ovim Zakonom izvršeno je usklađivanje s odredbama koje su trebal</w:t>
            </w:r>
            <w:r w:rsidR="00856324">
              <w:rPr>
                <w:szCs w:val="24"/>
              </w:rPr>
              <w:t>e</w:t>
            </w:r>
            <w:r w:rsidRPr="00665B2E">
              <w:rPr>
                <w:szCs w:val="24"/>
              </w:rPr>
              <w:t xml:space="preserve"> stupiti na snagu 1. siječnja 2019.  a to je pravilo o ograničavanju kamate i pravilo o kontroliranim inozemnim društvima (točke 2. i 3.)  dok je opće pravilo o suzbijanju zlouporabe (točka 1.) već implementirano u Zakon, i primjenjuje se od 2016. godine. </w:t>
            </w:r>
          </w:p>
          <w:p w14:paraId="5D0E8D6B" w14:textId="125423BB" w:rsidR="00F74439" w:rsidRDefault="00F74439" w:rsidP="00665B2E">
            <w:pPr>
              <w:shd w:val="clear" w:color="auto" w:fill="FFFFFF" w:themeFill="background1"/>
              <w:contextualSpacing/>
              <w:jc w:val="both"/>
              <w:rPr>
                <w:szCs w:val="24"/>
              </w:rPr>
            </w:pPr>
          </w:p>
          <w:p w14:paraId="3C50A6F3" w14:textId="52DACF2D" w:rsidR="00DB53A3" w:rsidRPr="00400541" w:rsidRDefault="00137508" w:rsidP="003C160C">
            <w:pPr>
              <w:autoSpaceDE w:val="0"/>
              <w:autoSpaceDN w:val="0"/>
              <w:adjustRightInd w:val="0"/>
              <w:jc w:val="both"/>
            </w:pPr>
            <w:r w:rsidRPr="00400541">
              <w:t>Zakon o porezu na dobit već od 2005. sadrži dva posebna pravila o ograničenju odbitka kamate između povezanih osoba, a odnose se na stanjenu kapitalizaciju prema članku 8. Zakona o porezu na dobit i na postupak utvrđivanja porezno priznate kamatne stope prema članku 14. Zakona o porezu na dobit. Ta ciljana pravila obzirom da se odnose na povezane osobe zadržavaju se i dalje jer pružaju primjerenu razinu zaštite porezne osnovice, a ov</w:t>
            </w:r>
            <w:r w:rsidR="00972173" w:rsidRPr="00400541">
              <w:t>i</w:t>
            </w:r>
            <w:r w:rsidRPr="00400541">
              <w:t>m Zakonom je uvedeno pravilo o odbitku kamate.</w:t>
            </w:r>
            <w:r w:rsidR="00DB53A3" w:rsidRPr="00400541">
              <w:t xml:space="preserve"> Međutim, odredbe članka 8. i članka 14. Zakona o porezu na dobit, sukladno navedenoj Direktivi, mogu se zadržati do isteka prve pune fiskalne godine nakon datuma objave sporazuma između članica OECD-a na službenoj internetskoj stranici o minimalnom standardu u pogledu mjere 4. akcijskog plana za BEPS, ali najkasnije do 1. siječnja 2024. godine.</w:t>
            </w:r>
          </w:p>
          <w:p w14:paraId="3AA76E6E" w14:textId="77777777" w:rsidR="00137508" w:rsidRPr="00400541" w:rsidRDefault="00137508" w:rsidP="00972173">
            <w:pPr>
              <w:autoSpaceDE w:val="0"/>
              <w:autoSpaceDN w:val="0"/>
              <w:adjustRightInd w:val="0"/>
              <w:jc w:val="both"/>
            </w:pPr>
          </w:p>
          <w:p w14:paraId="2338D72F" w14:textId="2F4ADAD9" w:rsidR="00137508" w:rsidRPr="00400541" w:rsidRDefault="00137508" w:rsidP="003C160C">
            <w:pPr>
              <w:autoSpaceDE w:val="0"/>
              <w:autoSpaceDN w:val="0"/>
              <w:adjustRightInd w:val="0"/>
              <w:jc w:val="both"/>
            </w:pPr>
            <w:r w:rsidRPr="00400541">
              <w:t>Prema ovom Zakonu, prekoračeni troškovi zaduživanja znače (predstavljaju) iznos za koji troškovi zaduživanja poreznog obveznika</w:t>
            </w:r>
            <w:r w:rsidR="00972173" w:rsidRPr="00400541">
              <w:t>,</w:t>
            </w:r>
            <w:r w:rsidRPr="00400541">
              <w:t xml:space="preserve"> koji se mogu odbiti odnosno utvrditi kao porezno priznati, prekoračuju oporezivi prihod od kamata ili drugi ekonomski istovjetni oporezivi prihod. Porezni obveznik može, sukladno ovom Zakonu, kao porezno priznati rashod utvrditi prekoračene troškove zaduživanja samo do 30% EBITDA-e ili do 3 milijuna eura ukoliko tako dolazi do većeg iznosa. </w:t>
            </w:r>
          </w:p>
          <w:p w14:paraId="56A3D9C6" w14:textId="77777777" w:rsidR="00137508" w:rsidRPr="00400541" w:rsidRDefault="00137508" w:rsidP="00137508">
            <w:pPr>
              <w:autoSpaceDE w:val="0"/>
              <w:autoSpaceDN w:val="0"/>
              <w:adjustRightInd w:val="0"/>
              <w:jc w:val="both"/>
            </w:pPr>
          </w:p>
          <w:p w14:paraId="74F40538" w14:textId="2C8D3FF7" w:rsidR="00835F68" w:rsidRPr="00400541" w:rsidRDefault="00137508" w:rsidP="00137508">
            <w:pPr>
              <w:autoSpaceDE w:val="0"/>
              <w:autoSpaceDN w:val="0"/>
              <w:adjustRightInd w:val="0"/>
              <w:jc w:val="both"/>
            </w:pPr>
            <w:r w:rsidRPr="00400541">
              <w:t>Odredbu o prekoračenim troškovima zaduživanja ne primje</w:t>
            </w:r>
            <w:r w:rsidR="00972173" w:rsidRPr="00400541">
              <w:t>njuju</w:t>
            </w:r>
            <w:r w:rsidRPr="00400541">
              <w:t xml:space="preserve"> samo osobe koje su samostalni subjekti i koje ne primaju ili odobravaju zajmove povezanim fizičkim ili drugim osobama, odnosno ako primaju kredite i zajmove isključivo od nepovezanih osoba, </w:t>
            </w:r>
            <w:r w:rsidR="00972173" w:rsidRPr="00400541">
              <w:t xml:space="preserve">kao </w:t>
            </w:r>
            <w:r w:rsidRPr="00400541">
              <w:t>niti  financijski subjekti, obzirom da taj sektor, kada je riječ o troškovima zaduživanja, ima posebne značajke koje zahtijevaju prilagođeniji pristup.  Odredb</w:t>
            </w:r>
            <w:r w:rsidR="00972173" w:rsidRPr="00400541">
              <w:t>a</w:t>
            </w:r>
            <w:r w:rsidRPr="00400541">
              <w:t xml:space="preserve"> o prekoračenim troškovima zaduživanja ne primjenjuje se na financiranje infrastrukturnih projekata. Poreznom obvezniku se omogućuje da prekoračene troškove zaduživanja odbije od porezne osnovice u slijedeća tri porezna razdoblja.</w:t>
            </w:r>
          </w:p>
          <w:p w14:paraId="5C9283FD" w14:textId="77777777" w:rsidR="003C160C" w:rsidRDefault="003C160C" w:rsidP="00137508">
            <w:pPr>
              <w:autoSpaceDE w:val="0"/>
              <w:autoSpaceDN w:val="0"/>
              <w:adjustRightInd w:val="0"/>
              <w:jc w:val="both"/>
            </w:pPr>
          </w:p>
          <w:p w14:paraId="66E66781" w14:textId="08025564" w:rsidR="00137508" w:rsidRPr="00400541" w:rsidRDefault="00137508" w:rsidP="00137508">
            <w:pPr>
              <w:autoSpaceDE w:val="0"/>
              <w:autoSpaceDN w:val="0"/>
              <w:adjustRightInd w:val="0"/>
              <w:jc w:val="both"/>
            </w:pPr>
            <w:r w:rsidRPr="00400541">
              <w:t>Tijekom 2019. godine porezni obveznici (multinacionalne kompanije) su iskazali veću poreznu obvezu za cca 90 milijuna kuna</w:t>
            </w:r>
            <w:r w:rsidR="00315959" w:rsidRPr="00400541">
              <w:t>,</w:t>
            </w:r>
            <w:r w:rsidRPr="00400541">
              <w:t xml:space="preserve"> ali će imati pravo u slijedeća 3 porezna razdoblja</w:t>
            </w:r>
            <w:r w:rsidR="00315959" w:rsidRPr="00400541">
              <w:t>,</w:t>
            </w:r>
            <w:r w:rsidRPr="00400541">
              <w:t xml:space="preserve"> ukoliko ne budu imali tako visoke troškove zaduživanja</w:t>
            </w:r>
            <w:r w:rsidR="00315959" w:rsidRPr="00400541">
              <w:t>,</w:t>
            </w:r>
            <w:r w:rsidRPr="00400541">
              <w:t xml:space="preserve"> za ist</w:t>
            </w:r>
            <w:r w:rsidR="00315959" w:rsidRPr="00400541">
              <w:t>i</w:t>
            </w:r>
            <w:r w:rsidRPr="00400541">
              <w:t xml:space="preserve"> iznos umanjiti poreznu obvezu odnosno za 90 milijuna kuna. </w:t>
            </w:r>
          </w:p>
          <w:p w14:paraId="301DB341" w14:textId="77777777" w:rsidR="00137508" w:rsidRPr="00400541" w:rsidRDefault="00137508" w:rsidP="00137508">
            <w:pPr>
              <w:autoSpaceDE w:val="0"/>
              <w:autoSpaceDN w:val="0"/>
              <w:adjustRightInd w:val="0"/>
              <w:jc w:val="both"/>
            </w:pPr>
          </w:p>
          <w:p w14:paraId="7E7293F5" w14:textId="7BDE769F" w:rsidR="00137508" w:rsidRPr="00400541" w:rsidRDefault="00137508" w:rsidP="00137508">
            <w:pPr>
              <w:jc w:val="both"/>
            </w:pPr>
            <w:r w:rsidRPr="00400541">
              <w:t>Nadalje, ovim Zakonom u sustav oporezivanja dobiti uv</w:t>
            </w:r>
            <w:r w:rsidR="00DC2D0C" w:rsidRPr="00400541">
              <w:t>edeno je</w:t>
            </w:r>
            <w:r w:rsidRPr="00400541">
              <w:t xml:space="preserve"> novo pravilo o kontroliranim inozemnim društvima (</w:t>
            </w:r>
            <w:r w:rsidRPr="00400541">
              <w:rPr>
                <w:i/>
              </w:rPr>
              <w:t xml:space="preserve">eng. </w:t>
            </w:r>
            <w:proofErr w:type="spellStart"/>
            <w:r w:rsidRPr="00400541">
              <w:rPr>
                <w:i/>
              </w:rPr>
              <w:t>Controlled</w:t>
            </w:r>
            <w:proofErr w:type="spellEnd"/>
            <w:r w:rsidRPr="00400541">
              <w:rPr>
                <w:i/>
              </w:rPr>
              <w:t xml:space="preserve"> </w:t>
            </w:r>
            <w:proofErr w:type="spellStart"/>
            <w:r w:rsidRPr="00400541">
              <w:rPr>
                <w:i/>
              </w:rPr>
              <w:t>foreign</w:t>
            </w:r>
            <w:proofErr w:type="spellEnd"/>
            <w:r w:rsidRPr="00400541">
              <w:rPr>
                <w:i/>
              </w:rPr>
              <w:t xml:space="preserve"> </w:t>
            </w:r>
            <w:proofErr w:type="spellStart"/>
            <w:r w:rsidRPr="00400541">
              <w:rPr>
                <w:i/>
              </w:rPr>
              <w:t>companies</w:t>
            </w:r>
            <w:proofErr w:type="spellEnd"/>
            <w:r w:rsidRPr="00400541">
              <w:rPr>
                <w:i/>
              </w:rPr>
              <w:t>; CFC)</w:t>
            </w:r>
            <w:r w:rsidRPr="00400541">
              <w:t xml:space="preserve">. Prema </w:t>
            </w:r>
            <w:r w:rsidRPr="00400541">
              <w:lastRenderedPageBreak/>
              <w:t>ovom Zakonu kontroliranim inozemnim društvom smatra se subjekt ili stalna poslovna jedinica smještena u drugoj državi čija dobit ne podliježe porezu ili je neoporeziva u toj državi, pod uvjetom da porezni obveznik sam ili zajedno s povezanim društvima sudjeluje izravno ili neizravno s više od 50% glasačkih prava ili je izravni ili neizravni vlasnik više od 50% kapitala ili ostvaruje pravo na primitak više od 50% dobiti tog subjekta i ako je stvarni porez na dobit koji su subjekt ili stalna poslovna jedinica platili</w:t>
            </w:r>
            <w:r w:rsidR="00315959" w:rsidRPr="00400541">
              <w:t>,</w:t>
            </w:r>
            <w:r w:rsidRPr="00400541">
              <w:t xml:space="preserve"> manji od razlike između poreza na dobit koji bi se naplatio subjektu ili stalnoj poslovnoj jedinici u skladu s primjenjivim sustavom poreza na dobit u državi članici poreznog obveznika i stvarnog poreza na dobit koji su subjekt ili stalna poslovna jedinica platili. </w:t>
            </w:r>
          </w:p>
          <w:p w14:paraId="0CA32BEC" w14:textId="77777777" w:rsidR="00137508" w:rsidRPr="00400541" w:rsidRDefault="00137508" w:rsidP="00137508">
            <w:pPr>
              <w:jc w:val="both"/>
            </w:pPr>
          </w:p>
          <w:p w14:paraId="6AD8B168" w14:textId="20799951" w:rsidR="00137508" w:rsidRPr="00400541" w:rsidRDefault="00137508" w:rsidP="00137508">
            <w:pPr>
              <w:autoSpaceDE w:val="0"/>
              <w:autoSpaceDN w:val="0"/>
              <w:adjustRightInd w:val="0"/>
              <w:jc w:val="both"/>
            </w:pPr>
            <w:r w:rsidRPr="00400541">
              <w:t>Prema pravilu o kontroliranom inozemnom društvu (CFC) ostvarena neraspoređena dobit kontroliranog društva kćeri koje plaća nisku stopu poreza</w:t>
            </w:r>
            <w:r w:rsidRPr="00400541">
              <w:rPr>
                <w:b/>
              </w:rPr>
              <w:t xml:space="preserve"> </w:t>
            </w:r>
            <w:r w:rsidRPr="00400541">
              <w:t>pripisuje se poreznom obvezniku, matičnom društvu, u Republici Hrvatskoj. Prema ovom Zakonu porezni obveznik će u poreznu osnovicu uključiti dobit kontroliranog inozemnog društva. Riječ je oporezivanju inozemnog kontroliranog društva za kojega nije utvrđeno da je rezident prema Zakonu o porezu na dobit, odnosno za kojega nije utvrđeno da se mjesto stvarnog nadzora i uprave nalazi u Republici Hrvatskoj.</w:t>
            </w:r>
          </w:p>
          <w:p w14:paraId="2F5F9FA4" w14:textId="77777777" w:rsidR="00137508" w:rsidRPr="00400541" w:rsidRDefault="00137508" w:rsidP="00DC2D0C">
            <w:pPr>
              <w:jc w:val="both"/>
            </w:pPr>
          </w:p>
          <w:p w14:paraId="027C2E79" w14:textId="65600696" w:rsidR="00137508" w:rsidRPr="00400541" w:rsidRDefault="00137508" w:rsidP="003C160C">
            <w:pPr>
              <w:jc w:val="both"/>
            </w:pPr>
            <w:r w:rsidRPr="00400541">
              <w:t>Ovisno o udjelu poreznog obveznika u kontroliranom inozemnom društvu oporez</w:t>
            </w:r>
            <w:r w:rsidR="00315959" w:rsidRPr="00400541">
              <w:t>uje</w:t>
            </w:r>
            <w:r w:rsidR="00DC2D0C" w:rsidRPr="00400541">
              <w:t xml:space="preserve"> se</w:t>
            </w:r>
            <w:r w:rsidRPr="00400541">
              <w:t xml:space="preserve"> udio u dobiti, ali na način da se izbjegne dvostruko oporezivanje ukoliko u inozemstvu dođe do plaćanja poreza. Međutim, ovim Zakonom oporez</w:t>
            </w:r>
            <w:r w:rsidR="00DC2D0C" w:rsidRPr="00400541">
              <w:t>uje</w:t>
            </w:r>
            <w:r w:rsidRPr="00400541">
              <w:t xml:space="preserve"> se neraspoređena dobit samo inozemnog kontroliranog društva koje ostvaruje prihode od kamata, financijske imovine, intelektualnog vlasništava, prihod od osiguranja, bankarstva i sl. Dakle, riječ je o prihodima koji imaju karakteristike pasivnih, lako prenosivih, prihoda i koji mogu sadržavati rizik od izbjegavanja poreza. </w:t>
            </w:r>
          </w:p>
          <w:p w14:paraId="710F8DE7" w14:textId="77777777" w:rsidR="00137508" w:rsidRPr="00400541" w:rsidRDefault="00137508" w:rsidP="00137508">
            <w:pPr>
              <w:ind w:firstLine="708"/>
              <w:jc w:val="both"/>
            </w:pPr>
          </w:p>
          <w:p w14:paraId="7CC3CEBA" w14:textId="60D20AB6" w:rsidR="00137508" w:rsidRPr="00400541" w:rsidRDefault="00137508" w:rsidP="003C160C">
            <w:pPr>
              <w:jc w:val="both"/>
            </w:pPr>
            <w:r w:rsidRPr="00400541">
              <w:t>Važno je istaknuti kako se prema ovom Zakonu n</w:t>
            </w:r>
            <w:r w:rsidR="00DC2D0C" w:rsidRPr="00400541">
              <w:t>e</w:t>
            </w:r>
            <w:r w:rsidRPr="00400541">
              <w:t xml:space="preserve"> oporez</w:t>
            </w:r>
            <w:r w:rsidR="00DC2D0C" w:rsidRPr="00400541">
              <w:t>uje</w:t>
            </w:r>
            <w:r w:rsidRPr="00400541">
              <w:t xml:space="preserve"> kontrolirano inozemno društvo koje obavlja znatnu gospodarsku djelatnost s pomoću osoblja, opreme, imovine, nekretnina, što se potvrđuje relevantnim činjenicama i okolnostima. </w:t>
            </w:r>
          </w:p>
          <w:p w14:paraId="7EDEB76B" w14:textId="77777777" w:rsidR="00137508" w:rsidRPr="00400541" w:rsidRDefault="00137508" w:rsidP="00137508">
            <w:pPr>
              <w:ind w:firstLine="708"/>
              <w:jc w:val="both"/>
            </w:pPr>
          </w:p>
          <w:p w14:paraId="4C22B68A" w14:textId="5E434EF4" w:rsidR="00DC2D0C" w:rsidRPr="00400541" w:rsidRDefault="00137508" w:rsidP="003C160C">
            <w:pPr>
              <w:jc w:val="both"/>
            </w:pPr>
            <w:r w:rsidRPr="00400541">
              <w:t>Također se</w:t>
            </w:r>
            <w:r w:rsidR="00DC2D0C" w:rsidRPr="00400541">
              <w:t xml:space="preserve"> ne oporezuje dobit</w:t>
            </w:r>
            <w:r w:rsidRPr="00400541">
              <w:t xml:space="preserve"> društva čiji prihodi predviđeni za oporezivanje prema pravilu o kontroliranim inozemnim društvima ne prelaze 30% prihoda i financijske institucije koje transakcijama između povezanih osoba ostvaruju manje od 30% prihoda, osim ako se nalaze u državama koje se za porezne svrhe smatraju nekooperativnim jurisdikcijama za porezne svrhe prema EU popisu. </w:t>
            </w:r>
          </w:p>
          <w:p w14:paraId="5738DAC7" w14:textId="77777777" w:rsidR="00DC2D0C" w:rsidRPr="00400541" w:rsidRDefault="00DC2D0C" w:rsidP="00137508">
            <w:pPr>
              <w:ind w:firstLine="708"/>
              <w:jc w:val="both"/>
            </w:pPr>
          </w:p>
          <w:p w14:paraId="412F7BD5" w14:textId="2FE999B6" w:rsidR="00137508" w:rsidRPr="00400541" w:rsidRDefault="00DC2D0C" w:rsidP="003C160C">
            <w:pPr>
              <w:jc w:val="both"/>
              <w:rPr>
                <w:b/>
              </w:rPr>
            </w:pPr>
            <w:r w:rsidRPr="00400541">
              <w:t>Primjenom navedene odredbe nekoliko poreznih obveznika je iskazalo uvećanje porezne osnovice čime je plaćeno više poreza na dobit u iznosu od 184 tisuće kuna</w:t>
            </w:r>
            <w:r w:rsidR="00911E29" w:rsidRPr="00400541">
              <w:t>.</w:t>
            </w:r>
            <w:r w:rsidRPr="00400541">
              <w:t xml:space="preserve"> </w:t>
            </w:r>
            <w:r w:rsidR="00137508" w:rsidRPr="00400541">
              <w:rPr>
                <w:b/>
              </w:rPr>
              <w:tab/>
              <w:t xml:space="preserve"> </w:t>
            </w:r>
          </w:p>
          <w:p w14:paraId="5FF6026F" w14:textId="77777777" w:rsidR="003C160C" w:rsidRDefault="003C160C" w:rsidP="00665B2E">
            <w:pPr>
              <w:shd w:val="clear" w:color="auto" w:fill="FFFFFF" w:themeFill="background1"/>
              <w:contextualSpacing/>
              <w:jc w:val="both"/>
              <w:rPr>
                <w:szCs w:val="24"/>
              </w:rPr>
            </w:pPr>
          </w:p>
          <w:p w14:paraId="409BBF29" w14:textId="79B99780" w:rsidR="000D1E2A" w:rsidRPr="00665B2E" w:rsidRDefault="00DC2D0C" w:rsidP="00665B2E">
            <w:pPr>
              <w:shd w:val="clear" w:color="auto" w:fill="FFFFFF" w:themeFill="background1"/>
              <w:contextualSpacing/>
              <w:jc w:val="both"/>
              <w:rPr>
                <w:szCs w:val="24"/>
              </w:rPr>
            </w:pPr>
            <w:r w:rsidRPr="00400541">
              <w:rPr>
                <w:szCs w:val="24"/>
              </w:rPr>
              <w:t>S</w:t>
            </w:r>
            <w:r w:rsidR="000D1E2A" w:rsidRPr="00400541">
              <w:rPr>
                <w:szCs w:val="24"/>
              </w:rPr>
              <w:t>am</w:t>
            </w:r>
            <w:r w:rsidRPr="00400541">
              <w:rPr>
                <w:szCs w:val="24"/>
              </w:rPr>
              <w:t xml:space="preserve">o </w:t>
            </w:r>
            <w:r w:rsidR="000D1E2A" w:rsidRPr="00400541">
              <w:rPr>
                <w:szCs w:val="24"/>
              </w:rPr>
              <w:t>dvije</w:t>
            </w:r>
            <w:r w:rsidR="00911E29" w:rsidRPr="00400541">
              <w:rPr>
                <w:szCs w:val="24"/>
              </w:rPr>
              <w:t xml:space="preserve"> navedene</w:t>
            </w:r>
            <w:r w:rsidR="000D1E2A" w:rsidRPr="00400541">
              <w:rPr>
                <w:szCs w:val="24"/>
              </w:rPr>
              <w:t xml:space="preserve"> mjere </w:t>
            </w:r>
            <w:r w:rsidRPr="00400541">
              <w:rPr>
                <w:szCs w:val="24"/>
              </w:rPr>
              <w:t xml:space="preserve">od mjera BEPS-a </w:t>
            </w:r>
            <w:r w:rsidR="000D1E2A" w:rsidRPr="00400541">
              <w:rPr>
                <w:szCs w:val="24"/>
              </w:rPr>
              <w:t xml:space="preserve">ne mogu u potpunosti spriječiti praksu izbjegavanja poreza kojima se izravno utječe na funkcioniranje unutarnjeg tržišta, ali u ta dva segmenta </w:t>
            </w:r>
            <w:r w:rsidR="00911E29" w:rsidRPr="00400541">
              <w:rPr>
                <w:szCs w:val="24"/>
              </w:rPr>
              <w:t xml:space="preserve">mjere </w:t>
            </w:r>
            <w:r w:rsidR="000D1E2A" w:rsidRPr="00400541">
              <w:rPr>
                <w:szCs w:val="24"/>
              </w:rPr>
              <w:t>mo</w:t>
            </w:r>
            <w:r w:rsidR="00911E29" w:rsidRPr="00400541">
              <w:rPr>
                <w:szCs w:val="24"/>
              </w:rPr>
              <w:t>gu imati</w:t>
            </w:r>
            <w:r w:rsidR="000D1E2A" w:rsidRPr="00400541">
              <w:rPr>
                <w:szCs w:val="24"/>
              </w:rPr>
              <w:t xml:space="preserve"> bit</w:t>
            </w:r>
            <w:r w:rsidR="00911E29" w:rsidRPr="00400541">
              <w:rPr>
                <w:szCs w:val="24"/>
              </w:rPr>
              <w:t>an</w:t>
            </w:r>
            <w:r w:rsidR="000D1E2A" w:rsidRPr="00400541">
              <w:rPr>
                <w:szCs w:val="24"/>
              </w:rPr>
              <w:t xml:space="preserve"> utjeca</w:t>
            </w:r>
            <w:r w:rsidR="00911E29" w:rsidRPr="00400541">
              <w:rPr>
                <w:szCs w:val="24"/>
              </w:rPr>
              <w:t>j na sprečavanje izbjegavanja plaćanja poreza</w:t>
            </w:r>
            <w:r w:rsidR="000D1E2A" w:rsidRPr="00400541">
              <w:rPr>
                <w:szCs w:val="24"/>
              </w:rPr>
              <w:t xml:space="preserve">, što je i cilj Zakona. Obzirom da su u poreznom sustavu Republike Hrvatske već postojala pravila vezana za utvrđivanje porezno </w:t>
            </w:r>
            <w:r w:rsidR="000D1E2A" w:rsidRPr="00665B2E">
              <w:rPr>
                <w:szCs w:val="24"/>
              </w:rPr>
              <w:t>priznatih rashoda kamata</w:t>
            </w:r>
            <w:r w:rsidR="00911E29">
              <w:rPr>
                <w:szCs w:val="24"/>
              </w:rPr>
              <w:t>,</w:t>
            </w:r>
            <w:r w:rsidR="000D1E2A" w:rsidRPr="00665B2E">
              <w:rPr>
                <w:szCs w:val="24"/>
              </w:rPr>
              <w:t xml:space="preserve"> kao i opće pravilo protiv zlouporabe</w:t>
            </w:r>
            <w:r w:rsidR="00911E29">
              <w:rPr>
                <w:szCs w:val="24"/>
              </w:rPr>
              <w:t>,</w:t>
            </w:r>
            <w:r w:rsidR="000D1E2A" w:rsidRPr="00665B2E">
              <w:rPr>
                <w:szCs w:val="24"/>
              </w:rPr>
              <w:t xml:space="preserve"> uz određenu mogućnost oporezivanja nerezidentnog društva,  nije se očekivao, a niti uočio značajan utjecaj na prihode od poreza na dobit nakon uvođenja navedenih odredbi. Međutim, nepriznavanje određenog dijela  troškova kamate ili oporezivanje dobiti kontroliranog inozemnog društava demotivira porezne obveznike, u pravilu velike, da poduzimaju određene aktivnosti, zbog čega je zadani cilj postignut.   </w:t>
            </w:r>
          </w:p>
          <w:p w14:paraId="32016FD2" w14:textId="77777777" w:rsidR="000D1E2A" w:rsidRPr="00665B2E" w:rsidRDefault="000D1E2A" w:rsidP="00665B2E">
            <w:pPr>
              <w:shd w:val="clear" w:color="auto" w:fill="FFFFFF" w:themeFill="background1"/>
              <w:contextualSpacing/>
              <w:jc w:val="both"/>
              <w:rPr>
                <w:szCs w:val="24"/>
              </w:rPr>
            </w:pPr>
          </w:p>
          <w:p w14:paraId="7C2BA2A7" w14:textId="6A5417FF" w:rsidR="000D1E2A" w:rsidRPr="00665B2E" w:rsidRDefault="000D1E2A" w:rsidP="00665B2E">
            <w:pPr>
              <w:shd w:val="clear" w:color="auto" w:fill="FFFFFF" w:themeFill="background1"/>
              <w:contextualSpacing/>
              <w:jc w:val="both"/>
              <w:rPr>
                <w:szCs w:val="24"/>
              </w:rPr>
            </w:pPr>
            <w:r w:rsidRPr="00665B2E">
              <w:rPr>
                <w:szCs w:val="24"/>
              </w:rPr>
              <w:t xml:space="preserve">Nadalje, ovim Zakonom pojednostavljen je se postupak oporezivanja  inozemnih umjetnika zabavljača i športaša u slučaju kada ugovorenu naknadu za nastupe koriste inozemne osobe </w:t>
            </w:r>
            <w:r w:rsidRPr="00665B2E">
              <w:rPr>
                <w:szCs w:val="24"/>
              </w:rPr>
              <w:lastRenderedPageBreak/>
              <w:t>koje nisu fizičke, te je dana mogućnost oporezivanja porezom po odbitku u skladu s OECD-ovim Modelom ugovora o izbjegavanju dvostrukog oporezivanja. Uvedena je primjena EU popis</w:t>
            </w:r>
            <w:r w:rsidR="00911E29">
              <w:rPr>
                <w:szCs w:val="24"/>
              </w:rPr>
              <w:t>a</w:t>
            </w:r>
            <w:r w:rsidRPr="00665B2E">
              <w:rPr>
                <w:szCs w:val="24"/>
              </w:rPr>
              <w:t xml:space="preserve"> nekooperativnih jurisdikcija u svrhe plaćanja poreza po odbitku. </w:t>
            </w:r>
          </w:p>
          <w:p w14:paraId="310BD8EE" w14:textId="77777777" w:rsidR="000D1E2A" w:rsidRPr="00665B2E" w:rsidRDefault="000D1E2A" w:rsidP="00665B2E">
            <w:pPr>
              <w:shd w:val="clear" w:color="auto" w:fill="FFFFFF" w:themeFill="background1"/>
              <w:jc w:val="both"/>
              <w:rPr>
                <w:i/>
              </w:rPr>
            </w:pPr>
          </w:p>
        </w:tc>
      </w:tr>
      <w:tr w:rsidR="000213BB" w:rsidRPr="00665B2E" w14:paraId="2A93C0D9" w14:textId="77777777" w:rsidTr="00D5585E">
        <w:trPr>
          <w:trHeight w:val="240"/>
        </w:trPr>
        <w:tc>
          <w:tcPr>
            <w:tcW w:w="851" w:type="dxa"/>
            <w:shd w:val="clear" w:color="auto" w:fill="auto"/>
          </w:tcPr>
          <w:p w14:paraId="1568C66D" w14:textId="77777777" w:rsidR="000213BB" w:rsidRPr="00665B2E" w:rsidRDefault="000213BB" w:rsidP="00665B2E">
            <w:pPr>
              <w:shd w:val="clear" w:color="auto" w:fill="FFFFFF" w:themeFill="background1"/>
              <w:rPr>
                <w:b/>
              </w:rPr>
            </w:pPr>
            <w:r w:rsidRPr="00665B2E">
              <w:rPr>
                <w:b/>
              </w:rPr>
              <w:lastRenderedPageBreak/>
              <w:t>3.</w:t>
            </w:r>
          </w:p>
        </w:tc>
        <w:tc>
          <w:tcPr>
            <w:tcW w:w="9072" w:type="dxa"/>
            <w:gridSpan w:val="3"/>
            <w:shd w:val="clear" w:color="auto" w:fill="auto"/>
          </w:tcPr>
          <w:p w14:paraId="6F910C5A" w14:textId="77777777" w:rsidR="000213BB" w:rsidRPr="00665B2E" w:rsidRDefault="000213BB" w:rsidP="00665B2E">
            <w:pPr>
              <w:shd w:val="clear" w:color="auto" w:fill="FFFFFF" w:themeFill="background1"/>
              <w:rPr>
                <w:b/>
              </w:rPr>
            </w:pPr>
            <w:r w:rsidRPr="00665B2E">
              <w:rPr>
                <w:b/>
              </w:rPr>
              <w:t xml:space="preserve">ANALIZA IZRAVNIH UČINAKA NASTALIH PRIMJENOM ZAKONA </w:t>
            </w:r>
          </w:p>
        </w:tc>
      </w:tr>
      <w:tr w:rsidR="000213BB" w:rsidRPr="00665B2E" w14:paraId="73F26AC9" w14:textId="77777777" w:rsidTr="00D5585E">
        <w:tc>
          <w:tcPr>
            <w:tcW w:w="851" w:type="dxa"/>
          </w:tcPr>
          <w:p w14:paraId="015A0AE5" w14:textId="77777777" w:rsidR="000213BB" w:rsidRPr="00665B2E" w:rsidRDefault="000213BB" w:rsidP="00665B2E">
            <w:pPr>
              <w:shd w:val="clear" w:color="auto" w:fill="FFFFFF" w:themeFill="background1"/>
            </w:pPr>
            <w:r w:rsidRPr="00665B2E">
              <w:t>3.1.</w:t>
            </w:r>
          </w:p>
        </w:tc>
        <w:tc>
          <w:tcPr>
            <w:tcW w:w="9072" w:type="dxa"/>
            <w:gridSpan w:val="3"/>
          </w:tcPr>
          <w:p w14:paraId="7660A04C" w14:textId="77777777" w:rsidR="000213BB" w:rsidRPr="00665B2E" w:rsidRDefault="000213BB" w:rsidP="00665B2E">
            <w:pPr>
              <w:shd w:val="clear" w:color="auto" w:fill="FFFFFF" w:themeFill="background1"/>
            </w:pPr>
            <w:r w:rsidRPr="00665B2E">
              <w:rPr>
                <w:b/>
              </w:rPr>
              <w:t>Analiza gospodarskih učinaka primjene Zakona</w:t>
            </w:r>
          </w:p>
        </w:tc>
      </w:tr>
      <w:tr w:rsidR="000213BB" w:rsidRPr="00665B2E" w14:paraId="4655E807" w14:textId="77777777" w:rsidTr="00665B2E">
        <w:tc>
          <w:tcPr>
            <w:tcW w:w="851" w:type="dxa"/>
            <w:shd w:val="clear" w:color="auto" w:fill="FFFFFF" w:themeFill="background1"/>
          </w:tcPr>
          <w:p w14:paraId="35F78B0B" w14:textId="77777777" w:rsidR="000213BB" w:rsidRPr="00665B2E" w:rsidRDefault="000213BB" w:rsidP="00665B2E">
            <w:pPr>
              <w:shd w:val="clear" w:color="auto" w:fill="FFFFFF" w:themeFill="background1"/>
            </w:pPr>
          </w:p>
        </w:tc>
        <w:tc>
          <w:tcPr>
            <w:tcW w:w="9072" w:type="dxa"/>
            <w:gridSpan w:val="3"/>
            <w:shd w:val="clear" w:color="auto" w:fill="FFFFFF" w:themeFill="background1"/>
          </w:tcPr>
          <w:p w14:paraId="6C68A7DC" w14:textId="63317BC8" w:rsidR="000D1E2A" w:rsidRPr="00665B2E" w:rsidRDefault="00F557A3" w:rsidP="00665B2E">
            <w:pPr>
              <w:shd w:val="clear" w:color="auto" w:fill="FFFFFF" w:themeFill="background1"/>
              <w:jc w:val="both"/>
              <w:rPr>
                <w:szCs w:val="24"/>
              </w:rPr>
            </w:pPr>
            <w:r>
              <w:rPr>
                <w:szCs w:val="24"/>
              </w:rPr>
              <w:t xml:space="preserve">Primjena </w:t>
            </w:r>
            <w:r w:rsidR="000D1E2A" w:rsidRPr="00665B2E">
              <w:rPr>
                <w:szCs w:val="24"/>
              </w:rPr>
              <w:t xml:space="preserve">ovoga Zakona nije imala značajan učinak na razvoj gospodarskih aktivnosti, obzirom da sve države članice od 1. siječnja 2019. primjenjuju iste nove odredbe čime je došlo do izjednačavanja određenih poreznih pravila i do neutralizacije poreznih pogodnosti kod određenih država članica. Uvođenjem istih poreznih prava, u tom segmentu izjednačena je konkurentnost hrvatskih gospodarskih subjekata odnosno poreznih obveznika s gospodarskim subjektima država članica na zajedničkom tržištu EU. </w:t>
            </w:r>
          </w:p>
          <w:p w14:paraId="05FC97BD" w14:textId="77777777" w:rsidR="000213BB" w:rsidRPr="00665B2E" w:rsidRDefault="000213BB" w:rsidP="00665B2E">
            <w:pPr>
              <w:shd w:val="clear" w:color="auto" w:fill="FFFFFF" w:themeFill="background1"/>
              <w:jc w:val="both"/>
              <w:rPr>
                <w:i/>
              </w:rPr>
            </w:pPr>
          </w:p>
        </w:tc>
      </w:tr>
      <w:tr w:rsidR="000213BB" w:rsidRPr="00665B2E" w14:paraId="3103CBF1" w14:textId="77777777" w:rsidTr="00D5585E">
        <w:tc>
          <w:tcPr>
            <w:tcW w:w="851" w:type="dxa"/>
          </w:tcPr>
          <w:p w14:paraId="68B3417D" w14:textId="77777777" w:rsidR="000213BB" w:rsidRPr="00665B2E" w:rsidRDefault="000213BB" w:rsidP="00665B2E">
            <w:pPr>
              <w:shd w:val="clear" w:color="auto" w:fill="FFFFFF" w:themeFill="background1"/>
            </w:pPr>
            <w:r w:rsidRPr="00665B2E">
              <w:t>3.2.</w:t>
            </w:r>
          </w:p>
        </w:tc>
        <w:tc>
          <w:tcPr>
            <w:tcW w:w="9072" w:type="dxa"/>
            <w:gridSpan w:val="3"/>
          </w:tcPr>
          <w:p w14:paraId="3FE4364C" w14:textId="77777777" w:rsidR="000213BB" w:rsidRPr="00665B2E" w:rsidRDefault="000213BB" w:rsidP="00665B2E">
            <w:pPr>
              <w:shd w:val="clear" w:color="auto" w:fill="FFFFFF" w:themeFill="background1"/>
              <w:rPr>
                <w:b/>
              </w:rPr>
            </w:pPr>
            <w:r w:rsidRPr="00665B2E">
              <w:rPr>
                <w:b/>
              </w:rPr>
              <w:t xml:space="preserve">Analiza učinaka primjene Zakona na zaštitu tržišnog natjecanja </w:t>
            </w:r>
          </w:p>
        </w:tc>
      </w:tr>
      <w:tr w:rsidR="000213BB" w:rsidRPr="00665B2E" w14:paraId="2D5790CD" w14:textId="77777777" w:rsidTr="00665B2E">
        <w:tc>
          <w:tcPr>
            <w:tcW w:w="851" w:type="dxa"/>
            <w:shd w:val="clear" w:color="auto" w:fill="FFFFFF" w:themeFill="background1"/>
          </w:tcPr>
          <w:p w14:paraId="79B39737" w14:textId="77777777" w:rsidR="000213BB" w:rsidRPr="00665B2E" w:rsidRDefault="000213BB" w:rsidP="00665B2E">
            <w:pPr>
              <w:shd w:val="clear" w:color="auto" w:fill="FFFFFF" w:themeFill="background1"/>
            </w:pPr>
          </w:p>
        </w:tc>
        <w:tc>
          <w:tcPr>
            <w:tcW w:w="9072" w:type="dxa"/>
            <w:gridSpan w:val="3"/>
            <w:shd w:val="clear" w:color="auto" w:fill="FFFFFF" w:themeFill="background1"/>
          </w:tcPr>
          <w:p w14:paraId="459D5705" w14:textId="77777777" w:rsidR="000D1E2A" w:rsidRPr="00665B2E" w:rsidRDefault="000D1E2A" w:rsidP="00665B2E">
            <w:pPr>
              <w:shd w:val="clear" w:color="auto" w:fill="FFFFFF" w:themeFill="background1"/>
              <w:jc w:val="both"/>
              <w:rPr>
                <w:szCs w:val="24"/>
              </w:rPr>
            </w:pPr>
            <w:r w:rsidRPr="00665B2E">
              <w:rPr>
                <w:szCs w:val="24"/>
              </w:rPr>
              <w:t>Ovim Zakonom izvršeno je djelomično usklađivanje s Direktivom Vijeća (EU) 2016/1164 od 12. srpnja 2016.</w:t>
            </w:r>
            <w:r w:rsidRPr="00665B2E">
              <w:rPr>
                <w:bCs/>
                <w:szCs w:val="24"/>
              </w:rPr>
              <w:t xml:space="preserve"> </w:t>
            </w:r>
            <w:r w:rsidRPr="00665B2E">
              <w:rPr>
                <w:szCs w:val="24"/>
              </w:rPr>
              <w:t xml:space="preserve">o utvrđivanju pravila protiv praksi izbjegavanja poreza kojima se izravno utječe na funkcioniranje unutarnjeg tržišta. Nova pravila nisu mogla negativno utjecati na konkurentnost gospodarstava Republike Hrvatske, ali uvođenjem istih pravila u drugim državama članicama, barem u ovom malom segmentu, došlo je neutraliziranja dosadašnje porezne pogodnosti u drugim državama članicama, tako da su u tom segmentu porezni obveznici u Republicu Hrvatskoj izjednačeni s poreznim obveznicima drugih država članica. Kada ovaj Zakon ne bi bio u primjeni Republika Hrvatska bi narušila tržišno natjecanje u području poreza na unutarnjem tržištu.  </w:t>
            </w:r>
          </w:p>
          <w:p w14:paraId="40202C7D" w14:textId="77777777" w:rsidR="000213BB" w:rsidRPr="00665B2E" w:rsidRDefault="000213BB" w:rsidP="00665B2E">
            <w:pPr>
              <w:shd w:val="clear" w:color="auto" w:fill="FFFFFF" w:themeFill="background1"/>
              <w:jc w:val="both"/>
              <w:rPr>
                <w:i/>
              </w:rPr>
            </w:pPr>
          </w:p>
        </w:tc>
      </w:tr>
      <w:tr w:rsidR="000213BB" w:rsidRPr="00665B2E" w14:paraId="465330A2" w14:textId="77777777" w:rsidTr="00D5585E">
        <w:tc>
          <w:tcPr>
            <w:tcW w:w="851" w:type="dxa"/>
          </w:tcPr>
          <w:p w14:paraId="135AD6B3" w14:textId="77777777" w:rsidR="000213BB" w:rsidRPr="00665B2E" w:rsidRDefault="000213BB" w:rsidP="00665B2E">
            <w:pPr>
              <w:shd w:val="clear" w:color="auto" w:fill="FFFFFF" w:themeFill="background1"/>
            </w:pPr>
            <w:r w:rsidRPr="00665B2E">
              <w:t>3.3.</w:t>
            </w:r>
          </w:p>
        </w:tc>
        <w:tc>
          <w:tcPr>
            <w:tcW w:w="9072" w:type="dxa"/>
            <w:gridSpan w:val="3"/>
          </w:tcPr>
          <w:p w14:paraId="1EEB5CC8" w14:textId="77777777" w:rsidR="000213BB" w:rsidRPr="00665B2E" w:rsidRDefault="000213BB" w:rsidP="00665B2E">
            <w:pPr>
              <w:shd w:val="clear" w:color="auto" w:fill="FFFFFF" w:themeFill="background1"/>
            </w:pPr>
            <w:r w:rsidRPr="00665B2E">
              <w:rPr>
                <w:b/>
              </w:rPr>
              <w:t>Analiza socijalnih učinaka primjene Zakona</w:t>
            </w:r>
          </w:p>
        </w:tc>
      </w:tr>
      <w:tr w:rsidR="000213BB" w:rsidRPr="00665B2E" w14:paraId="5327B692" w14:textId="77777777" w:rsidTr="00665B2E">
        <w:tc>
          <w:tcPr>
            <w:tcW w:w="851" w:type="dxa"/>
            <w:shd w:val="clear" w:color="auto" w:fill="FFFFFF" w:themeFill="background1"/>
          </w:tcPr>
          <w:p w14:paraId="007D97BD" w14:textId="77777777" w:rsidR="000213BB" w:rsidRPr="00665B2E" w:rsidRDefault="000213BB" w:rsidP="00665B2E">
            <w:pPr>
              <w:shd w:val="clear" w:color="auto" w:fill="FFFFFF" w:themeFill="background1"/>
            </w:pPr>
          </w:p>
        </w:tc>
        <w:tc>
          <w:tcPr>
            <w:tcW w:w="9072" w:type="dxa"/>
            <w:gridSpan w:val="3"/>
            <w:shd w:val="clear" w:color="auto" w:fill="FFFFFF" w:themeFill="background1"/>
          </w:tcPr>
          <w:p w14:paraId="6D32DBD0" w14:textId="77777777" w:rsidR="000213BB" w:rsidRPr="00665B2E" w:rsidRDefault="000D1E2A" w:rsidP="00665B2E">
            <w:pPr>
              <w:shd w:val="clear" w:color="auto" w:fill="FFFFFF" w:themeFill="background1"/>
              <w:spacing w:before="120" w:after="120"/>
              <w:jc w:val="both"/>
              <w:rPr>
                <w:i/>
              </w:rPr>
            </w:pPr>
            <w:r w:rsidRPr="00665B2E">
              <w:rPr>
                <w:szCs w:val="24"/>
              </w:rPr>
              <w:t>Primjena ovog Zakona nije imala socijalnih učinaka.</w:t>
            </w:r>
          </w:p>
        </w:tc>
      </w:tr>
      <w:tr w:rsidR="000213BB" w:rsidRPr="00665B2E" w14:paraId="2B599321" w14:textId="77777777" w:rsidTr="00665B2E">
        <w:tc>
          <w:tcPr>
            <w:tcW w:w="851" w:type="dxa"/>
            <w:shd w:val="clear" w:color="auto" w:fill="FFFFFF" w:themeFill="background1"/>
          </w:tcPr>
          <w:p w14:paraId="3593D5BB" w14:textId="77777777" w:rsidR="000213BB" w:rsidRPr="00665B2E" w:rsidRDefault="000213BB" w:rsidP="00665B2E">
            <w:pPr>
              <w:shd w:val="clear" w:color="auto" w:fill="FFFFFF" w:themeFill="background1"/>
            </w:pPr>
            <w:r w:rsidRPr="00665B2E">
              <w:t>3.4.</w:t>
            </w:r>
          </w:p>
        </w:tc>
        <w:tc>
          <w:tcPr>
            <w:tcW w:w="9072" w:type="dxa"/>
            <w:gridSpan w:val="3"/>
            <w:shd w:val="clear" w:color="auto" w:fill="FFFFFF" w:themeFill="background1"/>
          </w:tcPr>
          <w:p w14:paraId="037B46D9" w14:textId="77777777" w:rsidR="000213BB" w:rsidRPr="00665B2E" w:rsidRDefault="000213BB" w:rsidP="00665B2E">
            <w:pPr>
              <w:shd w:val="clear" w:color="auto" w:fill="FFFFFF" w:themeFill="background1"/>
              <w:rPr>
                <w:b/>
              </w:rPr>
            </w:pPr>
            <w:r w:rsidRPr="00665B2E">
              <w:rPr>
                <w:b/>
              </w:rPr>
              <w:t>Analiza učinaka primjene Zakona na rad i tržište rada</w:t>
            </w:r>
          </w:p>
        </w:tc>
      </w:tr>
      <w:tr w:rsidR="000213BB" w:rsidRPr="00665B2E" w14:paraId="33A7FF3C" w14:textId="77777777" w:rsidTr="00665B2E">
        <w:tc>
          <w:tcPr>
            <w:tcW w:w="851" w:type="dxa"/>
            <w:shd w:val="clear" w:color="auto" w:fill="FFFFFF" w:themeFill="background1"/>
          </w:tcPr>
          <w:p w14:paraId="266E177B" w14:textId="77777777" w:rsidR="000213BB" w:rsidRPr="00665B2E" w:rsidRDefault="000213BB" w:rsidP="00665B2E">
            <w:pPr>
              <w:shd w:val="clear" w:color="auto" w:fill="FFFFFF" w:themeFill="background1"/>
            </w:pPr>
          </w:p>
        </w:tc>
        <w:tc>
          <w:tcPr>
            <w:tcW w:w="9072" w:type="dxa"/>
            <w:gridSpan w:val="3"/>
            <w:shd w:val="clear" w:color="auto" w:fill="FFFFFF" w:themeFill="background1"/>
          </w:tcPr>
          <w:p w14:paraId="68878FE4" w14:textId="77777777" w:rsidR="000213BB" w:rsidRPr="00665B2E" w:rsidRDefault="000D1E2A" w:rsidP="00665B2E">
            <w:pPr>
              <w:shd w:val="clear" w:color="auto" w:fill="FFFFFF" w:themeFill="background1"/>
              <w:spacing w:before="120" w:after="120"/>
              <w:jc w:val="both"/>
              <w:rPr>
                <w:rFonts w:ascii="Minion Pro" w:eastAsia="Times New Roman" w:hAnsi="Minion Pro"/>
                <w:i/>
                <w:iCs/>
                <w:sz w:val="18"/>
                <w:szCs w:val="18"/>
                <w:bdr w:val="none" w:sz="0" w:space="0" w:color="auto" w:frame="1"/>
              </w:rPr>
            </w:pPr>
            <w:r w:rsidRPr="00665B2E">
              <w:rPr>
                <w:szCs w:val="24"/>
              </w:rPr>
              <w:t>Primjena ovog Zakona nije utjecala na tržište rada.</w:t>
            </w:r>
          </w:p>
        </w:tc>
      </w:tr>
      <w:tr w:rsidR="000213BB" w:rsidRPr="00665B2E" w14:paraId="04FF4E6C" w14:textId="77777777" w:rsidTr="00665B2E">
        <w:tc>
          <w:tcPr>
            <w:tcW w:w="851" w:type="dxa"/>
            <w:shd w:val="clear" w:color="auto" w:fill="FFFFFF" w:themeFill="background1"/>
          </w:tcPr>
          <w:p w14:paraId="4EF77FBB" w14:textId="77777777" w:rsidR="000213BB" w:rsidRPr="00665B2E" w:rsidRDefault="000213BB" w:rsidP="00665B2E">
            <w:pPr>
              <w:shd w:val="clear" w:color="auto" w:fill="FFFFFF" w:themeFill="background1"/>
            </w:pPr>
            <w:r w:rsidRPr="00665B2E">
              <w:t>3.5.</w:t>
            </w:r>
          </w:p>
        </w:tc>
        <w:tc>
          <w:tcPr>
            <w:tcW w:w="9072" w:type="dxa"/>
            <w:gridSpan w:val="3"/>
            <w:shd w:val="clear" w:color="auto" w:fill="FFFFFF" w:themeFill="background1"/>
          </w:tcPr>
          <w:p w14:paraId="07EC0819" w14:textId="77777777" w:rsidR="000213BB" w:rsidRPr="00665B2E" w:rsidRDefault="000213BB" w:rsidP="00665B2E">
            <w:pPr>
              <w:shd w:val="clear" w:color="auto" w:fill="FFFFFF" w:themeFill="background1"/>
              <w:rPr>
                <w:b/>
              </w:rPr>
            </w:pPr>
            <w:r w:rsidRPr="00665B2E">
              <w:rPr>
                <w:b/>
              </w:rPr>
              <w:t>Analiza učinaka primjene Zakona na zaštitu okoliša</w:t>
            </w:r>
          </w:p>
        </w:tc>
      </w:tr>
      <w:tr w:rsidR="000213BB" w:rsidRPr="00665B2E" w14:paraId="2F7BF78C" w14:textId="77777777" w:rsidTr="00665B2E">
        <w:tc>
          <w:tcPr>
            <w:tcW w:w="851" w:type="dxa"/>
            <w:shd w:val="clear" w:color="auto" w:fill="FFFFFF" w:themeFill="background1"/>
          </w:tcPr>
          <w:p w14:paraId="51704692" w14:textId="77777777" w:rsidR="000213BB" w:rsidRPr="00665B2E" w:rsidRDefault="000213BB" w:rsidP="00665B2E">
            <w:pPr>
              <w:shd w:val="clear" w:color="auto" w:fill="FFFFFF" w:themeFill="background1"/>
            </w:pPr>
          </w:p>
        </w:tc>
        <w:tc>
          <w:tcPr>
            <w:tcW w:w="9072" w:type="dxa"/>
            <w:gridSpan w:val="3"/>
            <w:shd w:val="clear" w:color="auto" w:fill="FFFFFF" w:themeFill="background1"/>
          </w:tcPr>
          <w:p w14:paraId="5B5037DD" w14:textId="77777777" w:rsidR="000213BB" w:rsidRPr="00665B2E" w:rsidRDefault="00665B2E" w:rsidP="00665B2E">
            <w:pPr>
              <w:shd w:val="clear" w:color="auto" w:fill="FFFFFF" w:themeFill="background1"/>
              <w:spacing w:before="120" w:after="120"/>
              <w:jc w:val="both"/>
              <w:rPr>
                <w:rFonts w:ascii="Minion Pro" w:eastAsia="Times New Roman" w:hAnsi="Minion Pro"/>
                <w:i/>
                <w:iCs/>
                <w:sz w:val="18"/>
                <w:szCs w:val="18"/>
                <w:bdr w:val="none" w:sz="0" w:space="0" w:color="auto" w:frame="1"/>
              </w:rPr>
            </w:pPr>
            <w:r w:rsidRPr="00665B2E">
              <w:rPr>
                <w:szCs w:val="24"/>
              </w:rPr>
              <w:t>Primjena ovog Zakona nije utjecala na zaštitu okoliša.</w:t>
            </w:r>
          </w:p>
        </w:tc>
      </w:tr>
      <w:tr w:rsidR="000213BB" w:rsidRPr="00665B2E" w14:paraId="3F807730" w14:textId="77777777" w:rsidTr="00665B2E">
        <w:tc>
          <w:tcPr>
            <w:tcW w:w="851" w:type="dxa"/>
            <w:shd w:val="clear" w:color="auto" w:fill="FFFFFF" w:themeFill="background1"/>
          </w:tcPr>
          <w:p w14:paraId="41D47CAB" w14:textId="77777777" w:rsidR="000213BB" w:rsidRPr="00665B2E" w:rsidRDefault="000213BB" w:rsidP="00665B2E">
            <w:pPr>
              <w:shd w:val="clear" w:color="auto" w:fill="FFFFFF" w:themeFill="background1"/>
            </w:pPr>
            <w:r w:rsidRPr="00665B2E">
              <w:t>3.6.</w:t>
            </w:r>
          </w:p>
        </w:tc>
        <w:tc>
          <w:tcPr>
            <w:tcW w:w="9072" w:type="dxa"/>
            <w:gridSpan w:val="3"/>
            <w:shd w:val="clear" w:color="auto" w:fill="FFFFFF" w:themeFill="background1"/>
          </w:tcPr>
          <w:p w14:paraId="0FBF788D" w14:textId="77777777" w:rsidR="000213BB" w:rsidRPr="00665B2E" w:rsidRDefault="000213BB" w:rsidP="00665B2E">
            <w:pPr>
              <w:shd w:val="clear" w:color="auto" w:fill="FFFFFF" w:themeFill="background1"/>
              <w:rPr>
                <w:b/>
              </w:rPr>
            </w:pPr>
            <w:r w:rsidRPr="00665B2E">
              <w:rPr>
                <w:b/>
              </w:rPr>
              <w:t>Analiza učinaka primjene Zakona na zaštitu ljudskih prava</w:t>
            </w:r>
          </w:p>
        </w:tc>
      </w:tr>
      <w:tr w:rsidR="000213BB" w:rsidRPr="00665B2E" w14:paraId="31E00F7C" w14:textId="77777777" w:rsidTr="00665B2E">
        <w:tc>
          <w:tcPr>
            <w:tcW w:w="851" w:type="dxa"/>
            <w:shd w:val="clear" w:color="auto" w:fill="FFFFFF" w:themeFill="background1"/>
          </w:tcPr>
          <w:p w14:paraId="3E694E98" w14:textId="77777777" w:rsidR="000213BB" w:rsidRPr="00665B2E" w:rsidRDefault="000213BB" w:rsidP="00665B2E">
            <w:pPr>
              <w:shd w:val="clear" w:color="auto" w:fill="FFFFFF" w:themeFill="background1"/>
            </w:pPr>
          </w:p>
        </w:tc>
        <w:tc>
          <w:tcPr>
            <w:tcW w:w="9072" w:type="dxa"/>
            <w:gridSpan w:val="3"/>
            <w:shd w:val="clear" w:color="auto" w:fill="FFFFFF" w:themeFill="background1"/>
          </w:tcPr>
          <w:p w14:paraId="68F8F51C" w14:textId="77777777" w:rsidR="000213BB" w:rsidRPr="00665B2E" w:rsidRDefault="00665B2E" w:rsidP="00665B2E">
            <w:pPr>
              <w:shd w:val="clear" w:color="auto" w:fill="FFFFFF" w:themeFill="background1"/>
              <w:spacing w:before="120" w:after="120"/>
              <w:jc w:val="both"/>
              <w:rPr>
                <w:rFonts w:ascii="Minion Pro" w:eastAsia="Times New Roman" w:hAnsi="Minion Pro"/>
                <w:i/>
                <w:iCs/>
                <w:sz w:val="18"/>
                <w:szCs w:val="18"/>
                <w:bdr w:val="none" w:sz="0" w:space="0" w:color="auto" w:frame="1"/>
              </w:rPr>
            </w:pPr>
            <w:r w:rsidRPr="00665B2E">
              <w:rPr>
                <w:szCs w:val="24"/>
              </w:rPr>
              <w:t>Primjena ovog Zakona nije utjecala na zaštitu ljudskih prava.</w:t>
            </w:r>
          </w:p>
        </w:tc>
      </w:tr>
      <w:tr w:rsidR="000213BB" w:rsidRPr="00665B2E" w14:paraId="24072B80" w14:textId="77777777" w:rsidTr="00665B2E">
        <w:tc>
          <w:tcPr>
            <w:tcW w:w="851" w:type="dxa"/>
            <w:shd w:val="clear" w:color="auto" w:fill="FFFFFF" w:themeFill="background1"/>
          </w:tcPr>
          <w:p w14:paraId="7BBED97E" w14:textId="77777777" w:rsidR="000213BB" w:rsidRPr="00665B2E" w:rsidRDefault="000213BB" w:rsidP="00665B2E">
            <w:pPr>
              <w:shd w:val="clear" w:color="auto" w:fill="FFFFFF" w:themeFill="background1"/>
            </w:pPr>
            <w:r w:rsidRPr="00665B2E">
              <w:t>4.</w:t>
            </w:r>
          </w:p>
        </w:tc>
        <w:tc>
          <w:tcPr>
            <w:tcW w:w="9072" w:type="dxa"/>
            <w:gridSpan w:val="3"/>
            <w:shd w:val="clear" w:color="auto" w:fill="FFFFFF" w:themeFill="background1"/>
          </w:tcPr>
          <w:p w14:paraId="63AAA19F" w14:textId="77777777" w:rsidR="000213BB" w:rsidRPr="00665B2E" w:rsidRDefault="000213BB" w:rsidP="00665B2E">
            <w:pPr>
              <w:shd w:val="clear" w:color="auto" w:fill="FFFFFF" w:themeFill="background1"/>
              <w:rPr>
                <w:b/>
              </w:rPr>
            </w:pPr>
            <w:r w:rsidRPr="00665B2E">
              <w:rPr>
                <w:b/>
              </w:rPr>
              <w:t>SAVJETOVANJE I KONZULTACIJE</w:t>
            </w:r>
          </w:p>
        </w:tc>
      </w:tr>
      <w:tr w:rsidR="00665B2E" w:rsidRPr="00665B2E" w14:paraId="201B230B" w14:textId="77777777" w:rsidTr="00665B2E">
        <w:trPr>
          <w:trHeight w:val="529"/>
        </w:trPr>
        <w:tc>
          <w:tcPr>
            <w:tcW w:w="851" w:type="dxa"/>
            <w:shd w:val="clear" w:color="auto" w:fill="FFFFFF" w:themeFill="background1"/>
          </w:tcPr>
          <w:p w14:paraId="421CA611" w14:textId="77777777" w:rsidR="00665B2E" w:rsidRPr="00665B2E" w:rsidRDefault="00665B2E" w:rsidP="00665B2E">
            <w:pPr>
              <w:shd w:val="clear" w:color="auto" w:fill="FFFFFF" w:themeFill="background1"/>
            </w:pPr>
          </w:p>
        </w:tc>
        <w:tc>
          <w:tcPr>
            <w:tcW w:w="9072" w:type="dxa"/>
            <w:gridSpan w:val="3"/>
            <w:shd w:val="clear" w:color="auto" w:fill="FFFFFF" w:themeFill="background1"/>
          </w:tcPr>
          <w:p w14:paraId="601BA879" w14:textId="77777777" w:rsidR="00665B2E" w:rsidRPr="00665B2E" w:rsidRDefault="00665B2E" w:rsidP="00665B2E">
            <w:pPr>
              <w:shd w:val="clear" w:color="auto" w:fill="FFFFFF" w:themeFill="background1"/>
              <w:spacing w:before="120" w:after="120"/>
              <w:jc w:val="both"/>
              <w:rPr>
                <w:rFonts w:ascii="Minion Pro" w:eastAsia="Times New Roman" w:hAnsi="Minion Pro"/>
                <w:i/>
                <w:iCs/>
                <w:sz w:val="18"/>
                <w:szCs w:val="18"/>
                <w:bdr w:val="none" w:sz="0" w:space="0" w:color="auto" w:frame="1"/>
              </w:rPr>
            </w:pPr>
          </w:p>
        </w:tc>
      </w:tr>
      <w:tr w:rsidR="00665B2E" w:rsidRPr="00665B2E" w14:paraId="221E5324" w14:textId="77777777" w:rsidTr="00665B2E">
        <w:tc>
          <w:tcPr>
            <w:tcW w:w="851" w:type="dxa"/>
            <w:shd w:val="clear" w:color="auto" w:fill="FFFFFF" w:themeFill="background1"/>
          </w:tcPr>
          <w:p w14:paraId="4C1C24DA" w14:textId="77777777" w:rsidR="00665B2E" w:rsidRPr="00665B2E" w:rsidRDefault="00665B2E" w:rsidP="00665B2E">
            <w:pPr>
              <w:shd w:val="clear" w:color="auto" w:fill="FFFFFF" w:themeFill="background1"/>
            </w:pPr>
            <w:r w:rsidRPr="00665B2E">
              <w:t>5.</w:t>
            </w:r>
          </w:p>
        </w:tc>
        <w:tc>
          <w:tcPr>
            <w:tcW w:w="9072" w:type="dxa"/>
            <w:gridSpan w:val="3"/>
            <w:shd w:val="clear" w:color="auto" w:fill="FFFFFF" w:themeFill="background1"/>
          </w:tcPr>
          <w:p w14:paraId="6EBEA073" w14:textId="77777777" w:rsidR="00665B2E" w:rsidRPr="00665B2E" w:rsidRDefault="00665B2E" w:rsidP="00665B2E">
            <w:pPr>
              <w:shd w:val="clear" w:color="auto" w:fill="FFFFFF" w:themeFill="background1"/>
            </w:pPr>
            <w:r w:rsidRPr="00665B2E">
              <w:rPr>
                <w:b/>
              </w:rPr>
              <w:t>PREPORUKA O DALJNJEM POSTUPANJU</w:t>
            </w:r>
          </w:p>
        </w:tc>
      </w:tr>
      <w:tr w:rsidR="00665B2E" w:rsidRPr="00665B2E" w14:paraId="359B9178" w14:textId="77777777" w:rsidTr="00665B2E">
        <w:tc>
          <w:tcPr>
            <w:tcW w:w="851" w:type="dxa"/>
            <w:shd w:val="clear" w:color="auto" w:fill="FFFFFF" w:themeFill="background1"/>
          </w:tcPr>
          <w:p w14:paraId="00684D32" w14:textId="77777777" w:rsidR="00665B2E" w:rsidRPr="00665B2E" w:rsidRDefault="00665B2E" w:rsidP="00665B2E">
            <w:pPr>
              <w:shd w:val="clear" w:color="auto" w:fill="FFFFFF" w:themeFill="background1"/>
            </w:pPr>
          </w:p>
        </w:tc>
        <w:tc>
          <w:tcPr>
            <w:tcW w:w="9072" w:type="dxa"/>
            <w:gridSpan w:val="3"/>
            <w:shd w:val="clear" w:color="auto" w:fill="FFFFFF" w:themeFill="background1"/>
          </w:tcPr>
          <w:p w14:paraId="3C6624B9" w14:textId="3776BE7E" w:rsidR="00665B2E" w:rsidRPr="00F74439" w:rsidRDefault="00665B2E" w:rsidP="00911E29">
            <w:pPr>
              <w:shd w:val="clear" w:color="auto" w:fill="FFFFFF" w:themeFill="background1"/>
              <w:spacing w:before="120" w:after="120"/>
              <w:jc w:val="both"/>
            </w:pPr>
          </w:p>
        </w:tc>
      </w:tr>
      <w:tr w:rsidR="00665B2E" w:rsidRPr="00665B2E" w14:paraId="3A920F72" w14:textId="77777777" w:rsidTr="00665B2E">
        <w:tc>
          <w:tcPr>
            <w:tcW w:w="851" w:type="dxa"/>
            <w:shd w:val="clear" w:color="auto" w:fill="FFFFFF" w:themeFill="background1"/>
          </w:tcPr>
          <w:p w14:paraId="2C287CAA" w14:textId="77777777" w:rsidR="00665B2E" w:rsidRPr="00665B2E" w:rsidRDefault="00665B2E" w:rsidP="00665B2E">
            <w:pPr>
              <w:shd w:val="clear" w:color="auto" w:fill="FFFFFF" w:themeFill="background1"/>
            </w:pPr>
            <w:r w:rsidRPr="00665B2E">
              <w:t xml:space="preserve">6. </w:t>
            </w:r>
          </w:p>
        </w:tc>
        <w:tc>
          <w:tcPr>
            <w:tcW w:w="9072" w:type="dxa"/>
            <w:gridSpan w:val="3"/>
            <w:shd w:val="clear" w:color="auto" w:fill="FFFFFF" w:themeFill="background1"/>
          </w:tcPr>
          <w:p w14:paraId="284357F5" w14:textId="77777777" w:rsidR="00665B2E" w:rsidRPr="00665B2E" w:rsidRDefault="00665B2E" w:rsidP="00665B2E">
            <w:pPr>
              <w:shd w:val="clear" w:color="auto" w:fill="FFFFFF" w:themeFill="background1"/>
              <w:jc w:val="both"/>
              <w:rPr>
                <w:b/>
              </w:rPr>
            </w:pPr>
            <w:r w:rsidRPr="00665B2E">
              <w:rPr>
                <w:b/>
              </w:rPr>
              <w:t>PRILOZI</w:t>
            </w:r>
          </w:p>
        </w:tc>
      </w:tr>
      <w:tr w:rsidR="00665B2E" w:rsidRPr="00665B2E" w14:paraId="0E5619F9" w14:textId="77777777" w:rsidTr="00665B2E">
        <w:tc>
          <w:tcPr>
            <w:tcW w:w="851" w:type="dxa"/>
            <w:shd w:val="clear" w:color="auto" w:fill="FFFFFF" w:themeFill="background1"/>
          </w:tcPr>
          <w:p w14:paraId="10676029" w14:textId="77777777" w:rsidR="00665B2E" w:rsidRPr="00665B2E" w:rsidRDefault="00665B2E" w:rsidP="00665B2E">
            <w:pPr>
              <w:shd w:val="clear" w:color="auto" w:fill="FFFFFF" w:themeFill="background1"/>
            </w:pPr>
          </w:p>
        </w:tc>
        <w:tc>
          <w:tcPr>
            <w:tcW w:w="9072" w:type="dxa"/>
            <w:gridSpan w:val="3"/>
            <w:shd w:val="clear" w:color="auto" w:fill="FFFFFF" w:themeFill="background1"/>
          </w:tcPr>
          <w:p w14:paraId="68E0ACE7" w14:textId="77777777" w:rsidR="00665B2E" w:rsidRPr="00665B2E" w:rsidRDefault="00665B2E" w:rsidP="00665B2E">
            <w:pPr>
              <w:shd w:val="clear" w:color="auto" w:fill="FFFFFF" w:themeFill="background1"/>
              <w:spacing w:before="120" w:after="120"/>
              <w:jc w:val="both"/>
              <w:rPr>
                <w:i/>
              </w:rPr>
            </w:pPr>
          </w:p>
        </w:tc>
      </w:tr>
      <w:tr w:rsidR="00665B2E" w:rsidRPr="00665B2E" w14:paraId="573855CD" w14:textId="77777777" w:rsidTr="00665B2E">
        <w:tc>
          <w:tcPr>
            <w:tcW w:w="851" w:type="dxa"/>
            <w:shd w:val="clear" w:color="auto" w:fill="FFFFFF" w:themeFill="background1"/>
          </w:tcPr>
          <w:p w14:paraId="182F2932" w14:textId="77777777" w:rsidR="00665B2E" w:rsidRPr="00665B2E" w:rsidRDefault="00665B2E" w:rsidP="00665B2E">
            <w:pPr>
              <w:shd w:val="clear" w:color="auto" w:fill="FFFFFF" w:themeFill="background1"/>
            </w:pPr>
            <w:r w:rsidRPr="00665B2E">
              <w:t xml:space="preserve">7. </w:t>
            </w:r>
          </w:p>
        </w:tc>
        <w:tc>
          <w:tcPr>
            <w:tcW w:w="9072" w:type="dxa"/>
            <w:gridSpan w:val="3"/>
            <w:shd w:val="clear" w:color="auto" w:fill="FFFFFF" w:themeFill="background1"/>
          </w:tcPr>
          <w:p w14:paraId="644C1E6E" w14:textId="77777777" w:rsidR="00665B2E" w:rsidRPr="00665B2E" w:rsidRDefault="00665B2E" w:rsidP="00665B2E">
            <w:pPr>
              <w:shd w:val="clear" w:color="auto" w:fill="FFFFFF" w:themeFill="background1"/>
              <w:rPr>
                <w:b/>
                <w:szCs w:val="24"/>
              </w:rPr>
            </w:pPr>
            <w:r w:rsidRPr="00665B2E">
              <w:rPr>
                <w:b/>
                <w:szCs w:val="24"/>
              </w:rPr>
              <w:t>POTPIS ČELNIKA TIJELA</w:t>
            </w:r>
          </w:p>
        </w:tc>
      </w:tr>
      <w:tr w:rsidR="00665B2E" w:rsidRPr="00665B2E" w14:paraId="590D0CBE" w14:textId="77777777" w:rsidTr="00665B2E">
        <w:tc>
          <w:tcPr>
            <w:tcW w:w="851" w:type="dxa"/>
            <w:shd w:val="clear" w:color="auto" w:fill="FFFFFF" w:themeFill="background1"/>
          </w:tcPr>
          <w:p w14:paraId="27406C45" w14:textId="77777777" w:rsidR="00665B2E" w:rsidRPr="00665B2E" w:rsidRDefault="00665B2E" w:rsidP="00665B2E">
            <w:pPr>
              <w:shd w:val="clear" w:color="auto" w:fill="FFFFFF" w:themeFill="background1"/>
            </w:pPr>
          </w:p>
        </w:tc>
        <w:tc>
          <w:tcPr>
            <w:tcW w:w="9072" w:type="dxa"/>
            <w:gridSpan w:val="3"/>
            <w:shd w:val="clear" w:color="auto" w:fill="FFFFFF" w:themeFill="background1"/>
          </w:tcPr>
          <w:p w14:paraId="6D8661E3" w14:textId="77777777" w:rsidR="00665B2E" w:rsidRPr="00665B2E" w:rsidRDefault="00665B2E" w:rsidP="00665B2E">
            <w:pPr>
              <w:shd w:val="clear" w:color="auto" w:fill="FFFFFF" w:themeFill="background1"/>
              <w:spacing w:after="48"/>
              <w:textAlignment w:val="baseline"/>
              <w:rPr>
                <w:rFonts w:eastAsia="Times New Roman"/>
              </w:rPr>
            </w:pPr>
            <w:r w:rsidRPr="00665B2E">
              <w:rPr>
                <w:rFonts w:eastAsia="Times New Roman"/>
                <w:szCs w:val="24"/>
              </w:rPr>
              <w:t>Potpis:</w:t>
            </w:r>
            <w:r w:rsidRPr="00665B2E">
              <w:rPr>
                <w:rFonts w:eastAsia="Times New Roman"/>
                <w:color w:val="FF0000"/>
              </w:rPr>
              <w:t xml:space="preserve"> </w:t>
            </w:r>
            <w:r w:rsidRPr="00665B2E">
              <w:rPr>
                <w:rFonts w:eastAsia="Times New Roman"/>
              </w:rPr>
              <w:t>dr.sc. Zdravko Marić</w:t>
            </w:r>
          </w:p>
          <w:p w14:paraId="576644F7" w14:textId="77777777" w:rsidR="00665B2E" w:rsidRPr="00665B2E" w:rsidRDefault="00665B2E" w:rsidP="00665B2E">
            <w:pPr>
              <w:shd w:val="clear" w:color="auto" w:fill="FFFFFF" w:themeFill="background1"/>
              <w:jc w:val="both"/>
              <w:rPr>
                <w:rFonts w:eastAsia="Times New Roman"/>
                <w:szCs w:val="24"/>
              </w:rPr>
            </w:pPr>
          </w:p>
          <w:p w14:paraId="0970892E" w14:textId="77777777" w:rsidR="00665B2E" w:rsidRPr="00665B2E" w:rsidRDefault="00665B2E" w:rsidP="00665B2E">
            <w:pPr>
              <w:shd w:val="clear" w:color="auto" w:fill="FFFFFF" w:themeFill="background1"/>
              <w:jc w:val="both"/>
              <w:rPr>
                <w:rFonts w:eastAsia="Times New Roman"/>
                <w:szCs w:val="24"/>
              </w:rPr>
            </w:pPr>
          </w:p>
          <w:p w14:paraId="3D4B6E32" w14:textId="67AF971B" w:rsidR="00665B2E" w:rsidRPr="00665B2E" w:rsidRDefault="00665B2E" w:rsidP="00665B2E">
            <w:pPr>
              <w:shd w:val="clear" w:color="auto" w:fill="FFFFFF" w:themeFill="background1"/>
              <w:jc w:val="both"/>
              <w:rPr>
                <w:rFonts w:eastAsia="Times New Roman"/>
                <w:szCs w:val="24"/>
              </w:rPr>
            </w:pPr>
            <w:r w:rsidRPr="00665B2E">
              <w:rPr>
                <w:rFonts w:eastAsia="Times New Roman"/>
                <w:szCs w:val="24"/>
              </w:rPr>
              <w:t>Datum:</w:t>
            </w:r>
            <w:r w:rsidR="000765A0">
              <w:rPr>
                <w:rFonts w:eastAsia="Times New Roman"/>
                <w:color w:val="FF0000"/>
              </w:rPr>
              <w:t xml:space="preserve"> </w:t>
            </w:r>
            <w:r w:rsidR="00B21190">
              <w:rPr>
                <w:rFonts w:eastAsia="Times New Roman"/>
              </w:rPr>
              <w:t>7</w:t>
            </w:r>
            <w:r w:rsidR="000765A0">
              <w:rPr>
                <w:rFonts w:eastAsia="Times New Roman"/>
              </w:rPr>
              <w:t>.</w:t>
            </w:r>
            <w:r w:rsidR="00281217">
              <w:rPr>
                <w:rFonts w:eastAsia="Times New Roman"/>
              </w:rPr>
              <w:t xml:space="preserve"> </w:t>
            </w:r>
            <w:r w:rsidR="00B21190">
              <w:rPr>
                <w:rFonts w:eastAsia="Times New Roman"/>
              </w:rPr>
              <w:t xml:space="preserve">prosinca </w:t>
            </w:r>
            <w:r w:rsidRPr="00665B2E">
              <w:rPr>
                <w:rFonts w:eastAsia="Times New Roman"/>
              </w:rPr>
              <w:t>2020.</w:t>
            </w:r>
          </w:p>
          <w:p w14:paraId="11CF4EC1" w14:textId="77777777" w:rsidR="00665B2E" w:rsidRPr="00665B2E" w:rsidRDefault="00665B2E" w:rsidP="00665B2E">
            <w:pPr>
              <w:shd w:val="clear" w:color="auto" w:fill="FFFFFF" w:themeFill="background1"/>
              <w:rPr>
                <w:szCs w:val="24"/>
              </w:rPr>
            </w:pPr>
          </w:p>
        </w:tc>
      </w:tr>
    </w:tbl>
    <w:p w14:paraId="64AEAB90" w14:textId="77777777" w:rsidR="00A70780" w:rsidRPr="003C160C" w:rsidRDefault="00A70780" w:rsidP="00665B2E">
      <w:pPr>
        <w:shd w:val="clear" w:color="auto" w:fill="FFFFFF" w:themeFill="background1"/>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tblGrid>
      <w:tr w:rsidR="007A7A6D" w:rsidRPr="007A7A6D" w14:paraId="2DDDCE35" w14:textId="77777777" w:rsidTr="00665B2E">
        <w:trPr>
          <w:trHeight w:val="224"/>
        </w:trPr>
        <w:tc>
          <w:tcPr>
            <w:tcW w:w="5804" w:type="dxa"/>
          </w:tcPr>
          <w:p w14:paraId="1BF8ABA6" w14:textId="63318481" w:rsidR="00665B2E" w:rsidRPr="007A7A6D" w:rsidRDefault="00665B2E" w:rsidP="00C07CED">
            <w:pPr>
              <w:shd w:val="clear" w:color="auto" w:fill="FFFFFF" w:themeFill="background1"/>
              <w:jc w:val="center"/>
              <w:rPr>
                <w:color w:val="FFFFFF" w:themeColor="background1"/>
              </w:rPr>
            </w:pPr>
            <w:r w:rsidRPr="007A7A6D">
              <w:rPr>
                <w:color w:val="FFFFFF" w:themeColor="background1"/>
              </w:rPr>
              <w:lastRenderedPageBreak/>
              <w:t>.</w:t>
            </w:r>
          </w:p>
        </w:tc>
      </w:tr>
      <w:tr w:rsidR="007A7A6D" w:rsidRPr="007A7A6D" w14:paraId="79C6F7E2" w14:textId="77777777" w:rsidTr="00665B2E">
        <w:trPr>
          <w:trHeight w:val="310"/>
        </w:trPr>
        <w:tc>
          <w:tcPr>
            <w:tcW w:w="5804" w:type="dxa"/>
          </w:tcPr>
          <w:p w14:paraId="313C84FF" w14:textId="1467D57F" w:rsidR="00665B2E" w:rsidRPr="007A7A6D" w:rsidRDefault="00665B2E" w:rsidP="0058678C">
            <w:pPr>
              <w:shd w:val="clear" w:color="auto" w:fill="FFFFFF" w:themeFill="background1"/>
              <w:jc w:val="right"/>
              <w:rPr>
                <w:color w:val="FFFFFF" w:themeColor="background1"/>
              </w:rPr>
            </w:pPr>
          </w:p>
        </w:tc>
      </w:tr>
      <w:tr w:rsidR="007A7A6D" w:rsidRPr="007A7A6D" w14:paraId="3C35A52F" w14:textId="77777777" w:rsidTr="00665B2E">
        <w:trPr>
          <w:trHeight w:val="293"/>
        </w:trPr>
        <w:tc>
          <w:tcPr>
            <w:tcW w:w="5804" w:type="dxa"/>
          </w:tcPr>
          <w:p w14:paraId="6120A3B8" w14:textId="69FB19F6" w:rsidR="00665B2E" w:rsidRPr="007A7A6D" w:rsidRDefault="00665B2E" w:rsidP="00285FF7">
            <w:pPr>
              <w:shd w:val="clear" w:color="auto" w:fill="FFFFFF" w:themeFill="background1"/>
              <w:rPr>
                <w:color w:val="FFFFFF" w:themeColor="background1"/>
              </w:rPr>
            </w:pPr>
          </w:p>
        </w:tc>
      </w:tr>
      <w:tr w:rsidR="007A7A6D" w:rsidRPr="007A7A6D" w14:paraId="5DDB8A17" w14:textId="77777777" w:rsidTr="00665B2E">
        <w:trPr>
          <w:trHeight w:val="310"/>
        </w:trPr>
        <w:tc>
          <w:tcPr>
            <w:tcW w:w="5804" w:type="dxa"/>
          </w:tcPr>
          <w:p w14:paraId="710EBFA8" w14:textId="144F2DBC" w:rsidR="00665B2E" w:rsidRPr="007A7A6D" w:rsidRDefault="00665B2E" w:rsidP="00C42338">
            <w:pPr>
              <w:shd w:val="clear" w:color="auto" w:fill="FFFFFF" w:themeFill="background1"/>
              <w:jc w:val="center"/>
              <w:rPr>
                <w:color w:val="FFFFFF" w:themeColor="background1"/>
              </w:rPr>
            </w:pPr>
          </w:p>
        </w:tc>
      </w:tr>
      <w:tr w:rsidR="007A7A6D" w:rsidRPr="007A7A6D" w14:paraId="16EE0CD3" w14:textId="77777777" w:rsidTr="00665B2E">
        <w:trPr>
          <w:trHeight w:val="293"/>
        </w:trPr>
        <w:tc>
          <w:tcPr>
            <w:tcW w:w="5804" w:type="dxa"/>
            <w:shd w:val="clear" w:color="auto" w:fill="FFFFFF" w:themeFill="background1"/>
          </w:tcPr>
          <w:p w14:paraId="029C7219" w14:textId="3A5BE8C0" w:rsidR="003C160C" w:rsidRPr="007A7A6D" w:rsidRDefault="0058678C" w:rsidP="0058678C">
            <w:pPr>
              <w:shd w:val="clear" w:color="auto" w:fill="FFFFFF" w:themeFill="background1"/>
              <w:ind w:right="-537"/>
              <w:jc w:val="center"/>
              <w:rPr>
                <w:color w:val="FFFFFF" w:themeColor="background1"/>
              </w:rPr>
            </w:pPr>
            <w:r w:rsidRPr="007A7A6D">
              <w:rPr>
                <w:color w:val="FFFFFF" w:themeColor="background1"/>
              </w:rPr>
              <w:t xml:space="preserve">                                                                 </w:t>
            </w:r>
            <w:r w:rsidR="00665B2E" w:rsidRPr="007A7A6D">
              <w:rPr>
                <w:color w:val="FFFFFF" w:themeColor="background1"/>
              </w:rPr>
              <w:t>Boris Dominić,</w:t>
            </w:r>
          </w:p>
          <w:p w14:paraId="7CA82461" w14:textId="090A9EA0" w:rsidR="003C160C" w:rsidRPr="007A7A6D" w:rsidRDefault="0058678C" w:rsidP="0058678C">
            <w:pPr>
              <w:shd w:val="clear" w:color="auto" w:fill="FFFFFF" w:themeFill="background1"/>
              <w:ind w:right="-537"/>
              <w:jc w:val="center"/>
              <w:rPr>
                <w:color w:val="FFFFFF" w:themeColor="background1"/>
              </w:rPr>
            </w:pPr>
            <w:r w:rsidRPr="007A7A6D">
              <w:rPr>
                <w:color w:val="FFFFFF" w:themeColor="background1"/>
              </w:rPr>
              <w:t xml:space="preserve">                                                               </w:t>
            </w:r>
            <w:r w:rsidR="00665B2E" w:rsidRPr="007A7A6D">
              <w:rPr>
                <w:color w:val="FFFFFF" w:themeColor="background1"/>
              </w:rPr>
              <w:t>Anita Grebenar,</w:t>
            </w:r>
          </w:p>
          <w:p w14:paraId="4A4D6A26" w14:textId="6C0A0F8B" w:rsidR="00665B2E" w:rsidRPr="007A7A6D" w:rsidRDefault="0058678C" w:rsidP="0058678C">
            <w:pPr>
              <w:shd w:val="clear" w:color="auto" w:fill="FFFFFF" w:themeFill="background1"/>
              <w:ind w:right="-537"/>
              <w:jc w:val="center"/>
              <w:rPr>
                <w:color w:val="FFFFFF" w:themeColor="background1"/>
              </w:rPr>
            </w:pPr>
            <w:r w:rsidRPr="007A7A6D">
              <w:rPr>
                <w:color w:val="FFFFFF" w:themeColor="background1"/>
              </w:rPr>
              <w:t xml:space="preserve">                                                            </w:t>
            </w:r>
            <w:r w:rsidR="00665B2E" w:rsidRPr="007A7A6D">
              <w:rPr>
                <w:color w:val="FFFFFF" w:themeColor="background1"/>
              </w:rPr>
              <w:t>Marijana Herceg</w:t>
            </w:r>
          </w:p>
        </w:tc>
      </w:tr>
    </w:tbl>
    <w:p w14:paraId="456EA609" w14:textId="77777777" w:rsidR="00665B2E" w:rsidRPr="007A7A6D" w:rsidRDefault="00665B2E" w:rsidP="00C42338">
      <w:pPr>
        <w:shd w:val="clear" w:color="auto" w:fill="FFFFFF" w:themeFill="background1"/>
        <w:rPr>
          <w:color w:val="FFFFFF" w:themeColor="background1"/>
        </w:rPr>
      </w:pPr>
    </w:p>
    <w:sectPr w:rsidR="00665B2E" w:rsidRPr="007A7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BB"/>
    <w:rsid w:val="000213BB"/>
    <w:rsid w:val="000523F6"/>
    <w:rsid w:val="000765A0"/>
    <w:rsid w:val="000D1E2A"/>
    <w:rsid w:val="00137508"/>
    <w:rsid w:val="00281217"/>
    <w:rsid w:val="00285FF7"/>
    <w:rsid w:val="002F409C"/>
    <w:rsid w:val="00315959"/>
    <w:rsid w:val="00336E11"/>
    <w:rsid w:val="00353122"/>
    <w:rsid w:val="003B41D3"/>
    <w:rsid w:val="003C160C"/>
    <w:rsid w:val="00400541"/>
    <w:rsid w:val="00574BFF"/>
    <w:rsid w:val="0058678C"/>
    <w:rsid w:val="00665B2E"/>
    <w:rsid w:val="006F64D2"/>
    <w:rsid w:val="007309A4"/>
    <w:rsid w:val="007A7A6D"/>
    <w:rsid w:val="00835F68"/>
    <w:rsid w:val="00856324"/>
    <w:rsid w:val="00896865"/>
    <w:rsid w:val="00911E29"/>
    <w:rsid w:val="00972173"/>
    <w:rsid w:val="00A0267F"/>
    <w:rsid w:val="00A70780"/>
    <w:rsid w:val="00AE050F"/>
    <w:rsid w:val="00B21190"/>
    <w:rsid w:val="00B73AC1"/>
    <w:rsid w:val="00C07CED"/>
    <w:rsid w:val="00C42338"/>
    <w:rsid w:val="00D5585E"/>
    <w:rsid w:val="00DB53A3"/>
    <w:rsid w:val="00DC2D0C"/>
    <w:rsid w:val="00F557A3"/>
    <w:rsid w:val="00F70F91"/>
    <w:rsid w:val="00F744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B4C2"/>
  <w15:docId w15:val="{AC7891F5-FF41-4471-85F5-134B3C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B"/>
    <w:pPr>
      <w:spacing w:after="0" w:line="240" w:lineRule="auto"/>
    </w:pPr>
    <w:rPr>
      <w:rFonts w:ascii="Times New Roman" w:eastAsia="Calibri" w:hAnsi="Times New Roman" w:cs="Times New Roman"/>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021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10879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Gost korisnik</cp:lastModifiedBy>
  <cp:revision>2</cp:revision>
  <cp:lastPrinted>2020-10-26T09:25:00Z</cp:lastPrinted>
  <dcterms:created xsi:type="dcterms:W3CDTF">2020-12-11T13:49:00Z</dcterms:created>
  <dcterms:modified xsi:type="dcterms:W3CDTF">2020-12-11T13:49:00Z</dcterms:modified>
</cp:coreProperties>
</file>