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80" w:rsidRPr="003E431F" w:rsidRDefault="00B81C80" w:rsidP="00B81C80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PRIJEDLOG</w:t>
      </w:r>
    </w:p>
    <w:p w:rsidR="008404B4" w:rsidRPr="003E431F" w:rsidRDefault="008404B4" w:rsidP="006172E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1C8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BE0CF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stavka 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(»Narodne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novine«,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</w:t>
      </w:r>
      <w:r w:rsidR="006172E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172E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B3060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/1</w:t>
      </w:r>
      <w:r w:rsidR="006172E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Republike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sjednici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održanoj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172E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donijela</w:t>
      </w:r>
    </w:p>
    <w:p w:rsidR="0069086A" w:rsidRPr="003E431F" w:rsidRDefault="0069086A" w:rsidP="006172E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"/>
      </w:pPr>
      <w:r w:rsidRPr="003E431F">
        <w:t>UREDBU</w:t>
      </w:r>
      <w:r w:rsidR="00642091" w:rsidRPr="003E431F">
        <w:t xml:space="preserve"> </w:t>
      </w:r>
      <w:r w:rsidRPr="003E431F">
        <w:t>O</w:t>
      </w:r>
      <w:r w:rsidR="00642091" w:rsidRPr="003E431F">
        <w:t xml:space="preserve"> </w:t>
      </w:r>
      <w:r w:rsidRPr="003E431F">
        <w:t>GRANIČNIM</w:t>
      </w:r>
      <w:r w:rsidR="00642091" w:rsidRPr="003E431F">
        <w:t xml:space="preserve"> </w:t>
      </w:r>
      <w:r w:rsidRPr="003E431F">
        <w:t>VRIJEDNOSTIMA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Pr="003E431F">
        <w:t>ONEČIŠĆUJUĆIH</w:t>
      </w:r>
      <w:r w:rsidR="00642091" w:rsidRPr="003E431F">
        <w:t xml:space="preserve"> </w:t>
      </w:r>
      <w:r w:rsidRPr="003E431F">
        <w:t>TVARI</w:t>
      </w:r>
      <w:r w:rsidR="00642091" w:rsidRPr="003E431F">
        <w:t xml:space="preserve"> </w:t>
      </w:r>
      <w:r w:rsidRPr="003E431F">
        <w:t>U</w:t>
      </w:r>
      <w:r w:rsidR="00642091" w:rsidRPr="003E431F">
        <w:t xml:space="preserve"> </w:t>
      </w:r>
      <w:r w:rsidRPr="003E431F">
        <w:t>ZRAK</w:t>
      </w:r>
      <w:r w:rsidR="00642091" w:rsidRPr="003E431F">
        <w:t xml:space="preserve"> </w:t>
      </w:r>
      <w:r w:rsidRPr="003E431F">
        <w:t>IZ</w:t>
      </w:r>
      <w:r w:rsidR="00642091" w:rsidRPr="003E431F">
        <w:t xml:space="preserve"> </w:t>
      </w:r>
      <w:r w:rsidRPr="003E431F">
        <w:t>NEPOKRETNIH</w:t>
      </w:r>
      <w:r w:rsidR="00642091" w:rsidRPr="003E431F">
        <w:t xml:space="preserve"> </w:t>
      </w:r>
      <w:r w:rsidRPr="003E431F">
        <w:t>IZVORA</w:t>
      </w:r>
    </w:p>
    <w:p w:rsidR="0069086A" w:rsidRPr="003E431F" w:rsidRDefault="0069086A" w:rsidP="00B400A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I.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OPĆE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ODREDBE</w:t>
      </w:r>
    </w:p>
    <w:p w:rsidR="008404B4" w:rsidRPr="003E431F" w:rsidRDefault="008404B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dopuštenog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prekoračenja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upis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7C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HOS-ev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Registar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kojima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koriste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organska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otapala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ili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proizvodi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koji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sadrže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C37CE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HOS-ev</w:t>
      </w:r>
      <w:r w:rsidR="00765D53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</w:t>
      </w:r>
      <w:r w:rsidR="00642091" w:rsidRPr="003E431F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6908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08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08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REGVOC</w:t>
      </w:r>
      <w:r w:rsidR="006908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hAnsi="Times New Roman" w:cs="Times New Roman"/>
          <w:sz w:val="24"/>
          <w:szCs w:val="24"/>
        </w:rPr>
        <w:t>ministarstvu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nadležnom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zaštitu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okoliša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(u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daljnjem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tekstu: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6172E5" w:rsidRPr="003E431F">
        <w:rPr>
          <w:rFonts w:ascii="Times New Roman" w:hAnsi="Times New Roman" w:cs="Times New Roman"/>
          <w:sz w:val="24"/>
          <w:szCs w:val="24"/>
        </w:rPr>
        <w:t>Ministarstvo)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obavješćivanja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javnosti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unije.</w:t>
      </w:r>
    </w:p>
    <w:p w:rsidR="0069086A" w:rsidRPr="003E431F" w:rsidRDefault="0069086A" w:rsidP="00B400A0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2.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zakonodavstvo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unije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:rsidR="008404B4" w:rsidRPr="003E431F" w:rsidRDefault="008404B4" w:rsidP="009820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Direktiva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2010/75/EU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parlamenta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(integrirano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sprečavanje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kontrola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onečišćenja)</w:t>
      </w:r>
      <w:r w:rsidR="00642091" w:rsidRPr="003E431F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="0027128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(preinačeno)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27128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(Tekst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27128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značajan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27128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271289" w:rsidRPr="003E431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EGP)</w:t>
      </w:r>
      <w:r w:rsidR="00426253" w:rsidRPr="003E431F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334,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2010.)</w:t>
      </w:r>
    </w:p>
    <w:p w:rsidR="008404B4" w:rsidRPr="003E431F" w:rsidRDefault="008404B4" w:rsidP="009820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Direktiva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2015/2193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parlamenta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ograničenju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313,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2015.).</w:t>
      </w:r>
    </w:p>
    <w:p w:rsidR="00B30608" w:rsidRPr="003E431F" w:rsidRDefault="00B30608" w:rsidP="009820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04B4" w:rsidRPr="003E431F" w:rsidRDefault="008404B4" w:rsidP="009820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7012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unije:</w:t>
      </w:r>
    </w:p>
    <w:p w:rsidR="008404B4" w:rsidRPr="003E431F" w:rsidRDefault="008404B4" w:rsidP="009820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2012/249/EU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Direktive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2010/75/EZ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123,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2012.).</w:t>
      </w:r>
    </w:p>
    <w:p w:rsidR="0069086A" w:rsidRPr="003E431F" w:rsidRDefault="0069086A" w:rsidP="009820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istraživačke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testiranje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odlagališta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otpada.</w:t>
      </w:r>
    </w:p>
    <w:p w:rsidR="0069086A" w:rsidRPr="003E431F" w:rsidRDefault="0069086A" w:rsidP="00B30608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4.</w:t>
      </w:r>
    </w:p>
    <w:p w:rsidR="008404B4" w:rsidRPr="003E431F" w:rsidRDefault="00C732A9" w:rsidP="00C732A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udovoljavati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fugitivnim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propisanim</w:t>
      </w:r>
      <w:r w:rsidR="00B3060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Uredbom.</w:t>
      </w:r>
    </w:p>
    <w:p w:rsidR="00F0397B" w:rsidRPr="003E431F" w:rsidRDefault="00F0397B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napuštaju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zanemaruje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razrjeđivanje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mjesta.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</w:t>
      </w:r>
      <w:r w:rsidR="00BF08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D50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dopuštena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3060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ispuštanja/unošenja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vremenu.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BF08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82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8404B4" w:rsidRPr="003E431F" w:rsidRDefault="008404B4" w:rsidP="009820C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BF08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emisije.</w:t>
      </w:r>
    </w:p>
    <w:p w:rsidR="0069086A" w:rsidRPr="003E431F" w:rsidRDefault="0069086A" w:rsidP="00B400A0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404B4" w:rsidRPr="003E431F" w:rsidRDefault="008404B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5.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Pojmovi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značenje:</w:t>
      </w:r>
    </w:p>
    <w:p w:rsidR="008404B4" w:rsidRPr="003E431F" w:rsidRDefault="008404B4" w:rsidP="00110399">
      <w:pPr>
        <w:shd w:val="clear" w:color="auto" w:fill="FFFFFF"/>
        <w:tabs>
          <w:tab w:val="left" w:pos="993"/>
        </w:tabs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59B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hlapivi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59B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59B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REGVOC)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biomasa: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poljoprivrede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šumarstva,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oporabe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energetskog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sadržaja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otpada:</w:t>
      </w:r>
    </w:p>
    <w:p w:rsidR="008404B4" w:rsidRPr="003E431F" w:rsidRDefault="009820C1" w:rsidP="00110399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biljni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poljoprivrede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šumarstva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biljni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prehrambene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vlaknasti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biljni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primarne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celuloze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papira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celuloze,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pluta</w:t>
      </w:r>
    </w:p>
    <w:p w:rsidR="008404B4" w:rsidRPr="003E431F" w:rsidRDefault="009820C1" w:rsidP="009820C1">
      <w:pPr>
        <w:shd w:val="clear" w:color="auto" w:fill="FFFFFF"/>
        <w:tabs>
          <w:tab w:val="left" w:pos="993"/>
        </w:tabs>
        <w:spacing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halogenirane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posljedica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potječe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rušenjem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fugitivni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ispusta/dimnjaka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(uređaji,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mjesta)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dimnjak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podrazumijeva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strukturu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prolaze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dimni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filtar-papira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izazvane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pomoću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različitog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intenziteta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(Bacharach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59C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najbliža.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Pomoću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ocjenjuje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dioksini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furani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B3060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poliklorirani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dibenzo-p-dioksini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(PCDD)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poliklorirani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dibenzofurani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(PCDF)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domaće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izvađeno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dizajnirano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dušikovi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oksidi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24-satni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aritmetička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očitanja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prikupljenih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24-satnog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pogona</w:t>
      </w:r>
    </w:p>
    <w:p w:rsidR="00496705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hr-HR"/>
        </w:rPr>
        <w:tab/>
      </w:r>
      <w:r w:rsidR="00496705" w:rsidRPr="003E43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neizravno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vibracija,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buke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pojedinačnih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difuznih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zemlju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10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točkastog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veličinama: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faktorom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emisijski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faktor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3E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reprezentativna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3E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3E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djelatnosti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energenta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veličinom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posla)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(kg/h)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(razdoblje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obzir)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924A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(zapaljivi)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materijali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granični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(kg/h)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dopušteno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prekoračena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kubnog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314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(%-tni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ispust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strukture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gustoće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raspršene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prikupljanja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uzorka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prikupiti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filtriranjem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reprezentativnog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analizira,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nalaze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uzlazno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filtra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zadržavaju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18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briketi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smole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koks;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piljevina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briketi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piljevine;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miješanim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gorivom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istovremeno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alternativu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istovremeno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mali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izolirani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(SIS)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podrazumijeva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1996.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GWh,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sustavima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23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svedena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mikro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izolirani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(MIS)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podrazumijeva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mikro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1996.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GWh,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sustavima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uključivanju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stabilan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stabilnom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mogućnosti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sigurno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pouzdano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isporučiti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stanicu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industriji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isključivanju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stabilnog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sigurno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pouzdano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isporučiti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stanicu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prestao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radom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27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8404B4" w:rsidRPr="003E431F" w:rsidRDefault="009924A4" w:rsidP="007F63BA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28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cilindara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izmjenično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djelujućim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klipovima,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mehaničku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motor: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Ottovu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paljenjem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(svjećicu),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paljenjem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kompresiju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dizelski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kompresijskim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paljenjem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kompresijskim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paljenjem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nazivni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kapacitet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kapaciteta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spaljivanje/suspaljivanje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proizvođač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potvrdio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kaloričnoj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satu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9924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novi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32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ograničavajuće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među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destilacijske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preradbene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ostatke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najvišu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</w:p>
    <w:p w:rsidR="00BE0FF9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33.</w:t>
      </w:r>
      <w:r w:rsidR="00642091" w:rsidRPr="003E43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="00BE0FF9" w:rsidRPr="003E43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onečišćenje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neizravno,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djelatnošću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izazvano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vibracija,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buke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zemlju,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štetno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zdravlje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ljudi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remeti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utječe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pravovaljane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E0FF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924A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obrtnik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kontrolira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9670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zakonodavstvom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prenesena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ovlast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posjednik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odbacuje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namjerava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odbaciti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agregatnom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38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rotirajući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mehanički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uglavnom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kompresora,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grijalo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tekućinu,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turbine;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otvorenog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kogeneracijskom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39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kombi-blok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prolaska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ulje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je: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derivat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tarifnim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oznakama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nomenklature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29,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47,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19;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derivat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gubitke)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gubitke)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metodom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ASTM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D68</w:t>
      </w:r>
    </w:p>
    <w:p w:rsidR="008404B4" w:rsidRPr="003E431F" w:rsidRDefault="009924A4" w:rsidP="00110399">
      <w:pPr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41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F54D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neposredno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povezana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utjecati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onečišćenje</w:t>
      </w:r>
      <w:r w:rsidR="001103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03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34AE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="00EF54D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2625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42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pripadajuća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svrha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nego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oporabe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proizvedene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putem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oksidacijskog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piroliza,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uplinjavanje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plazma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43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postojeća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velika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podnesen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44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zakonodavstvom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</w:p>
    <w:p w:rsidR="00B400A0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prvenstvena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svrha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redovno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dopunsko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zbrinjavanja.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inertnih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sastavnih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proces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termičke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oslobođene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pirolize,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uplinjavanja,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plazma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ubrajaju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radni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vrijeme,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cijelosti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djelomično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periode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49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rafinerijsko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materijal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konverzije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rafinerijski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sintetski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rafinerijska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koks</w:t>
      </w:r>
    </w:p>
    <w:p w:rsidR="008404B4" w:rsidRPr="003E431F" w:rsidRDefault="009924A4" w:rsidP="009820C1">
      <w:pPr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stopa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omjer,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zadanog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količine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emitira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količinu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unosi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istom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73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51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tehnološki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proces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skup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polaznih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aditiva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52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53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teško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loživo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ulje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je: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derivat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tarifnim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oznakama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nomenklature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68,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39;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derivat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ograničenja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pogledu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namijenjenih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gubitke)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metodom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ASTM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D86.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nemoguće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metodom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ASTM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D86,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također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svrstava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54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točkasti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oslobađaju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(dimnjak,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itd.)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toplinski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gubitak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osjetna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kemijski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element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proizvedene,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stanju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57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uključivanje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isključivanje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spremnik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zaustavlja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mirovanja.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Promjenljivi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fazama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isključivanjem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58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(MW)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maksimalna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utrošenog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vremena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59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uobičajeni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održavanja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60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naprava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oksidiraju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iskoristila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61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zacrnjenje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različite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(Ringelmanova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prethodnog.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Pomoću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ljestvice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vizualno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ocjenjuje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crnina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62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značajna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promjena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funkcioniranja,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proširenje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značajne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negativne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utjecaje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ljudsko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zdravlje</w:t>
      </w:r>
    </w:p>
    <w:p w:rsidR="008404B4" w:rsidRPr="003E431F" w:rsidRDefault="009924A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63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zona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(područje)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razgraničenih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teritorija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Republike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Hrvatske,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funkcionalnu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cjelinu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poboljšanje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</w:p>
    <w:p w:rsidR="008404B4" w:rsidRPr="003E431F" w:rsidRDefault="008404B4" w:rsidP="00110399">
      <w:pPr>
        <w:shd w:val="clear" w:color="auto" w:fill="FFFFFF"/>
        <w:tabs>
          <w:tab w:val="left" w:pos="993"/>
        </w:tabs>
        <w:spacing w:before="240" w:after="6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hlapivi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fugitivne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(nepostojane)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hlapivih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52B1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oslobađaju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prozore,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vrata,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odzračne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otvore,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0B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halogenirani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hlapivi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klora,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fluora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molekuli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hlapivi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HOS-evi)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frakcije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kreozota,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0,01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293,15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hlapivost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kontrolirani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oslobađaju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uslijed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skupljaju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kontroliran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potpunosti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fugitivni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lak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prozirni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ljepilo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(adheziv)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nanošenje,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spojevi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elemenata: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halogen,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fosfor,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silicij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anorganskih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karbonata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bikarbonata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organsko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otapalo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kemijskih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materijala,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čišćenje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onečišćenja,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raspršivanje,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regulaciju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viskoznosti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napetosti,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plastifikator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konzervans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konačno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ponovna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uporaba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oporabljenih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komercijalnu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namjenu,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krajnje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zbrinjavanje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oporabljenog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smislu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VI.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B353B6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B353B6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HOS-evi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travnja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potrošnja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12-mjesečnom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regeneriraju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premaz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nanošenje,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dekorativne,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funkcionalne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svrhe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pripravak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evaluacija,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autorizacija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ograničavanje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773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kemikalija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(REACH)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773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osnivanje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agencije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kemikalije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registracija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fizičkih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obrtnika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djelatnosti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rekonstrukcija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maksimalnog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projektiranim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kapacitetom,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održavanje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povećanja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F07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od: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D07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D07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(tiskanje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rotogravura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izdavaštvu),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čišćenje,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vozila),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nanošenje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ljepila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(adheziva)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lakova,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ljepila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nižu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D07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D07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tona/godinu</w:t>
      </w:r>
    </w:p>
    <w:p w:rsidR="008404B4" w:rsidRPr="003E431F" w:rsidRDefault="00110399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404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tiskarska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boja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(tinta)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nanošenje,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tiskarskoj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preslikavanje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površinu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HOS-eva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fugitivnih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unos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pripravcima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reciklirana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20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uključivanje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isključivanje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označava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redovno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oscilira,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spremnik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mirovanja.</w:t>
      </w:r>
    </w:p>
    <w:p w:rsidR="008404B4" w:rsidRPr="003E431F" w:rsidRDefault="008404B4" w:rsidP="009820C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pojmova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pojmovi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pojmovima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zraka.</w:t>
      </w:r>
    </w:p>
    <w:p w:rsidR="007D0785" w:rsidRPr="003E431F" w:rsidRDefault="007D0785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31F20"/>
        </w:rPr>
      </w:pPr>
    </w:p>
    <w:p w:rsidR="00BC064D" w:rsidRPr="003E431F" w:rsidRDefault="00BC064D" w:rsidP="006427F5">
      <w:pPr>
        <w:pStyle w:val="Naslov1"/>
      </w:pPr>
      <w:r w:rsidRPr="003E431F">
        <w:t>II.</w:t>
      </w:r>
      <w:r w:rsidR="00642091" w:rsidRPr="003E431F">
        <w:t xml:space="preserve"> </w:t>
      </w:r>
      <w:r w:rsidRPr="003E431F">
        <w:t>PRAĆENJE</w:t>
      </w:r>
      <w:r w:rsidR="00642091" w:rsidRPr="003E431F">
        <w:t xml:space="preserve"> </w:t>
      </w:r>
      <w:r w:rsidRPr="003E431F">
        <w:t>EMISIJA</w:t>
      </w:r>
    </w:p>
    <w:p w:rsidR="00BC064D" w:rsidRPr="003E431F" w:rsidRDefault="00BC064D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pravilnika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prvim,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povremenim,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ispustu/dimnjaku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Rezultati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uspoređuju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način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samo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provedena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rezultati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iskazani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pravilniku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vrednovanja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zavisnosti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karakteristika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okoliša).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provesti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osigurati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normalan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poštivanje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emisija.</w:t>
      </w:r>
    </w:p>
    <w:p w:rsidR="00BC064D" w:rsidRPr="003E431F" w:rsidRDefault="00BC064D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(6)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uspostave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normalnog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provesti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dokazao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poštivanje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F0397B" w:rsidRPr="003E431F" w:rsidRDefault="00F0397B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7.</w:t>
      </w:r>
    </w:p>
    <w:p w:rsidR="00B400A0" w:rsidRPr="003E431F" w:rsidRDefault="00B400A0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kPa.</w:t>
      </w:r>
    </w:p>
    <w:p w:rsidR="00B400A0" w:rsidRPr="003E431F" w:rsidRDefault="00B400A0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807813" w:rsidRPr="003E431F" w:rsidRDefault="00807813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0397B" w:rsidRPr="003E431F" w:rsidRDefault="00F0397B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8.</w:t>
      </w:r>
    </w:p>
    <w:p w:rsidR="00B400A0" w:rsidRPr="003E431F" w:rsidRDefault="00F0397B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omjera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između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B400A0" w:rsidRPr="003E431F" w:rsidRDefault="00B400A0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015A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B60B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B400A0" w:rsidRPr="003E431F" w:rsidRDefault="00B400A0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</w:t>
      </w:r>
      <w:r w:rsidR="008015A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765D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B400A0" w:rsidRPr="003E431F" w:rsidRDefault="00B400A0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765D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mjerenja.</w:t>
      </w:r>
    </w:p>
    <w:p w:rsidR="00F0397B" w:rsidRPr="003E431F" w:rsidRDefault="00F0397B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765D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mjerenja.</w:t>
      </w:r>
    </w:p>
    <w:p w:rsidR="00807813" w:rsidRPr="003E431F" w:rsidRDefault="00807813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</w:p>
    <w:p w:rsidR="00F0397B" w:rsidRPr="003E431F" w:rsidRDefault="00F0397B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Prvo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mjerenje</w:t>
      </w:r>
    </w:p>
    <w:p w:rsidR="00F0397B" w:rsidRPr="003E431F" w:rsidRDefault="00F0397B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  <w:r w:rsidRPr="003E431F">
        <w:rPr>
          <w:b/>
          <w:color w:val="231F20"/>
        </w:rPr>
        <w:t>Članak</w:t>
      </w:r>
      <w:r w:rsidR="00642091" w:rsidRPr="003E431F">
        <w:rPr>
          <w:b/>
          <w:color w:val="231F20"/>
        </w:rPr>
        <w:t xml:space="preserve"> </w:t>
      </w:r>
      <w:r w:rsidR="00B400A0" w:rsidRPr="003E431F">
        <w:rPr>
          <w:b/>
          <w:color w:val="231F20"/>
        </w:rPr>
        <w:t>9</w:t>
      </w:r>
      <w:r w:rsidRPr="003E431F">
        <w:rPr>
          <w:b/>
          <w:color w:val="231F20"/>
        </w:rPr>
        <w:t>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pokusnog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ishođenja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najkasnije</w:t>
      </w:r>
      <w:r w:rsidR="00642091" w:rsidRPr="003E431F">
        <w:rPr>
          <w:color w:val="231F20"/>
        </w:rPr>
        <w:t xml:space="preserve"> </w:t>
      </w:r>
      <w:r w:rsidR="008015AE" w:rsidRPr="003E431F">
        <w:rPr>
          <w:color w:val="231F20"/>
        </w:rPr>
        <w:t>12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mjeseci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puštanja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pokusni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učestalost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rezultata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pokusnog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rada.</w:t>
      </w:r>
    </w:p>
    <w:p w:rsidR="00765D53" w:rsidRPr="003E431F" w:rsidRDefault="00765D53" w:rsidP="00B400A0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F0397B" w:rsidRPr="003E431F" w:rsidRDefault="00F0397B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Povremena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mjerenja</w:t>
      </w:r>
    </w:p>
    <w:p w:rsidR="00F0397B" w:rsidRPr="003E431F" w:rsidRDefault="00F0397B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0</w:t>
      </w:r>
      <w:r w:rsidRPr="003E431F">
        <w:t>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pretežno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nepromjenljivim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neometanom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neprekidnom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još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redovno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ponavljaju,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promjenljivom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goriva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regeneracije).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pretežno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promjenljivim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šest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iskustvu,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izazvati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najveće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Trajanje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metodom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pravilniku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rezultat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uvijek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polusatni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prosjek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drukčije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Uredbom.</w:t>
      </w:r>
    </w:p>
    <w:p w:rsidR="00B400A0" w:rsidRPr="003E431F" w:rsidRDefault="00B400A0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</w:p>
    <w:p w:rsidR="00F0397B" w:rsidRPr="003E431F" w:rsidRDefault="00F0397B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Kontinuirana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mjerenja</w:t>
      </w:r>
    </w:p>
    <w:p w:rsidR="00F0397B" w:rsidRPr="003E431F" w:rsidRDefault="00F0397B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1</w:t>
      </w:r>
      <w:r w:rsidRPr="003E431F">
        <w:t>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polusatni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prosjek.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polusatnih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prosjeka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dnevni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prosjek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obzirom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dnevno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drukčije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Uredbom.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F0397B" w:rsidRPr="003E431F" w:rsidRDefault="00F0397B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2</w:t>
      </w:r>
      <w:r w:rsidRPr="003E431F">
        <w:t>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osigurava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zvučni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signal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obavješćivanje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automatski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uređaji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zaštićeni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pristupa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neovlaštenih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osoba.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F0397B" w:rsidRPr="003E431F" w:rsidRDefault="00F0397B" w:rsidP="006427F5">
      <w:pPr>
        <w:pStyle w:val="Naslov2"/>
      </w:pPr>
      <w:r w:rsidRPr="003E431F">
        <w:lastRenderedPageBreak/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3</w:t>
      </w:r>
      <w:r w:rsidRPr="003E431F">
        <w:t>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prvim,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povremenim,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pravilniku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korištenog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goriva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sirovine.</w:t>
      </w:r>
    </w:p>
    <w:p w:rsidR="00807813" w:rsidRPr="003E431F" w:rsidRDefault="00807813" w:rsidP="00B400A0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F0397B" w:rsidRPr="003E431F" w:rsidRDefault="00F0397B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4</w:t>
      </w:r>
      <w:r w:rsidRPr="003E431F">
        <w:t>.</w:t>
      </w:r>
    </w:p>
    <w:p w:rsidR="008015AE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osigurati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financirati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prvo,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</w:p>
    <w:p w:rsidR="00F0397B" w:rsidRPr="003E431F" w:rsidRDefault="00F0397B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Vrednovanje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="00E30D15" w:rsidRPr="003E431F">
        <w:rPr>
          <w:b/>
          <w:iCs/>
          <w:color w:val="231F20"/>
          <w:bdr w:val="none" w:sz="0" w:space="0" w:color="auto" w:frame="1"/>
        </w:rPr>
        <w:t>rezultata</w:t>
      </w:r>
      <w:r w:rsidR="00642091" w:rsidRPr="003E431F">
        <w:rPr>
          <w:b/>
          <w:iCs/>
          <w:color w:val="231F20"/>
          <w:bdr w:val="none" w:sz="0" w:space="0" w:color="auto" w:frame="1"/>
        </w:rPr>
        <w:t xml:space="preserve"> </w:t>
      </w:r>
      <w:r w:rsidR="00E30D15" w:rsidRPr="003E431F">
        <w:rPr>
          <w:b/>
          <w:iCs/>
          <w:color w:val="231F20"/>
          <w:bdr w:val="none" w:sz="0" w:space="0" w:color="auto" w:frame="1"/>
        </w:rPr>
        <w:t>mjerenja</w:t>
      </w:r>
      <w:r w:rsidR="00642091" w:rsidRPr="003E431F">
        <w:rPr>
          <w:b/>
          <w:iCs/>
          <w:color w:val="231F20"/>
          <w:bdr w:val="none" w:sz="0" w:space="0" w:color="auto" w:frame="1"/>
        </w:rPr>
        <w:t xml:space="preserve"> </w:t>
      </w:r>
      <w:r w:rsidR="00E30D15" w:rsidRPr="003E431F">
        <w:rPr>
          <w:b/>
          <w:iCs/>
          <w:color w:val="231F20"/>
          <w:bdr w:val="none" w:sz="0" w:space="0" w:color="auto" w:frame="1"/>
        </w:rPr>
        <w:t>emisija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</w:p>
    <w:p w:rsidR="00E30D15" w:rsidRPr="003E431F" w:rsidRDefault="00E30D15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B400A0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E30D15" w:rsidRPr="003E431F" w:rsidRDefault="00807813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0D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</w:p>
    <w:p w:rsidR="00E30D15" w:rsidRPr="003E431F" w:rsidRDefault="00E30D15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807813" w:rsidRPr="003E431F" w:rsidRDefault="00807813" w:rsidP="00807813">
      <w:pPr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0397B" w:rsidRPr="003E431F" w:rsidRDefault="00E30D15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B400A0" w:rsidRPr="003E431F">
        <w:t>6</w:t>
      </w:r>
      <w:r w:rsidR="00F0397B" w:rsidRPr="003E431F">
        <w:t>.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kalendarskoj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drukčije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okoliša):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24-satne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97%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polusatnih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1,2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polusatne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dvostruke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</w:t>
      </w:r>
      <w:r w:rsidR="008015AE" w:rsidRPr="003E431F">
        <w:rPr>
          <w:color w:val="231F20"/>
        </w:rPr>
        <w:t>ednjih</w:t>
      </w:r>
      <w:r w:rsidR="00642091" w:rsidRPr="003E431F">
        <w:rPr>
          <w:color w:val="231F20"/>
        </w:rPr>
        <w:t xml:space="preserve"> </w:t>
      </w:r>
      <w:r w:rsidR="008015AE"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="008015AE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8015AE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8015AE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izuzimaju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uključivanjem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isključivanjem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izvora.</w:t>
      </w:r>
    </w:p>
    <w:p w:rsidR="00F0397B" w:rsidRPr="003E431F" w:rsidRDefault="00F0397B" w:rsidP="00451CBA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odgovarajućem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uobičajenim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mjerenja.</w:t>
      </w:r>
    </w:p>
    <w:p w:rsidR="00F0397B" w:rsidRPr="003E431F" w:rsidRDefault="00F0397B" w:rsidP="00807813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</w:p>
    <w:p w:rsidR="003F5246" w:rsidRPr="003E431F" w:rsidRDefault="003F5246" w:rsidP="006427F5">
      <w:pPr>
        <w:pStyle w:val="Naslov1"/>
      </w:pPr>
      <w:r w:rsidRPr="003E431F">
        <w:t>III.</w:t>
      </w:r>
      <w:r w:rsidR="00642091" w:rsidRPr="003E431F">
        <w:t xml:space="preserve"> </w:t>
      </w:r>
      <w:r w:rsidRPr="003E431F">
        <w:t>OPĆE</w:t>
      </w:r>
      <w:r w:rsidR="00642091" w:rsidRPr="003E431F">
        <w:t xml:space="preserve"> </w:t>
      </w:r>
      <w:r w:rsidRPr="003E431F">
        <w:t>GRANIČNE</w:t>
      </w:r>
      <w:r w:rsidR="00642091" w:rsidRPr="003E431F">
        <w:t xml:space="preserve"> </w:t>
      </w:r>
      <w:r w:rsidRPr="003E431F">
        <w:t>VRIJEDNOSTI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Pr="003E431F">
        <w:t>ZA</w:t>
      </w:r>
      <w:r w:rsidR="00642091" w:rsidRPr="003E431F">
        <w:t xml:space="preserve"> </w:t>
      </w:r>
      <w:r w:rsidRPr="003E431F">
        <w:t>NEPOKRETNE</w:t>
      </w:r>
      <w:r w:rsidR="00642091" w:rsidRPr="003E431F">
        <w:t xml:space="preserve"> </w:t>
      </w:r>
      <w:r w:rsidRPr="003E431F">
        <w:t>IZVORE</w:t>
      </w:r>
    </w:p>
    <w:p w:rsidR="003F5246" w:rsidRPr="003E431F" w:rsidRDefault="003F524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17.</w:t>
      </w:r>
    </w:p>
    <w:p w:rsidR="00745143" w:rsidRPr="003E431F" w:rsidRDefault="00745143" w:rsidP="00B400A0">
      <w:pPr>
        <w:pStyle w:val="Odlomakpopisa"/>
        <w:shd w:val="clear" w:color="auto" w:fill="FFFFFF"/>
        <w:spacing w:before="120" w:after="12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Uredbom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drugačije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GVE.</w:t>
      </w:r>
    </w:p>
    <w:p w:rsidR="00807813" w:rsidRPr="003E431F" w:rsidRDefault="00807813" w:rsidP="00B400A0">
      <w:pPr>
        <w:pStyle w:val="Odlomakpopisa"/>
        <w:shd w:val="clear" w:color="auto" w:fill="FFFFFF"/>
        <w:spacing w:before="120" w:after="12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5246" w:rsidRPr="003E431F" w:rsidRDefault="003F5246" w:rsidP="006427F5">
      <w:pPr>
        <w:pStyle w:val="Naslov2"/>
        <w:rPr>
          <w:rStyle w:val="kurziv"/>
          <w:b w:val="0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Članak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18.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</w:p>
    <w:p w:rsidR="006C503A" w:rsidRPr="003E431F" w:rsidRDefault="00745143" w:rsidP="00807813">
      <w:pPr>
        <w:pStyle w:val="Odlomakpopisa"/>
        <w:shd w:val="clear" w:color="auto" w:fill="FFFFFF"/>
        <w:spacing w:before="120" w:after="12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79A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C79A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79A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79A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="006C503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65D53" w:rsidRPr="003E431F" w:rsidRDefault="00765D53" w:rsidP="00B400A0">
      <w:pPr>
        <w:pStyle w:val="Odlomakpopisa"/>
        <w:shd w:val="clear" w:color="auto" w:fill="FFFFFF"/>
        <w:spacing w:before="120" w:after="12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5530" w:rsidRPr="003E431F" w:rsidRDefault="00B35530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Ukupne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praškaste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tvari</w:t>
      </w:r>
    </w:p>
    <w:p w:rsidR="006C503A" w:rsidRPr="003E431F" w:rsidRDefault="00745143" w:rsidP="006427F5">
      <w:pPr>
        <w:pStyle w:val="Naslov2"/>
        <w:rPr>
          <w:rStyle w:val="kurziv"/>
          <w:b w:val="0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Članak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19.</w:t>
      </w:r>
    </w:p>
    <w:p w:rsidR="003F5246" w:rsidRPr="003E431F" w:rsidRDefault="003F5246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Style w:val="kurziv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Granične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vrijednosti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emisija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za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ukupne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praškaste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tvari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657C3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657C3" w:rsidRPr="003E431F">
        <w:rPr>
          <w:rStyle w:val="kurziv"/>
          <w:iCs/>
          <w:color w:val="231F20"/>
          <w:bdr w:val="none" w:sz="0" w:space="0" w:color="auto" w:frame="1"/>
        </w:rPr>
        <w:t>otpadnom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657C3" w:rsidRPr="003E431F">
        <w:rPr>
          <w:rStyle w:val="kurziv"/>
          <w:iCs/>
          <w:color w:val="231F20"/>
          <w:bdr w:val="none" w:sz="0" w:space="0" w:color="auto" w:frame="1"/>
        </w:rPr>
        <w:t>plinu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dane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su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P</w:t>
      </w:r>
      <w:r w:rsidR="006934A5" w:rsidRPr="003E431F">
        <w:rPr>
          <w:rStyle w:val="kurziv"/>
          <w:iCs/>
          <w:color w:val="231F20"/>
          <w:bdr w:val="none" w:sz="0" w:space="0" w:color="auto" w:frame="1"/>
        </w:rPr>
        <w:t>rilogu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000D44" w:rsidRPr="003E431F">
        <w:rPr>
          <w:rStyle w:val="kurziv"/>
          <w:iCs/>
          <w:color w:val="231F20"/>
          <w:bdr w:val="none" w:sz="0" w:space="0" w:color="auto" w:frame="1"/>
        </w:rPr>
        <w:t>2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točki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A.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ove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745143" w:rsidRPr="003E431F">
        <w:rPr>
          <w:rStyle w:val="kurziv"/>
          <w:iCs/>
          <w:color w:val="231F20"/>
          <w:bdr w:val="none" w:sz="0" w:space="0" w:color="auto" w:frame="1"/>
        </w:rPr>
        <w:t>Uredbe.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Style w:val="kurziv"/>
          <w:iCs/>
          <w:color w:val="231F20"/>
          <w:bdr w:val="none" w:sz="0" w:space="0" w:color="auto" w:frame="1"/>
        </w:rPr>
      </w:pPr>
    </w:p>
    <w:p w:rsidR="00B35530" w:rsidRPr="003E431F" w:rsidRDefault="00B35530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Anorganske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tvari</w:t>
      </w:r>
    </w:p>
    <w:p w:rsidR="00AF55FA" w:rsidRPr="003E431F" w:rsidRDefault="00AF55FA" w:rsidP="006427F5">
      <w:pPr>
        <w:pStyle w:val="Naslov2"/>
        <w:rPr>
          <w:rStyle w:val="kurziv"/>
          <w:b w:val="0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Članak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iCs/>
          <w:color w:val="231F20"/>
          <w:bdr w:val="none" w:sz="0" w:space="0" w:color="auto" w:frame="1"/>
        </w:rPr>
        <w:t>20.</w:t>
      </w:r>
    </w:p>
    <w:p w:rsidR="0074514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Style w:val="kurziv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(1)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GVE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za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praškaste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anorganske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tvari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otpadnom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plinu,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razvrstanih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razrede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šte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tnosti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od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I.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do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III.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dane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su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4179A3" w:rsidRPr="003E431F">
        <w:rPr>
          <w:rStyle w:val="kurziv"/>
          <w:iCs/>
          <w:color w:val="231F20"/>
          <w:bdr w:val="none" w:sz="0" w:space="0" w:color="auto" w:frame="1"/>
        </w:rPr>
        <w:t>Prilogu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000D44" w:rsidRPr="003E431F">
        <w:rPr>
          <w:rStyle w:val="kurziv"/>
          <w:iCs/>
          <w:color w:val="231F20"/>
          <w:bdr w:val="none" w:sz="0" w:space="0" w:color="auto" w:frame="1"/>
        </w:rPr>
        <w:t>2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točki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B</w:t>
      </w:r>
      <w:r w:rsidR="00B353B6" w:rsidRPr="003E431F">
        <w:rPr>
          <w:rStyle w:val="kurziv"/>
          <w:iCs/>
          <w:color w:val="231F20"/>
          <w:bdr w:val="none" w:sz="0" w:space="0" w:color="auto" w:frame="1"/>
        </w:rPr>
        <w:t>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B590F" w:rsidRPr="003E431F">
        <w:rPr>
          <w:rStyle w:val="kurziv"/>
          <w:iCs/>
          <w:color w:val="231F20"/>
          <w:bdr w:val="none" w:sz="0" w:space="0" w:color="auto" w:frame="1"/>
        </w:rPr>
        <w:t>stavku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B590F" w:rsidRPr="003E431F">
        <w:rPr>
          <w:rStyle w:val="kurziv"/>
          <w:iCs/>
          <w:color w:val="231F20"/>
          <w:bdr w:val="none" w:sz="0" w:space="0" w:color="auto" w:frame="1"/>
        </w:rPr>
        <w:t>1.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B590F" w:rsidRPr="003E431F">
        <w:rPr>
          <w:rStyle w:val="kurziv"/>
          <w:iCs/>
          <w:color w:val="231F20"/>
          <w:bdr w:val="none" w:sz="0" w:space="0" w:color="auto" w:frame="1"/>
        </w:rPr>
        <w:t>ove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BB590F" w:rsidRPr="003E431F">
        <w:rPr>
          <w:rStyle w:val="kurziv"/>
          <w:iCs/>
          <w:color w:val="231F20"/>
          <w:bdr w:val="none" w:sz="0" w:space="0" w:color="auto" w:frame="1"/>
        </w:rPr>
        <w:t>Uredbe</w:t>
      </w:r>
      <w:r w:rsidR="00AF55FA" w:rsidRPr="003E431F">
        <w:rPr>
          <w:rStyle w:val="kurziv"/>
          <w:iCs/>
          <w:color w:val="231F20"/>
          <w:bdr w:val="none" w:sz="0" w:space="0" w:color="auto" w:frame="1"/>
        </w:rPr>
        <w:t>.</w:t>
      </w:r>
    </w:p>
    <w:p w:rsidR="00F36A48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Style w:val="kurziv"/>
          <w:iCs/>
          <w:color w:val="231F20"/>
          <w:bdr w:val="none" w:sz="0" w:space="0" w:color="auto" w:frame="1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(2)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GVE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propisane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stavku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1.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ovoga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članka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primjenjuju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se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slučaju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ako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se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navedene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tvari,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uz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posebne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fizikalne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uvjete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(temperaturu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tlak),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nalaze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otpadnom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plinu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obliku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pare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ili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F36A48" w:rsidRPr="003E431F">
        <w:rPr>
          <w:rStyle w:val="kurziv"/>
          <w:iCs/>
          <w:color w:val="231F20"/>
          <w:bdr w:val="none" w:sz="0" w:space="0" w:color="auto" w:frame="1"/>
        </w:rPr>
        <w:t>plina.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left="360"/>
        <w:jc w:val="both"/>
        <w:textAlignment w:val="baseline"/>
        <w:rPr>
          <w:rStyle w:val="kurziv"/>
          <w:iCs/>
          <w:color w:val="231F20"/>
          <w:bdr w:val="none" w:sz="0" w:space="0" w:color="auto" w:frame="1"/>
        </w:rPr>
      </w:pPr>
    </w:p>
    <w:p w:rsidR="004179A3" w:rsidRPr="003E431F" w:rsidRDefault="004179A3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21.</w:t>
      </w:r>
    </w:p>
    <w:p w:rsidR="004179A3" w:rsidRPr="003E431F" w:rsidRDefault="004179A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tvari.</w:t>
      </w:r>
    </w:p>
    <w:p w:rsidR="004179A3" w:rsidRPr="003E431F" w:rsidRDefault="004179A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praškastih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anorganskih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000D44" w:rsidRPr="003E431F">
        <w:rPr>
          <w:color w:val="231F20"/>
        </w:rPr>
        <w:t>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353B6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</w:t>
      </w:r>
      <w:r w:rsidR="00BB590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Uredbe</w:t>
      </w:r>
      <w:r w:rsidR="00E772A0" w:rsidRPr="003E431F">
        <w:rPr>
          <w:color w:val="231F20"/>
        </w:rPr>
        <w:t>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E772A0" w:rsidRPr="003E431F" w:rsidRDefault="00E772A0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22.</w:t>
      </w:r>
    </w:p>
    <w:p w:rsidR="00E772A0" w:rsidRPr="003E431F" w:rsidRDefault="00E772A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anorganske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obliku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pare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IV.</w:t>
      </w:r>
      <w:r w:rsidR="00642091" w:rsidRPr="003E431F">
        <w:t xml:space="preserve"> </w:t>
      </w:r>
      <w:r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000D44" w:rsidRPr="003E431F">
        <w:rPr>
          <w:color w:val="231F20"/>
        </w:rPr>
        <w:t>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B.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Uredbe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</w:p>
    <w:p w:rsidR="00E772A0" w:rsidRPr="003E431F" w:rsidRDefault="00E772A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pojedinačno.</w:t>
      </w:r>
    </w:p>
    <w:p w:rsidR="006934A5" w:rsidRPr="003E431F" w:rsidRDefault="006934A5" w:rsidP="00CD29D4">
      <w:pPr>
        <w:pStyle w:val="box455522"/>
        <w:shd w:val="clear" w:color="auto" w:fill="FFFFFF"/>
        <w:spacing w:before="120" w:beforeAutospacing="0" w:after="120" w:afterAutospacing="0"/>
        <w:textAlignment w:val="baseline"/>
        <w:rPr>
          <w:b/>
          <w:color w:val="231F20"/>
        </w:rPr>
      </w:pPr>
    </w:p>
    <w:p w:rsidR="00B35530" w:rsidRPr="003E431F" w:rsidRDefault="00B35530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  <w:r w:rsidRPr="003E431F">
        <w:rPr>
          <w:b/>
          <w:color w:val="231F20"/>
        </w:rPr>
        <w:t>Organske</w:t>
      </w:r>
      <w:r w:rsidR="00642091" w:rsidRPr="003E431F">
        <w:rPr>
          <w:b/>
          <w:color w:val="231F20"/>
        </w:rPr>
        <w:t xml:space="preserve"> </w:t>
      </w:r>
      <w:r w:rsidRPr="003E431F">
        <w:rPr>
          <w:b/>
          <w:color w:val="231F20"/>
        </w:rPr>
        <w:t>tvari</w:t>
      </w:r>
    </w:p>
    <w:p w:rsidR="00B35530" w:rsidRPr="003E431F" w:rsidRDefault="00B35530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</w:t>
      </w:r>
      <w:r w:rsidR="00FD04BF" w:rsidRPr="003E431F">
        <w:t>3</w:t>
      </w:r>
      <w:r w:rsidRPr="003E431F">
        <w:t>.</w:t>
      </w:r>
    </w:p>
    <w:p w:rsidR="00FD04BF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praškastih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ugljik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Prilog</w:t>
      </w:r>
      <w:r w:rsidR="00C47BB2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000D44" w:rsidRPr="003E431F">
        <w:rPr>
          <w:color w:val="231F20"/>
        </w:rPr>
        <w:t>2</w:t>
      </w:r>
      <w:r w:rsidR="00FD04B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C</w:t>
      </w:r>
      <w:r w:rsidR="00FD04B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FD04BF" w:rsidRPr="003E431F">
        <w:rPr>
          <w:color w:val="231F20"/>
        </w:rPr>
        <w:t>Uredbe.</w:t>
      </w:r>
    </w:p>
    <w:p w:rsidR="00B35530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000D44" w:rsidRPr="003E431F">
        <w:rPr>
          <w:color w:val="231F20"/>
        </w:rPr>
        <w:t>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C.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BB590F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raz</w:t>
      </w:r>
      <w:r w:rsidR="000966E6" w:rsidRPr="003E431F">
        <w:rPr>
          <w:color w:val="231F20"/>
        </w:rPr>
        <w:t>vrstanih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razred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000D44" w:rsidRPr="003E431F">
        <w:rPr>
          <w:color w:val="231F20"/>
        </w:rPr>
        <w:t>2</w:t>
      </w:r>
      <w:r w:rsidR="00BB590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C.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Uredbe.</w:t>
      </w:r>
    </w:p>
    <w:p w:rsidR="00807813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B35530" w:rsidRPr="003E431F" w:rsidRDefault="00B35530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</w:t>
      </w:r>
      <w:r w:rsidR="00BB590F" w:rsidRPr="003E431F">
        <w:t>4</w:t>
      </w:r>
      <w:r w:rsidRPr="003E431F">
        <w:t>.</w:t>
      </w:r>
    </w:p>
    <w:p w:rsidR="00B35530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</w:t>
      </w:r>
      <w:r w:rsidR="00BB590F" w:rsidRPr="003E431F">
        <w:rPr>
          <w:color w:val="231F20"/>
        </w:rPr>
        <w:t>3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uspoređuje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štetnosti.</w:t>
      </w:r>
    </w:p>
    <w:p w:rsidR="00B35530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</w:t>
      </w:r>
      <w:r w:rsidR="00BB590F" w:rsidRPr="003E431F">
        <w:rPr>
          <w:color w:val="231F20"/>
        </w:rPr>
        <w:t>3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štetnosti.</w:t>
      </w:r>
    </w:p>
    <w:p w:rsidR="00B35530" w:rsidRPr="003E431F" w:rsidRDefault="00B35530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praškaste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svrstane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</w:t>
      </w:r>
      <w:r w:rsidR="00BB590F" w:rsidRPr="003E431F">
        <w:rPr>
          <w:color w:val="231F20"/>
        </w:rPr>
        <w:t>jenjuju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BB590F" w:rsidRPr="003E431F">
        <w:rPr>
          <w:color w:val="231F20"/>
        </w:rPr>
        <w:t>19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765D53" w:rsidRPr="003E431F" w:rsidRDefault="00765D53" w:rsidP="006934A5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BB590F" w:rsidRPr="003E431F" w:rsidRDefault="00887A5E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K</w:t>
      </w:r>
      <w:r w:rsidR="00BB590F" w:rsidRPr="003E431F">
        <w:rPr>
          <w:rStyle w:val="kurziv"/>
          <w:b/>
          <w:iCs/>
          <w:color w:val="231F20"/>
          <w:bdr w:val="none" w:sz="0" w:space="0" w:color="auto" w:frame="1"/>
        </w:rPr>
        <w:t>arcinogene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="00BB590F" w:rsidRPr="003E431F">
        <w:rPr>
          <w:rStyle w:val="kurziv"/>
          <w:b/>
          <w:iCs/>
          <w:color w:val="231F20"/>
          <w:bdr w:val="none" w:sz="0" w:space="0" w:color="auto" w:frame="1"/>
        </w:rPr>
        <w:t>tvari</w:t>
      </w:r>
    </w:p>
    <w:p w:rsidR="00BB590F" w:rsidRPr="003E431F" w:rsidRDefault="00BB590F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  <w:r w:rsidRPr="003E431F">
        <w:rPr>
          <w:b/>
          <w:color w:val="231F20"/>
        </w:rPr>
        <w:t>Članak</w:t>
      </w:r>
      <w:r w:rsidR="00642091" w:rsidRPr="003E431F">
        <w:rPr>
          <w:b/>
          <w:color w:val="231F20"/>
        </w:rPr>
        <w:t xml:space="preserve"> </w:t>
      </w:r>
      <w:r w:rsidRPr="003E431F">
        <w:rPr>
          <w:b/>
          <w:color w:val="231F20"/>
        </w:rPr>
        <w:t>2</w:t>
      </w:r>
      <w:r w:rsidR="00887A5E" w:rsidRPr="003E431F">
        <w:rPr>
          <w:b/>
          <w:color w:val="231F20"/>
        </w:rPr>
        <w:t>5</w:t>
      </w:r>
      <w:r w:rsidRPr="003E431F">
        <w:rPr>
          <w:b/>
          <w:color w:val="231F20"/>
        </w:rPr>
        <w:t>.</w:t>
      </w:r>
    </w:p>
    <w:p w:rsidR="00271F24" w:rsidRPr="003E431F" w:rsidRDefault="00BB590F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karcinogenih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III.,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2</w:t>
      </w:r>
      <w:r w:rsidR="00271F24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D.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807813" w:rsidRPr="003E431F">
        <w:rPr>
          <w:color w:val="231F20"/>
        </w:rPr>
        <w:t>Uredbe.</w:t>
      </w:r>
    </w:p>
    <w:p w:rsidR="00807813" w:rsidRPr="003E431F" w:rsidRDefault="00807813" w:rsidP="006934A5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BB590F" w:rsidRPr="003E431F" w:rsidRDefault="00BB590F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</w:t>
      </w:r>
      <w:r w:rsidR="00887A5E" w:rsidRPr="003E431F">
        <w:t>6</w:t>
      </w:r>
      <w:r w:rsidRPr="003E431F">
        <w:t>.</w:t>
      </w:r>
    </w:p>
    <w:p w:rsidR="00BB590F" w:rsidRPr="003E431F" w:rsidRDefault="00BB590F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</w:t>
      </w:r>
      <w:r w:rsidR="00887A5E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tvari.</w:t>
      </w:r>
    </w:p>
    <w:p w:rsidR="00BB590F" w:rsidRPr="003E431F" w:rsidRDefault="00BB590F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karcinogenih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razreda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</w:t>
      </w:r>
      <w:r w:rsidR="00887A5E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prekoračiti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2</w:t>
      </w:r>
      <w:r w:rsidR="000966E6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B353B6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D.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Uredbe.</w:t>
      </w:r>
    </w:p>
    <w:p w:rsidR="00765D53" w:rsidRPr="003E431F" w:rsidRDefault="00765D53" w:rsidP="007D0785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0966E6" w:rsidRPr="003E431F" w:rsidRDefault="000966E6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Vlaknaste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tvari</w:t>
      </w:r>
    </w:p>
    <w:p w:rsidR="000966E6" w:rsidRPr="003E431F" w:rsidRDefault="000966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</w:t>
      </w:r>
      <w:r w:rsidR="00271F24" w:rsidRPr="003E431F">
        <w:t>7</w:t>
      </w:r>
      <w:r w:rsidRPr="003E431F">
        <w:t>.</w:t>
      </w:r>
    </w:p>
    <w:p w:rsidR="00271F24" w:rsidRPr="003E431F" w:rsidRDefault="000966E6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Granične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="00ED5058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vlaknastih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271F24"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2</w:t>
      </w:r>
      <w:r w:rsidR="00271F24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E.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Uredbe.</w:t>
      </w:r>
    </w:p>
    <w:p w:rsidR="00765D53" w:rsidRPr="003E431F" w:rsidRDefault="00765D53" w:rsidP="00E575D9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253BB6" w:rsidRPr="003E431F" w:rsidRDefault="00253BB6" w:rsidP="00E575D9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231F20"/>
        </w:rPr>
      </w:pPr>
      <w:r w:rsidRPr="003E431F">
        <w:rPr>
          <w:b/>
        </w:rPr>
        <w:t>Postojane</w:t>
      </w:r>
      <w:r w:rsidR="00642091" w:rsidRPr="003E431F">
        <w:rPr>
          <w:b/>
        </w:rPr>
        <w:t xml:space="preserve"> </w:t>
      </w:r>
      <w:r w:rsidRPr="003E431F">
        <w:rPr>
          <w:b/>
        </w:rPr>
        <w:t>organske</w:t>
      </w:r>
      <w:r w:rsidR="00642091" w:rsidRPr="003E431F">
        <w:rPr>
          <w:b/>
        </w:rPr>
        <w:t xml:space="preserve"> </w:t>
      </w:r>
      <w:r w:rsidRPr="003E431F">
        <w:rPr>
          <w:b/>
        </w:rPr>
        <w:t>onečišćujuće</w:t>
      </w:r>
      <w:r w:rsidR="00642091" w:rsidRPr="003E431F">
        <w:rPr>
          <w:b/>
        </w:rPr>
        <w:t xml:space="preserve"> </w:t>
      </w:r>
      <w:r w:rsidRPr="003E431F">
        <w:rPr>
          <w:b/>
        </w:rPr>
        <w:t>tvari,</w:t>
      </w:r>
      <w:r w:rsidR="00642091" w:rsidRPr="003E431F">
        <w:rPr>
          <w:b/>
        </w:rPr>
        <w:t xml:space="preserve"> </w:t>
      </w:r>
      <w:r w:rsidRPr="003E431F">
        <w:rPr>
          <w:b/>
        </w:rPr>
        <w:t>koje</w:t>
      </w:r>
      <w:r w:rsidR="00642091" w:rsidRPr="003E431F">
        <w:rPr>
          <w:b/>
        </w:rPr>
        <w:t xml:space="preserve"> </w:t>
      </w:r>
      <w:r w:rsidRPr="003E431F">
        <w:rPr>
          <w:b/>
        </w:rPr>
        <w:t>imaju</w:t>
      </w:r>
      <w:r w:rsidR="00642091" w:rsidRPr="003E431F">
        <w:rPr>
          <w:b/>
        </w:rPr>
        <w:t xml:space="preserve"> </w:t>
      </w:r>
      <w:r w:rsidRPr="003E431F">
        <w:rPr>
          <w:b/>
        </w:rPr>
        <w:t>karakteristike</w:t>
      </w:r>
      <w:r w:rsidR="00642091" w:rsidRPr="003E431F">
        <w:rPr>
          <w:b/>
        </w:rPr>
        <w:t xml:space="preserve"> </w:t>
      </w:r>
      <w:r w:rsidRPr="003E431F">
        <w:rPr>
          <w:b/>
        </w:rPr>
        <w:t>biološke</w:t>
      </w:r>
      <w:r w:rsidR="00642091" w:rsidRPr="003E431F">
        <w:rPr>
          <w:b/>
        </w:rPr>
        <w:t xml:space="preserve"> </w:t>
      </w:r>
      <w:r w:rsidRPr="003E431F">
        <w:rPr>
          <w:b/>
        </w:rPr>
        <w:t>akumulacije</w:t>
      </w:r>
    </w:p>
    <w:p w:rsidR="000966E6" w:rsidRPr="003E431F" w:rsidRDefault="000966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2</w:t>
      </w:r>
      <w:r w:rsidR="00271F24" w:rsidRPr="003E431F">
        <w:t>8</w:t>
      </w:r>
      <w:r w:rsidRPr="003E431F">
        <w:t>.</w:t>
      </w:r>
    </w:p>
    <w:p w:rsidR="00F82C18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dioksina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furana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izvora,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271F24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7A6632" w:rsidRPr="003E431F">
        <w:rPr>
          <w:color w:val="231F20"/>
        </w:rPr>
        <w:t>2</w:t>
      </w:r>
      <w:r w:rsidR="00271F24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F82C18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F82C18" w:rsidRPr="003E431F">
        <w:rPr>
          <w:color w:val="231F20"/>
        </w:rPr>
        <w:t>F.</w:t>
      </w:r>
      <w:r w:rsidR="00642091" w:rsidRPr="003E431F">
        <w:rPr>
          <w:color w:val="231F20"/>
        </w:rPr>
        <w:t xml:space="preserve"> </w:t>
      </w:r>
      <w:r w:rsidR="00F82C18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F82C18" w:rsidRPr="003E431F">
        <w:rPr>
          <w:color w:val="231F20"/>
        </w:rPr>
        <w:t>Uredbe</w:t>
      </w:r>
    </w:p>
    <w:p w:rsidR="000966E6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određivanje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dioksina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furana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koncentracije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dioksina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furana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pomnožiti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ekvivalentnim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faktorima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njihovog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zbrajanja,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faktoru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ekvivalentne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toksičnosti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izražene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E575D9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E575D9"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="00E575D9"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="00E575D9"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Uredbe.</w:t>
      </w:r>
    </w:p>
    <w:p w:rsidR="00A531B7" w:rsidRPr="003E431F" w:rsidRDefault="00A531B7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</w:p>
    <w:p w:rsidR="000209DD" w:rsidRPr="003E431F" w:rsidRDefault="000209DD" w:rsidP="00B400A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  <w:r w:rsidRPr="003E431F">
        <w:rPr>
          <w:b/>
          <w:color w:val="231F20"/>
        </w:rPr>
        <w:t>Praćenje</w:t>
      </w:r>
      <w:r w:rsidR="00642091" w:rsidRPr="003E431F">
        <w:rPr>
          <w:b/>
          <w:color w:val="231F20"/>
        </w:rPr>
        <w:t xml:space="preserve"> </w:t>
      </w:r>
      <w:r w:rsidRPr="003E431F">
        <w:rPr>
          <w:b/>
          <w:color w:val="231F20"/>
        </w:rPr>
        <w:t>emisija</w:t>
      </w:r>
    </w:p>
    <w:p w:rsidR="000209DD" w:rsidRPr="003E431F" w:rsidRDefault="000209DD" w:rsidP="006427F5">
      <w:pPr>
        <w:pStyle w:val="Naslov2"/>
      </w:pPr>
      <w:r w:rsidRPr="003E431F">
        <w:t>Č</w:t>
      </w:r>
      <w:r w:rsidR="003372C7">
        <w:t>l</w:t>
      </w:r>
      <w:bookmarkStart w:id="0" w:name="_GoBack"/>
      <w:bookmarkEnd w:id="0"/>
      <w:r w:rsidRPr="003E431F">
        <w:t>anak</w:t>
      </w:r>
      <w:r w:rsidR="00642091" w:rsidRPr="003E431F">
        <w:t xml:space="preserve"> </w:t>
      </w:r>
      <w:r w:rsidRPr="003E431F">
        <w:t>29.</w:t>
      </w:r>
    </w:p>
    <w:p w:rsidR="000209DD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Praćenje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nepokretnog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određenog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obavljanje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određenih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glavom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odredbama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glave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0209DD"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rješenjem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izdanom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okoliša)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propisano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drugačije.</w:t>
      </w:r>
    </w:p>
    <w:p w:rsidR="000966E6" w:rsidRPr="003E431F" w:rsidRDefault="00807813" w:rsidP="0080781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Iznimno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odredbe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p</w:t>
      </w:r>
      <w:r w:rsidR="000966E6" w:rsidRPr="003E431F">
        <w:rPr>
          <w:color w:val="231F20"/>
        </w:rPr>
        <w:t>raćenje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određenog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obavljanje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kojih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dolazi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ispuštanja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28.</w:t>
      </w:r>
      <w:r w:rsidR="00642091" w:rsidRPr="003E431F">
        <w:rPr>
          <w:color w:val="231F20"/>
        </w:rPr>
        <w:t xml:space="preserve"> </w:t>
      </w:r>
      <w:r w:rsidR="00240C24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B400A0" w:rsidRPr="003E431F">
        <w:rPr>
          <w:color w:val="231F20"/>
        </w:rPr>
        <w:t>U</w:t>
      </w:r>
      <w:r w:rsidR="00240C24" w:rsidRPr="003E431F">
        <w:rPr>
          <w:color w:val="231F20"/>
        </w:rPr>
        <w:t>redbe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0966E6" w:rsidRPr="003E431F">
        <w:t>najmanje</w:t>
      </w:r>
      <w:r w:rsidR="00642091" w:rsidRPr="003E431F">
        <w:t xml:space="preserve"> </w:t>
      </w:r>
      <w:r w:rsidR="000966E6" w:rsidRPr="003E431F">
        <w:t>jednom</w:t>
      </w:r>
      <w:r w:rsidR="00642091" w:rsidRPr="003E431F">
        <w:t xml:space="preserve"> </w:t>
      </w:r>
      <w:r w:rsidR="000966E6" w:rsidRPr="003E431F">
        <w:t>u</w:t>
      </w:r>
      <w:r w:rsidR="00642091" w:rsidRPr="003E431F">
        <w:t xml:space="preserve"> </w:t>
      </w:r>
      <w:r w:rsidR="000966E6" w:rsidRPr="003E431F">
        <w:t>pet</w:t>
      </w:r>
      <w:r w:rsidR="00642091" w:rsidRPr="003E431F">
        <w:t xml:space="preserve"> </w:t>
      </w:r>
      <w:r w:rsidR="000966E6" w:rsidRPr="003E431F">
        <w:t>godina,</w:t>
      </w:r>
      <w:r w:rsidR="00642091" w:rsidRPr="003E431F">
        <w:t xml:space="preserve"> </w:t>
      </w:r>
      <w:r w:rsidR="000966E6"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rješenjem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izdanom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okoliša)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određeno</w:t>
      </w:r>
      <w:r w:rsidR="00642091" w:rsidRPr="003E431F">
        <w:rPr>
          <w:color w:val="231F20"/>
        </w:rPr>
        <w:t xml:space="preserve"> </w:t>
      </w:r>
      <w:r w:rsidR="000966E6" w:rsidRPr="003E431F">
        <w:rPr>
          <w:color w:val="231F20"/>
        </w:rPr>
        <w:t>drukčije.</w:t>
      </w:r>
    </w:p>
    <w:p w:rsidR="00765D53" w:rsidRPr="003E431F" w:rsidRDefault="00765D53" w:rsidP="00CD29D4">
      <w:pPr>
        <w:pStyle w:val="box455522"/>
        <w:shd w:val="clear" w:color="auto" w:fill="FFFFFF"/>
        <w:spacing w:before="120" w:beforeAutospacing="0" w:after="120" w:afterAutospacing="0"/>
        <w:ind w:left="426"/>
        <w:jc w:val="both"/>
        <w:textAlignment w:val="baseline"/>
        <w:rPr>
          <w:color w:val="231F20"/>
        </w:rPr>
      </w:pPr>
    </w:p>
    <w:p w:rsidR="00E30D15" w:rsidRPr="003E431F" w:rsidRDefault="00E30D15" w:rsidP="00B400A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Izvješćivanje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dostava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podataka</w:t>
      </w:r>
    </w:p>
    <w:p w:rsidR="00E30D15" w:rsidRPr="003E431F" w:rsidRDefault="00E30D15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30.</w:t>
      </w:r>
    </w:p>
    <w:p w:rsidR="00E30D15" w:rsidRPr="003E431F" w:rsidRDefault="00807813" w:rsidP="00807813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Podatke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i/ili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dijela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obavljanje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aktivnosti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glavom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zaštite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Ministarstvu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0D15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30D15" w:rsidRPr="003E431F" w:rsidRDefault="00E30D15" w:rsidP="00807813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Sadržaji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povremenim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uređeni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</w:p>
    <w:p w:rsidR="00E30D15" w:rsidRPr="003E431F" w:rsidRDefault="00E30D15" w:rsidP="00807813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obvezu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dužan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osigurati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prijenos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izmjerenim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emisijskim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veličinama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računalnom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mrežom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automatiziranog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članka.</w:t>
      </w:r>
    </w:p>
    <w:p w:rsidR="00E30D15" w:rsidRPr="003E431F" w:rsidRDefault="00E30D15" w:rsidP="00807813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dostupan.</w:t>
      </w:r>
    </w:p>
    <w:p w:rsidR="002250FB" w:rsidRPr="003E431F" w:rsidRDefault="002250FB" w:rsidP="00807813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09DD" w:rsidRPr="003E431F" w:rsidRDefault="000209DD" w:rsidP="006427F5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IV.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GRANIČNE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VRIJEDNOSTI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EMISIJA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NEMETALNIH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MINERALNIH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SIROVINA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PRERADU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METALA</w:t>
      </w: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9A4B6D"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0209DD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razvrstanih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skupine: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nemetalnih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mineralnih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9A4B6D" w:rsidRPr="003E431F" w:rsidRDefault="009A4B6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9A4B6D" w:rsidRPr="003E431F" w:rsidRDefault="009A4B6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5FE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98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43798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3798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65D53" w:rsidRPr="003E431F" w:rsidRDefault="00765D53" w:rsidP="00B400A0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4B6D" w:rsidRPr="003E431F" w:rsidRDefault="009A4B6D" w:rsidP="00B400A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nemetalnih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mineralnih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sirovina</w:t>
      </w: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9A4B6D"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9A4B6D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A4B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F80372" w:rsidRPr="003E431F" w:rsidRDefault="00F80372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rotacijskim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mokrim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10%.</w:t>
      </w:r>
    </w:p>
    <w:p w:rsidR="002250FB" w:rsidRPr="003E431F" w:rsidRDefault="002250FB" w:rsidP="00B400A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0209DD" w:rsidRPr="003E431F" w:rsidRDefault="00E30D15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34</w:t>
      </w:r>
      <w:r w:rsidR="000209DD" w:rsidRPr="003E431F">
        <w:rPr>
          <w:rFonts w:eastAsia="Times New Roman"/>
          <w:lang w:eastAsia="hr-HR"/>
        </w:rPr>
        <w:t>.</w:t>
      </w:r>
    </w:p>
    <w:p w:rsidR="00AF02C1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žarenja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boksita,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dolomita,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magnezita,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vapnenca,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gipsa,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diatomejske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zemlje,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kvarcita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šamota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F02C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0209DD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vlažni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plin.</w:t>
      </w:r>
    </w:p>
    <w:p w:rsidR="002250FB" w:rsidRPr="003E431F" w:rsidRDefault="002250FB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0209DD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tretiranja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perlita,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škriljaca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7C5FA5" w:rsidRPr="003E431F" w:rsidRDefault="00DC2FCE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vlažnom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C5FA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14%.</w:t>
      </w:r>
    </w:p>
    <w:p w:rsidR="002250FB" w:rsidRPr="003E431F" w:rsidRDefault="002250FB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0209DD" w:rsidRPr="003E431F" w:rsidRDefault="000209DD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D2E2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D2E2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D2E2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0209DD" w:rsidRPr="003E431F" w:rsidRDefault="007E0A94" w:rsidP="002250F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</w:t>
      </w:r>
      <w:r w:rsidR="005B3D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taljenje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zagrijavanih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plamenom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2FC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</w:t>
      </w:r>
      <w:r w:rsidR="005B3D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B3D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B3D49" w:rsidRPr="003E431F" w:rsidRDefault="005B3D49" w:rsidP="002250F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iskazane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koncentracije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peći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taljenje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stakla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zagrijavane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električnom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energijom,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diskontinuirani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izmjereni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volumni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kisika.</w:t>
      </w:r>
    </w:p>
    <w:p w:rsidR="005B3D49" w:rsidRPr="003E431F" w:rsidRDefault="005B3D49" w:rsidP="002250F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iskazane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koncentracije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peći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pridodaje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kisik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volumni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kisika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uobičajen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odvijanju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procesa.</w:t>
      </w:r>
    </w:p>
    <w:p w:rsidR="002250FB" w:rsidRPr="003E431F" w:rsidRDefault="002250FB" w:rsidP="002250F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0209DD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mineralne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(kamene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keramičkih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617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CB69E3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B69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procese.</w:t>
      </w:r>
    </w:p>
    <w:p w:rsidR="000209DD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plinu.</w:t>
      </w:r>
    </w:p>
    <w:p w:rsidR="00D9748D" w:rsidRPr="003E431F" w:rsidRDefault="00D9748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E30D15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2F1A48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pečenja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keramičkih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2F1A48" w:rsidRPr="003E431F" w:rsidRDefault="000209DD" w:rsidP="00D9748D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18%.</w:t>
      </w:r>
    </w:p>
    <w:p w:rsidR="00765D53" w:rsidRPr="003E431F" w:rsidRDefault="00765D53" w:rsidP="009924A4">
      <w:pPr>
        <w:shd w:val="clear" w:color="auto" w:fill="FFFFFF"/>
        <w:spacing w:before="120" w:after="12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C5FA5" w:rsidRPr="003E431F" w:rsidRDefault="0050552A" w:rsidP="009924A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Proizvodnja,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</w:t>
      </w:r>
      <w:r w:rsidR="002F1A48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rerada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obrada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2F1A48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metala</w:t>
      </w: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</w:t>
      </w:r>
      <w:r w:rsidR="00160E0F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765D53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24B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lijevanog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E575D9" w:rsidRPr="003E431F" w:rsidRDefault="00E575D9" w:rsidP="00CD29D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160E0F" w:rsidRPr="003E431F">
        <w:rPr>
          <w:rFonts w:eastAsia="Times New Roman"/>
          <w:lang w:eastAsia="hr-HR"/>
        </w:rPr>
        <w:t>40</w:t>
      </w:r>
      <w:r w:rsidRPr="003E431F">
        <w:rPr>
          <w:rFonts w:eastAsia="Times New Roman"/>
          <w:lang w:eastAsia="hr-HR"/>
        </w:rPr>
        <w:t>.</w:t>
      </w:r>
    </w:p>
    <w:p w:rsidR="00BF07FF" w:rsidRPr="003E431F" w:rsidRDefault="000209DD" w:rsidP="00D9748D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čelika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7F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D9748D" w:rsidRPr="003E431F" w:rsidRDefault="00D9748D" w:rsidP="00D9748D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160E0F" w:rsidRPr="003E431F">
        <w:rPr>
          <w:rFonts w:eastAsia="Times New Roman"/>
          <w:lang w:eastAsia="hr-HR"/>
        </w:rPr>
        <w:t>41</w:t>
      </w:r>
      <w:r w:rsidRPr="003E431F">
        <w:rPr>
          <w:rFonts w:eastAsia="Times New Roman"/>
          <w:lang w:eastAsia="hr-HR"/>
        </w:rPr>
        <w:t>.</w:t>
      </w:r>
    </w:p>
    <w:p w:rsidR="001239F0" w:rsidRPr="003E431F" w:rsidRDefault="000209DD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obojenih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legura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239F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0209DD" w:rsidRPr="003E431F" w:rsidRDefault="001A4DD3" w:rsidP="001A4DD3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taljenja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legiranja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bakra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60E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160E0F" w:rsidRPr="003E431F" w:rsidRDefault="00160E0F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olova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C46A54" w:rsidRPr="003E431F" w:rsidRDefault="00C46A54" w:rsidP="00D9748D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sačme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sačmarenjem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C46A54" w:rsidRPr="003E431F" w:rsidRDefault="00C46A54" w:rsidP="00D9748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aluminijevog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8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materijala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CD29D4" w:rsidRPr="003E431F" w:rsidRDefault="00CD29D4" w:rsidP="007D078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</w:t>
      </w:r>
      <w:r w:rsidR="00B400A0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B400A0" w:rsidRPr="003E431F" w:rsidRDefault="004317BE" w:rsidP="004317B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6638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titanijevog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(TiO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0209D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0209DD" w:rsidRPr="003E431F" w:rsidRDefault="000209DD" w:rsidP="004317B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6638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titanijevog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poduzimati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sprječavanja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kapljica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kiseline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3D5E79" w:rsidRPr="003E431F" w:rsidRDefault="003D5E79" w:rsidP="004317B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</w:t>
      </w:r>
      <w:r w:rsidR="00B400A0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0209DD" w:rsidRPr="003E431F" w:rsidRDefault="000209DD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akumulatora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3D5E79" w:rsidRPr="003E431F" w:rsidRDefault="003D5E79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</w:t>
      </w:r>
      <w:r w:rsidR="00B400A0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B400A0" w:rsidRPr="003E431F" w:rsidRDefault="000209DD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kiselinom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5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765D53" w:rsidRPr="003E431F" w:rsidRDefault="00765D53" w:rsidP="009924A4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209DD" w:rsidRPr="003E431F" w:rsidRDefault="000209DD" w:rsidP="009924A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0209DD" w:rsidRPr="003E431F" w:rsidRDefault="000209D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</w:t>
      </w:r>
      <w:r w:rsidR="00B400A0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50552A" w:rsidRPr="003E431F" w:rsidRDefault="0050552A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drugačije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0209DD" w:rsidRPr="003E431F" w:rsidRDefault="000209DD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AA61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mjeri:</w:t>
      </w:r>
    </w:p>
    <w:p w:rsidR="000209DD" w:rsidRPr="003E431F" w:rsidRDefault="000209DD" w:rsidP="003D5E79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</w:p>
    <w:p w:rsidR="000209DD" w:rsidRPr="003E431F" w:rsidRDefault="000209DD" w:rsidP="003D5E79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</w:p>
    <w:p w:rsidR="000209DD" w:rsidRPr="003E431F" w:rsidRDefault="000209DD" w:rsidP="003D5E79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temperatura.</w:t>
      </w:r>
    </w:p>
    <w:p w:rsidR="000209DD" w:rsidRPr="003E431F" w:rsidRDefault="000209DD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AA61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provođenja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digestije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ovapnjivanja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kiseline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sulfatni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kloridni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praškastih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izvora.</w:t>
      </w:r>
    </w:p>
    <w:p w:rsidR="00765D53" w:rsidRPr="003E431F" w:rsidRDefault="00765D53" w:rsidP="00B400A0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A6186" w:rsidRPr="003E431F" w:rsidRDefault="00AA6186" w:rsidP="009924A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Izvješćivanje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dostava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podataka</w:t>
      </w:r>
    </w:p>
    <w:p w:rsidR="00AA6186" w:rsidRPr="003E431F" w:rsidRDefault="00AA618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B400A0" w:rsidRPr="003E431F">
        <w:rPr>
          <w:rFonts w:eastAsia="Times New Roman"/>
          <w:lang w:eastAsia="hr-HR"/>
        </w:rPr>
        <w:t>46</w:t>
      </w:r>
      <w:r w:rsidRPr="003E431F">
        <w:rPr>
          <w:rFonts w:eastAsia="Times New Roman"/>
          <w:lang w:eastAsia="hr-HR"/>
        </w:rPr>
        <w:t>.</w:t>
      </w:r>
    </w:p>
    <w:p w:rsidR="00AA6186" w:rsidRPr="003E431F" w:rsidRDefault="003D5E79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Podatke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i/ili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dijela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obavljanje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aktivnosti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glavom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5AAA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426253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zaštite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Ministarstvu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A6186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</w:p>
    <w:p w:rsidR="00AA6186" w:rsidRPr="003E431F" w:rsidRDefault="00AA6186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(2)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Sadržaji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povremenim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uređeni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</w:p>
    <w:p w:rsidR="00AA6186" w:rsidRPr="003E431F" w:rsidRDefault="00AA6186" w:rsidP="003D5E7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obvezu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dužan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osigurati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prijenos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izmjerenim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emisijskim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veličinama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računalnom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mrežom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automatiziranog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članka.</w:t>
      </w:r>
    </w:p>
    <w:p w:rsidR="00AA6186" w:rsidRPr="003E431F" w:rsidRDefault="00AA6186" w:rsidP="003D5E79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dostupan.</w:t>
      </w:r>
    </w:p>
    <w:p w:rsidR="004F09CB" w:rsidRPr="003E431F" w:rsidRDefault="004F09CB" w:rsidP="009924A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6427F5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V.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GRANIČNE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VRIJEDNOSTI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EMISIJA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KEMIJSKU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PREHRAMBENU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INDUSTRIJU</w:t>
      </w: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47.</w:t>
      </w:r>
    </w:p>
    <w:p w:rsidR="00B400A0" w:rsidRPr="003E431F" w:rsidRDefault="000D48E6" w:rsidP="000D48E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razvrstanih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skupine: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kemijska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prehrambena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400A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B400A0" w:rsidRPr="003E431F" w:rsidRDefault="00B400A0" w:rsidP="000D48E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2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0D48E6" w:rsidRPr="003E431F" w:rsidRDefault="000D48E6" w:rsidP="009924A4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9924A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Kemijska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industrija</w:t>
      </w: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48.</w:t>
      </w:r>
    </w:p>
    <w:p w:rsidR="00B400A0" w:rsidRPr="003E431F" w:rsidRDefault="00B400A0" w:rsidP="00EA4E7A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(Clausovo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B400A0" w:rsidRPr="003E431F" w:rsidRDefault="00B400A0" w:rsidP="00EA4E7A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sulfid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naknadno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spaljivanje.</w:t>
      </w:r>
    </w:p>
    <w:p w:rsidR="00B400A0" w:rsidRPr="003E431F" w:rsidRDefault="00B400A0" w:rsidP="00EA4E7A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Clausovo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neprekidno,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godini.</w:t>
      </w:r>
    </w:p>
    <w:p w:rsidR="00B400A0" w:rsidRPr="003E431F" w:rsidRDefault="00B400A0" w:rsidP="00EA4E7A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Clausovog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neprekidno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642091" w:rsidRPr="003E431F" w:rsidRDefault="00642091" w:rsidP="00EA4E7A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49.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E40C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4F09CB" w:rsidRPr="003E431F" w:rsidRDefault="004F09CB" w:rsidP="00CD29D4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50.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čađe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E40C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B1F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sumporovodik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monoksid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se.</w:t>
      </w:r>
    </w:p>
    <w:p w:rsidR="00642091" w:rsidRPr="003E431F" w:rsidRDefault="00642091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51.</w:t>
      </w:r>
    </w:p>
    <w:p w:rsidR="00CD29D4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elektrografita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E40C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642091" w:rsidRPr="003E431F" w:rsidRDefault="00642091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B400A0" w:rsidRPr="003E431F" w:rsidRDefault="00B400A0" w:rsidP="00316B0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Prehrambena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industrija</w:t>
      </w: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52.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rezanaca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šećerne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šećera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prženja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nadomjestaka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kavu,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kakaa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F09CB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642091" w:rsidRPr="003E431F" w:rsidRDefault="00642091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53.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produkti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3007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plamenom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neposrednom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zagrijavaju,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17%.</w:t>
      </w:r>
    </w:p>
    <w:p w:rsidR="002F1921" w:rsidRPr="003E431F" w:rsidRDefault="002F1921" w:rsidP="00316B0F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316B0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54.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drugačije.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mjeri:</w:t>
      </w:r>
    </w:p>
    <w:p w:rsidR="00B400A0" w:rsidRPr="003E431F" w:rsidRDefault="00B400A0" w:rsidP="00642091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</w:p>
    <w:p w:rsidR="00B400A0" w:rsidRPr="003E431F" w:rsidRDefault="00B400A0" w:rsidP="00642091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</w:p>
    <w:p w:rsidR="00B400A0" w:rsidRPr="003E431F" w:rsidRDefault="00B400A0" w:rsidP="00642091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temperatura.</w:t>
      </w:r>
    </w:p>
    <w:p w:rsidR="00642091" w:rsidRPr="003E431F" w:rsidRDefault="00642091" w:rsidP="00642091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400A0" w:rsidRPr="003E431F" w:rsidRDefault="00B400A0" w:rsidP="00316B0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Izvješćivanje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dostava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podataka</w:t>
      </w:r>
    </w:p>
    <w:p w:rsidR="00B400A0" w:rsidRPr="003E431F" w:rsidRDefault="00B400A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55.</w:t>
      </w:r>
    </w:p>
    <w:p w:rsidR="00B400A0" w:rsidRPr="003E431F" w:rsidRDefault="00642091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(1)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Podatke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praćenju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nepokretnog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postrojenja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i/ili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određenog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dijela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obavljanje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aktivnosti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određenih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ovom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glavom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426253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Informacijskog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zaštite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dostavlja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Ministarstvu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propisu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00A0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Sadržaji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povremenim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uređeni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izvora.</w:t>
      </w:r>
    </w:p>
    <w:p w:rsidR="00B400A0" w:rsidRPr="003E431F" w:rsidRDefault="00B400A0" w:rsidP="006420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obvezu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dužan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osigurati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prijenos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izmjerenim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emisijskim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veličinama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računalnom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mrežom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automatiziranog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članka.</w:t>
      </w:r>
    </w:p>
    <w:p w:rsidR="008253F0" w:rsidRPr="003E431F" w:rsidRDefault="00B400A0" w:rsidP="0064209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dostupan.</w:t>
      </w:r>
    </w:p>
    <w:p w:rsidR="00642091" w:rsidRPr="003E431F" w:rsidRDefault="00642091" w:rsidP="0064209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</w:rPr>
      </w:pPr>
    </w:p>
    <w:p w:rsidR="00172E59" w:rsidRPr="003E431F" w:rsidRDefault="00172E59" w:rsidP="006427F5">
      <w:pPr>
        <w:pStyle w:val="Naslov1"/>
      </w:pPr>
      <w:r w:rsidRPr="003E431F">
        <w:t>VI.</w:t>
      </w:r>
      <w:r w:rsidR="00642091" w:rsidRPr="003E431F">
        <w:t xml:space="preserve"> </w:t>
      </w:r>
      <w:r w:rsidRPr="003E431F">
        <w:t>GRANIČNE</w:t>
      </w:r>
      <w:r w:rsidR="00642091" w:rsidRPr="003E431F">
        <w:t xml:space="preserve"> </w:t>
      </w:r>
      <w:r w:rsidRPr="003E431F">
        <w:t>VRIJEDNOSTI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="006F0733" w:rsidRPr="003E431F">
        <w:t>HLAPIVIH</w:t>
      </w:r>
      <w:r w:rsidR="00642091" w:rsidRPr="003E431F">
        <w:t xml:space="preserve"> </w:t>
      </w:r>
      <w:r w:rsidR="006F0733" w:rsidRPr="003E431F">
        <w:t>ORGANSKIH</w:t>
      </w:r>
      <w:r w:rsidR="00642091" w:rsidRPr="003E431F">
        <w:t xml:space="preserve"> </w:t>
      </w:r>
      <w:r w:rsidR="006F0733" w:rsidRPr="003E431F">
        <w:t>SPOJEVA</w:t>
      </w:r>
      <w:r w:rsidR="00642091" w:rsidRPr="003E431F">
        <w:t xml:space="preserve"> </w:t>
      </w:r>
      <w:r w:rsidRPr="003E431F">
        <w:t>ZA</w:t>
      </w:r>
      <w:r w:rsidR="00642091" w:rsidRPr="003E431F">
        <w:t xml:space="preserve"> </w:t>
      </w:r>
      <w:r w:rsidRPr="003E431F">
        <w:t>ODREĐENE</w:t>
      </w:r>
      <w:r w:rsidR="00642091" w:rsidRPr="003E431F">
        <w:t xml:space="preserve"> </w:t>
      </w:r>
      <w:r w:rsidRPr="003E431F">
        <w:t>AKTIVNOSTI</w:t>
      </w: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5</w:t>
      </w:r>
      <w:r w:rsidR="00B92385" w:rsidRPr="003E431F">
        <w:t>6</w:t>
      </w:r>
      <w:r w:rsidRPr="003E431F">
        <w:t>.</w:t>
      </w:r>
    </w:p>
    <w:p w:rsidR="00172E59" w:rsidRPr="003E431F" w:rsidRDefault="00172E59" w:rsidP="00642091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gdje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aktivnosti: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3E3275" w:rsidRPr="003E431F">
        <w:rPr>
          <w:color w:val="231F20"/>
        </w:rPr>
        <w:tab/>
      </w:r>
      <w:r w:rsidRPr="003E431F">
        <w:rPr>
          <w:color w:val="231F20"/>
        </w:rPr>
        <w:t>»nanošenje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ljepila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(adheziva)«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nanošenja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ljepila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(adheziva)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izuzetkom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nanošenja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prianjajućih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laminata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tiskanja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="003E3275" w:rsidRPr="003E431F">
        <w:rPr>
          <w:color w:val="231F20"/>
        </w:rPr>
        <w:tab/>
      </w:r>
      <w:r w:rsidRPr="003E431F">
        <w:rPr>
          <w:color w:val="231F20"/>
        </w:rPr>
        <w:t>»proizvodnja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drvenih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plastičnih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laminata«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međusobnog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prianjanja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drveta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plastike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slojevima.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plastičnih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brodica)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promjene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potpunosti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oslobađanja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podliježe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glave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3E3275" w:rsidRPr="003E431F">
        <w:rPr>
          <w:color w:val="231F20"/>
        </w:rPr>
        <w:tab/>
      </w:r>
      <w:r w:rsidRPr="003E431F">
        <w:rPr>
          <w:color w:val="231F20"/>
        </w:rPr>
        <w:t>»procesi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jednokratno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višekratno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nanose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slojevi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na: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a)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sljedećih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vozila:</w:t>
      </w:r>
    </w:p>
    <w:p w:rsidR="00172E59" w:rsidRPr="003E431F" w:rsidRDefault="003E3275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nova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Direktivi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2007/46/EZ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Europskog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parlamenta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Vijeća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rujna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2007.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uspostavi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okvira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homologaciju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motornih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njihovih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prikolica,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sustava,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sastavnih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dijelova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zasebnih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tehničkih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jedinica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takva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M1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N1,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premazuju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istom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M1</w:t>
      </w:r>
    </w:p>
    <w:p w:rsidR="00172E59" w:rsidRPr="003E431F" w:rsidRDefault="003E3275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kamionske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kabine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smještaj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vozača,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cjeloviti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smještajni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prostor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tehničku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opremu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N2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N3</w:t>
      </w:r>
    </w:p>
    <w:p w:rsidR="00172E59" w:rsidRPr="003E431F" w:rsidRDefault="003E3275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kamione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kategorijama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N1,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N2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N3,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kamionske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kabine</w:t>
      </w:r>
    </w:p>
    <w:p w:rsidR="00172E59" w:rsidRPr="003E431F" w:rsidRDefault="003E3275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autobuse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M2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M3</w:t>
      </w:r>
    </w:p>
    <w:p w:rsidR="00172E59" w:rsidRPr="003E431F" w:rsidRDefault="003E3275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prikolice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kategorije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O1,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O2,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O3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O4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b)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tekstil,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tkaninu,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film,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papirne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metalne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plastične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uključujući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zrakoplove,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brodove,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vlakove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drugo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c)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drvene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površine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ab/>
      </w:r>
      <w:r w:rsidR="00172E59" w:rsidRPr="003E431F">
        <w:rPr>
          <w:color w:val="231F20"/>
        </w:rPr>
        <w:t>d)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kožu.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odnosi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metalnih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podloga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metodom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elektroforeze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kemijskog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raspršivanja.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predmet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bilo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tehnikom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nanosi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tisak,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dijelom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premazivanja.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Ipak,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postupci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odvijaju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posebna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nisu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uključeni</w:t>
      </w:r>
      <w:r w:rsidR="00A86EA0"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biti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obuhvaćeni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poglavljem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Direktive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2010/75/EU,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obuhvaćena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njezinim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opsegom.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</w:t>
      </w:r>
      <w:r w:rsidR="00642091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»premazivanje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zavojnica«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zavojnice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čelika,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nehrđajućeg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čelika,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obloženog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čelika,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bakrenih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legura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aluminijskih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neprekidno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opnastim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slojevitim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premazom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»kemijsko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industrijski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komercijalni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odjevnih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predmeta,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namještaja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sličnih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roba,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izuzetkom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ručnog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uklanjanja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mrlja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tekstilnoj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industriji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odjeće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6.</w:t>
      </w:r>
      <w:r w:rsidR="00642091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obuće«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kompletne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njezinih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dijelova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lakova,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ljepila«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gotovih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miješanjem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pigmenata,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prianjajućih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materijala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prijenosnicima.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kategorija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raspršivanje,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predraspršivanje,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gustoće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pakovanje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konačnih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spremnike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8.</w:t>
      </w:r>
      <w:r w:rsidR="009D1762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farmaceutskih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sintezu,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fermentaciju,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ekstrakciju,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formulaciju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dovršavanje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farmaceutskih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CB6D3B"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tamo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gdje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poluproizvoda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9.</w:t>
      </w:r>
      <w:r w:rsidR="009D1762" w:rsidRPr="003E431F">
        <w:rPr>
          <w:color w:val="231F20"/>
        </w:rPr>
        <w:t xml:space="preserve"> </w:t>
      </w:r>
      <w:r w:rsidR="009D1762" w:rsidRPr="003E431F">
        <w:rPr>
          <w:color w:val="231F20"/>
        </w:rPr>
        <w:tab/>
      </w:r>
      <w:r w:rsidRPr="003E431F">
        <w:rPr>
          <w:color w:val="231F20"/>
        </w:rPr>
        <w:t>»tiskanje«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reprodukcije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prijenosnika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slike,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tinta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površinu.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Obuhvaća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lakiranje,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laminata.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procese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fleksografija: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gumeni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fotopolimerni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elastični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prijenosnik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slike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(tiskarska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boja)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nalazi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iznad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suše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isparavanjem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toplinski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podešeni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otisak: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prijenosnik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slike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stavlja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istu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ravninu,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čemu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će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stroj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ubacuje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papirnog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valjka,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pojedinačnim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listovima.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obrađeno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tako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privlači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vodu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time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odbija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tintu.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obrađeno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tako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prenosi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Isparavanje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odvija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peći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vrućeg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zraka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zagrijava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otiskom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rotogravura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izdavaštvu: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rotogravura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papira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časopise,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brošure,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kataloge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slične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proizvode,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bazi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toluena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rotogravura: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cilindričkog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prijenosnika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slike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ispod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prazno,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tekućih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suše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isparavanjem.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Udubljenja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ispunjavaju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tintom</w:t>
      </w:r>
      <w:r w:rsidR="00AE44C1"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suvišak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čisti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nego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dotakne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cilindar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pokupi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udubljenja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rotacijskim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zaslonom: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prenosi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površinu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protiskivanjem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kroz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šupljikavi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prijenosnik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slike,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čemu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namijenjeno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otvoreno,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prazno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odvojeno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posebnim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slojem,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tekućih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tinti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suše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samo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isparavanjem.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će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stroj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ubacuje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papirnog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valjka,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pojedinačnim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listovima</w:t>
      </w:r>
    </w:p>
    <w:p w:rsidR="00172E59" w:rsidRPr="003E431F" w:rsidRDefault="007F63BA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proizvodnja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laminata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vezana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tiskanja: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prianjanje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dvaju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savitljivih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slojevima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</w:p>
    <w:p w:rsidR="00172E59" w:rsidRPr="003E431F" w:rsidRDefault="007F63BA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lakiranje: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lak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prianjajući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nanosi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savitljivi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svrhu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naknadnog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zatvaranja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ambalažnog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materijala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10.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gumenih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smjesa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gume«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miješanja,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gnječenja,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spajanja,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valjanja,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protiskivanja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vulkanizacije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prirodne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sintetičke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dodatno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prirodne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sintetičke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krajnjeg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11.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»površinsko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uklanjanje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materijala,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uključujući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odmašćivanje;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sastoji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obrade.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AE44C1"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12.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»ekstrakcija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životinjske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rafinacija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ulja«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ekstrakciju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sjemenki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suhih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ostataka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životinjske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krme,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pročišćavanje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sjemenki,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životinjske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13.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»završna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(lakiranje)«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industrijsko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komercijalno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srodni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poslovi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odmašćivanja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kroz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obavlja: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originalno,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odnosno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prvobitno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cestovnih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definiranih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područje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homologaciji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navedenih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vozila,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izvan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prvobitne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proizvodne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linije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unutar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proizvodnog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pogona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</w:p>
    <w:p w:rsidR="00172E59" w:rsidRPr="003E431F" w:rsidRDefault="009D1762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prikolica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(uključujući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poluprikolice)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14.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»impregnacija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drvenih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drveta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sredstvima</w:t>
      </w:r>
    </w:p>
    <w:p w:rsidR="00172E59" w:rsidRPr="003E431F" w:rsidRDefault="00172E59" w:rsidP="007F63BA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15.</w:t>
      </w:r>
      <w:r w:rsidR="00642091" w:rsidRPr="003E431F">
        <w:rPr>
          <w:color w:val="231F20"/>
        </w:rPr>
        <w:t xml:space="preserve"> </w:t>
      </w:r>
      <w:r w:rsidR="007F63BA" w:rsidRPr="003E431F">
        <w:rPr>
          <w:color w:val="231F20"/>
        </w:rPr>
        <w:tab/>
      </w:r>
      <w:r w:rsidRPr="003E431F">
        <w:rPr>
          <w:color w:val="231F20"/>
        </w:rPr>
        <w:t>»površinska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(premazivanje)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žičanih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navoja«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znači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provodnika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namotavanje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transformatora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drugo.</w:t>
      </w:r>
    </w:p>
    <w:p w:rsidR="00172E59" w:rsidRPr="003E431F" w:rsidRDefault="00172E59" w:rsidP="00642091">
      <w:pPr>
        <w:pStyle w:val="box455522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aktivnosti.</w:t>
      </w:r>
    </w:p>
    <w:p w:rsidR="009D1762" w:rsidRPr="003E431F" w:rsidRDefault="009D1762" w:rsidP="00642091">
      <w:pPr>
        <w:pStyle w:val="box455522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57.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414CF3" w:rsidRPr="003E431F">
        <w:rPr>
          <w:color w:val="231F20"/>
        </w:rPr>
        <w:t>točka</w:t>
      </w:r>
      <w:r w:rsidR="00642091" w:rsidRPr="003E431F">
        <w:rPr>
          <w:color w:val="231F20"/>
        </w:rPr>
        <w:t xml:space="preserve"> </w:t>
      </w:r>
      <w:r w:rsidR="00414CF3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rekonstruira,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njegove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rekonstrukcije,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postrojenjem.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cijelog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postigle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postrojenje.</w:t>
      </w:r>
    </w:p>
    <w:p w:rsidR="009D1762" w:rsidRPr="003E431F" w:rsidRDefault="009D1762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58.</w:t>
      </w:r>
    </w:p>
    <w:p w:rsidR="00172E59" w:rsidRPr="003E431F" w:rsidRDefault="00172E59" w:rsidP="009D1762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ovisno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sadržaju</w:t>
      </w:r>
      <w:r w:rsidR="00642091" w:rsidRPr="003E431F">
        <w:rPr>
          <w:color w:val="231F20"/>
        </w:rPr>
        <w:t xml:space="preserve"> </w:t>
      </w:r>
      <w:r w:rsidR="006F0733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dijele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skupine:</w:t>
      </w:r>
    </w:p>
    <w:p w:rsidR="00172E59" w:rsidRPr="003E431F" w:rsidRDefault="009D1762" w:rsidP="009D1762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pripravci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halogenirane</w:t>
      </w:r>
      <w:r w:rsidR="00642091" w:rsidRPr="003E431F">
        <w:rPr>
          <w:color w:val="231F20"/>
        </w:rPr>
        <w:t xml:space="preserve"> </w:t>
      </w:r>
      <w:r w:rsidR="006F0733" w:rsidRPr="003E431F">
        <w:rPr>
          <w:color w:val="231F20"/>
        </w:rPr>
        <w:t>HOS-eve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oznakom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upozorenja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H341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H351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predstavljaju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mogući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rizik</w:t>
      </w:r>
      <w:r w:rsidR="00642091" w:rsidRPr="003E431F">
        <w:rPr>
          <w:color w:val="231F20"/>
        </w:rPr>
        <w:t xml:space="preserve"> </w:t>
      </w:r>
      <w:r w:rsidR="00C906BE" w:rsidRPr="003E431F">
        <w:rPr>
          <w:color w:val="231F20"/>
        </w:rPr>
        <w:t>izazivanja neprolaznih učinaka na ljudsko zdravlje</w:t>
      </w:r>
    </w:p>
    <w:p w:rsidR="00172E59" w:rsidRPr="003E431F" w:rsidRDefault="009D1762" w:rsidP="009D1762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pripravci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zbog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sadržaja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svrstanih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karcinogene,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mutagene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toksične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reprodukciju,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nose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oznaku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upozorenja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H340,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H350,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H350i,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H360D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H360F</w:t>
      </w:r>
    </w:p>
    <w:p w:rsidR="00172E59" w:rsidRPr="003E431F" w:rsidRDefault="009D1762" w:rsidP="009D1762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HOS-evi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nisu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obuhvaćeni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podstavcima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članka.</w:t>
      </w:r>
    </w:p>
    <w:p w:rsidR="009D1762" w:rsidRPr="003E431F" w:rsidRDefault="009D1762" w:rsidP="00172E59">
      <w:pPr>
        <w:pStyle w:val="box455522"/>
        <w:shd w:val="clear" w:color="auto" w:fill="FFFFFF"/>
        <w:spacing w:before="120" w:beforeAutospacing="0" w:after="120" w:afterAutospacing="0"/>
        <w:ind w:firstLine="408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59.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zamijeniti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najvećoj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štetnim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pripravcima.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Prilikom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odabira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zamjenske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primjerenosti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mogućim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posljedicama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ljudsko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zdravlje,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posebice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profesionalne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izloženosti,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mogućim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posljedicama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ekonomskim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posljedicama,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troškovima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raspoloživih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rješenja.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označivanje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rokove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uklanjanje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oznaka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rizika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oznaka)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razvrstavanje,</w:t>
      </w:r>
      <w:r w:rsidR="00642091" w:rsidRPr="003E431F">
        <w:rPr>
          <w:color w:val="231F20"/>
        </w:rPr>
        <w:t xml:space="preserve"> </w:t>
      </w:r>
      <w:r w:rsidR="009F2911" w:rsidRPr="003E431F">
        <w:rPr>
          <w:color w:val="231F20"/>
        </w:rPr>
        <w:t xml:space="preserve">označavanje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pakiranje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opasnih</w:t>
      </w:r>
      <w:r w:rsidR="00642091" w:rsidRPr="003E431F">
        <w:rPr>
          <w:color w:val="231F20"/>
        </w:rPr>
        <w:t xml:space="preserve"> </w:t>
      </w:r>
      <w:r w:rsidR="009F2911" w:rsidRPr="003E431F">
        <w:rPr>
          <w:color w:val="231F20"/>
        </w:rPr>
        <w:t>tvari i smjesa</w:t>
      </w:r>
      <w:r w:rsidRPr="003E431F">
        <w:rPr>
          <w:color w:val="231F20"/>
        </w:rPr>
        <w:t>.</w:t>
      </w:r>
    </w:p>
    <w:p w:rsidR="009D1762" w:rsidRPr="003E431F" w:rsidRDefault="009D1762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B92385" w:rsidRPr="003E431F" w:rsidRDefault="00B92385" w:rsidP="00172E59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  <w:r w:rsidRPr="003E431F">
        <w:rPr>
          <w:b/>
          <w:color w:val="231F20"/>
        </w:rPr>
        <w:t>Granične</w:t>
      </w:r>
      <w:r w:rsidR="00642091" w:rsidRPr="003E431F">
        <w:rPr>
          <w:b/>
          <w:color w:val="231F20"/>
        </w:rPr>
        <w:t xml:space="preserve"> </w:t>
      </w:r>
      <w:r w:rsidRPr="003E431F">
        <w:rPr>
          <w:b/>
          <w:color w:val="231F20"/>
        </w:rPr>
        <w:t>vrijednosti</w:t>
      </w:r>
      <w:r w:rsidR="00642091" w:rsidRPr="003E431F">
        <w:rPr>
          <w:b/>
          <w:color w:val="231F20"/>
        </w:rPr>
        <w:t xml:space="preserve"> </w:t>
      </w:r>
      <w:r w:rsidRPr="003E431F">
        <w:rPr>
          <w:b/>
          <w:color w:val="231F20"/>
        </w:rPr>
        <w:t>emisija</w:t>
      </w:r>
      <w:r w:rsidR="00642091" w:rsidRPr="003E431F">
        <w:rPr>
          <w:b/>
          <w:color w:val="231F20"/>
        </w:rPr>
        <w:t xml:space="preserve"> </w:t>
      </w:r>
    </w:p>
    <w:p w:rsidR="00B92385" w:rsidRPr="003E431F" w:rsidRDefault="00B92385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60.</w:t>
      </w:r>
    </w:p>
    <w:p w:rsidR="00B92385" w:rsidRPr="003E431F" w:rsidRDefault="00B92385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ovisnosti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B92385" w:rsidRPr="003E431F" w:rsidRDefault="00B92385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aktivnosti.</w:t>
      </w:r>
    </w:p>
    <w:p w:rsidR="00B92385" w:rsidRPr="003E431F" w:rsidRDefault="00B92385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9D1762" w:rsidRPr="003E431F" w:rsidRDefault="009D1762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1</w:t>
      </w:r>
      <w:r w:rsidRPr="003E431F">
        <w:t>.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halogeniranih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5E172E" w:rsidRPr="003E431F">
        <w:rPr>
          <w:color w:val="231F20"/>
        </w:rPr>
        <w:t>pripravke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6E0B3C" w:rsidRPr="003E431F">
        <w:rPr>
          <w:color w:val="231F20"/>
        </w:rPr>
        <w:t>da</w:t>
      </w:r>
      <w:r w:rsidR="00C3429F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5</w:t>
      </w:r>
      <w:r w:rsidR="00C3429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B.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Uredbe.</w:t>
      </w:r>
      <w:r w:rsidR="00642091" w:rsidRPr="003E431F">
        <w:rPr>
          <w:color w:val="231F20"/>
        </w:rPr>
        <w:t xml:space="preserve"> 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dane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4F09CB" w:rsidRPr="003E431F">
        <w:rPr>
          <w:color w:val="231F20"/>
        </w:rPr>
        <w:t>5</w:t>
      </w:r>
      <w:r w:rsidR="00C3429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B.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Uredbe.</w:t>
      </w:r>
      <w:r w:rsidR="00642091" w:rsidRPr="003E431F">
        <w:rPr>
          <w:color w:val="231F20"/>
        </w:rPr>
        <w:t xml:space="preserve"> </w:t>
      </w:r>
    </w:p>
    <w:p w:rsidR="00172E59" w:rsidRPr="003E431F" w:rsidRDefault="00172E59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podsta</w:t>
      </w:r>
      <w:r w:rsidR="00C3429F" w:rsidRPr="003E431F">
        <w:rPr>
          <w:color w:val="231F20"/>
        </w:rPr>
        <w:t>vka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930F1B" w:rsidRPr="003E431F">
        <w:rPr>
          <w:color w:val="231F20"/>
        </w:rPr>
        <w:t>5</w:t>
      </w:r>
      <w:r w:rsidR="00C3429F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3429F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C3429F" w:rsidRPr="003E431F" w:rsidRDefault="00C3429F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nadziru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ekonomski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izvedivo,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zdravlje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ljudi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okoliš.</w:t>
      </w:r>
    </w:p>
    <w:p w:rsidR="003F3C41" w:rsidRPr="003E431F" w:rsidRDefault="003F3C41" w:rsidP="009D1762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874A2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62</w:t>
      </w:r>
      <w:r w:rsidR="00172E59" w:rsidRPr="003E431F">
        <w:t>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odvijaju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primijeniti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najbolje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raspoložive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(NRT)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Shema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Ministarstva,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zatražene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Sheme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</w:t>
      </w:r>
      <w:r w:rsidRPr="003E431F">
        <w:rPr>
          <w:color w:val="231F20"/>
        </w:rPr>
        <w:t>a.</w:t>
      </w:r>
    </w:p>
    <w:p w:rsidR="002F1921" w:rsidRPr="003E431F" w:rsidRDefault="002F1921" w:rsidP="005E172E">
      <w:pPr>
        <w:pStyle w:val="box455522"/>
        <w:shd w:val="clear" w:color="auto" w:fill="FFFFFF"/>
        <w:spacing w:before="120" w:beforeAutospacing="0" w:after="120" w:afterAutospacing="0"/>
        <w:ind w:firstLine="408"/>
        <w:jc w:val="both"/>
        <w:textAlignment w:val="baseline"/>
        <w:rPr>
          <w:color w:val="231F20"/>
        </w:rPr>
      </w:pPr>
    </w:p>
    <w:p w:rsidR="00172E59" w:rsidRPr="003E431F" w:rsidRDefault="00172E59" w:rsidP="00172E59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lastRenderedPageBreak/>
        <w:t>Mjerenje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emisija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hlapivih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organskih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spojeva</w:t>
      </w: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3</w:t>
      </w:r>
      <w:r w:rsidRPr="003E431F">
        <w:t>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0C0BD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10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(C)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satu.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BE56CD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ispušnom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kanalu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mjeri: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emitirani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maseni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protok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plinova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volumni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udio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kisika,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masena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koncentracija</w:t>
      </w:r>
      <w:r w:rsidR="00642091" w:rsidRPr="003E431F">
        <w:rPr>
          <w:color w:val="231F20"/>
        </w:rPr>
        <w:t xml:space="preserve"> </w:t>
      </w:r>
      <w:r w:rsidR="00B8047D" w:rsidRPr="003E431F">
        <w:rPr>
          <w:color w:val="231F20"/>
        </w:rPr>
        <w:t>HOS-ev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iskazuje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njegov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udio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temperatura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tlak.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10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(C)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HOS-eva.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posjeduje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ishođenja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točkastog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jedanput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posjeduje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ishođenja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dozvola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objedinjeni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okoliša),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dinamiku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točkastog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rješenju.</w:t>
      </w:r>
    </w:p>
    <w:p w:rsidR="00B92385" w:rsidRPr="003E431F" w:rsidRDefault="00B92385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(6)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nadziru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ekonomski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izvedivo,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zaštitilo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zdravlje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ljudi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</w:t>
      </w:r>
      <w:r w:rsidR="00B92385" w:rsidRPr="003E431F">
        <w:rPr>
          <w:color w:val="231F20"/>
        </w:rPr>
        <w:t>7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odvijaju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ispustima.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</w:t>
      </w:r>
      <w:r w:rsidR="00B92385" w:rsidRPr="003E431F">
        <w:rPr>
          <w:color w:val="231F20"/>
        </w:rPr>
        <w:t>8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zatvorenog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tipa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ispuštanja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</w:t>
      </w:r>
      <w:r w:rsidR="00B92385" w:rsidRPr="003E431F">
        <w:rPr>
          <w:color w:val="231F20"/>
        </w:rPr>
        <w:t>9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neophodna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zrak.</w:t>
      </w:r>
    </w:p>
    <w:p w:rsidR="003F3C41" w:rsidRPr="003E431F" w:rsidRDefault="003F3C41" w:rsidP="003F3C41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172E59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Vrednovanje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emisija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hlapivih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organskih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spojeva</w:t>
      </w: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4</w:t>
      </w:r>
      <w:r w:rsidRPr="003E431F">
        <w:t>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kontinuiranih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dnevne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prelaze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uobičajenim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1,5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povremenih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izmjerenih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prelaze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1,5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izuzimaju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isključivanja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otklona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lastRenderedPageBreak/>
        <w:t>uobičajenih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uključivanju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isključivanju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poduzeti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neophodne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svele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najmanju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mjeru.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Volumeni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služi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hlađenje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razrjeđivanje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opravdano,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uzima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obzir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utvrđivanju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koncentracije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onečišćivača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Poštivanje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F56158" w:rsidRPr="003E431F">
        <w:rPr>
          <w:color w:val="231F20"/>
        </w:rPr>
        <w:t>62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zbroja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koncentracija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HOS-eva.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slučajevima,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poštivanje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ispuštene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ugljika,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drukčije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F56158"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F56158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F56158" w:rsidRPr="003E431F">
        <w:rPr>
          <w:color w:val="231F20"/>
        </w:rPr>
        <w:t>A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3F3C41" w:rsidRPr="003E431F" w:rsidRDefault="003F3C41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172E59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Obveze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operatera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postrojenja</w:t>
      </w: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5</w:t>
      </w:r>
      <w:r w:rsidRPr="003E431F">
        <w:t>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56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daljnjem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tekstu: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REGVOC).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vodi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Ministarstvo</w:t>
      </w:r>
      <w:r w:rsidRPr="003E431F">
        <w:rPr>
          <w:color w:val="231F20"/>
        </w:rPr>
        <w:t>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javna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knjiga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o: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operateru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vrsti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odnosno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aktivnosti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godini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izgradnje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početku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rada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obavljenoj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rekonstrukciji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uređaju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smanjivanje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="00172E59" w:rsidRPr="003E431F">
        <w:rPr>
          <w:color w:val="231F20"/>
        </w:rPr>
        <w:t>a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ukupnoj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godišnjoj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količini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postrojenju,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odnosno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te</w:t>
      </w:r>
    </w:p>
    <w:p w:rsidR="00172E59" w:rsidRPr="003E431F" w:rsidRDefault="003F3C41" w:rsidP="003F3C41">
      <w:pPr>
        <w:pStyle w:val="box455522"/>
        <w:shd w:val="clear" w:color="auto" w:fill="FFFFFF"/>
        <w:tabs>
          <w:tab w:val="left" w:pos="851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vrstama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oznakama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upozorenja.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obliku,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programske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</w:t>
      </w:r>
      <w:r w:rsidR="008253F0" w:rsidRPr="003E431F">
        <w:t>mrežna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aplikacija).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zaprimljene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="008253F0" w:rsidRPr="003E431F">
        <w:t>Ministarstvo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dodjeljuje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registracijski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daljnjem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tekstu: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broj).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(6)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rekonstruiranog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roku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30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puštanju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(7)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Prestanak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roku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30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(8)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promjena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(9)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Iznimno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statusne,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vlasničke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promjene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(promjene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naziva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matičnog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subjekta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(MBS),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matičnog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(MBO)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OIB-a)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podnijeti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REGVOC.</w:t>
      </w:r>
    </w:p>
    <w:p w:rsidR="00172E59" w:rsidRPr="003E431F" w:rsidRDefault="00172E59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(10)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prijavi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9.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članka,</w:t>
      </w:r>
      <w:r w:rsidR="00642091" w:rsidRPr="003E431F">
        <w:rPr>
          <w:color w:val="231F20"/>
        </w:rPr>
        <w:t xml:space="preserve"> </w:t>
      </w:r>
      <w:r w:rsidR="008253F0" w:rsidRPr="003E431F">
        <w:t>Ministarstvo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dodjeljuje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broj.</w:t>
      </w:r>
    </w:p>
    <w:p w:rsidR="004F242B" w:rsidRPr="003E431F" w:rsidRDefault="004F242B" w:rsidP="003F3C41">
      <w:pPr>
        <w:pStyle w:val="box455522"/>
        <w:shd w:val="clear" w:color="auto" w:fill="FFFFFF"/>
        <w:tabs>
          <w:tab w:val="left" w:pos="851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lastRenderedPageBreak/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6</w:t>
      </w:r>
      <w:r w:rsidRPr="003E431F">
        <w:t>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dokazati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postizanja.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dokazuje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kroz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dostizanje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ciljne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emisije.</w:t>
      </w:r>
    </w:p>
    <w:p w:rsidR="00172E59" w:rsidRPr="003E431F" w:rsidRDefault="00172E59" w:rsidP="003F3C41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Iznimno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414CF3" w:rsidRPr="003E431F">
        <w:t>,</w:t>
      </w:r>
      <w:r w:rsidR="00642091" w:rsidRPr="003E431F">
        <w:t xml:space="preserve"> </w:t>
      </w:r>
      <w:r w:rsidR="00414CF3" w:rsidRPr="003E431F">
        <w:t>ako</w:t>
      </w:r>
      <w:r w:rsidR="00642091" w:rsidRPr="003E431F">
        <w:t xml:space="preserve"> </w:t>
      </w:r>
      <w:r w:rsidR="00414CF3" w:rsidRPr="003E431F">
        <w:t>operater</w:t>
      </w:r>
      <w:r w:rsidR="00642091" w:rsidRPr="003E431F">
        <w:t xml:space="preserve"> </w:t>
      </w:r>
      <w:r w:rsidR="00414CF3" w:rsidRPr="003E431F">
        <w:t>dokaže</w:t>
      </w:r>
      <w:r w:rsidR="00642091" w:rsidRPr="003E431F">
        <w:t xml:space="preserve"> </w:t>
      </w:r>
      <w:r w:rsidR="00414CF3" w:rsidRPr="003E431F">
        <w:t>nadležnom</w:t>
      </w:r>
      <w:r w:rsidR="00642091" w:rsidRPr="003E431F">
        <w:t xml:space="preserve"> </w:t>
      </w:r>
      <w:r w:rsidR="00414CF3" w:rsidRPr="003E431F">
        <w:t>tijelu</w:t>
      </w:r>
      <w:r w:rsidR="00642091" w:rsidRPr="003E431F">
        <w:t xml:space="preserve"> </w:t>
      </w:r>
      <w:r w:rsidR="00414CF3" w:rsidRPr="003E431F">
        <w:t>da</w:t>
      </w:r>
      <w:r w:rsidR="00642091" w:rsidRPr="003E431F">
        <w:t xml:space="preserve"> </w:t>
      </w:r>
      <w:r w:rsidR="00414CF3" w:rsidRPr="003E431F">
        <w:t>za</w:t>
      </w:r>
      <w:r w:rsidR="00642091" w:rsidRPr="003E431F">
        <w:t xml:space="preserve"> </w:t>
      </w:r>
      <w:r w:rsidR="00414CF3" w:rsidRPr="003E431F">
        <w:t>neko</w:t>
      </w:r>
      <w:r w:rsidR="00642091" w:rsidRPr="003E431F">
        <w:t xml:space="preserve"> </w:t>
      </w:r>
      <w:r w:rsidR="00414CF3" w:rsidRPr="003E431F">
        <w:t>postrojenje</w:t>
      </w:r>
      <w:r w:rsidR="00642091" w:rsidRPr="003E431F">
        <w:t xml:space="preserve"> </w:t>
      </w:r>
      <w:r w:rsidR="00414CF3" w:rsidRPr="003E431F">
        <w:t>tehnički</w:t>
      </w:r>
      <w:r w:rsidR="00642091" w:rsidRPr="003E431F">
        <w:t xml:space="preserve"> </w:t>
      </w:r>
      <w:r w:rsidR="00414CF3" w:rsidRPr="003E431F">
        <w:t>i</w:t>
      </w:r>
      <w:r w:rsidR="00642091" w:rsidRPr="003E431F">
        <w:t xml:space="preserve"> </w:t>
      </w:r>
      <w:r w:rsidR="00414CF3" w:rsidRPr="003E431F">
        <w:t>ekonomski</w:t>
      </w:r>
      <w:r w:rsidR="00642091" w:rsidRPr="003E431F">
        <w:t xml:space="preserve"> </w:t>
      </w:r>
      <w:r w:rsidR="00414CF3" w:rsidRPr="003E431F">
        <w:t>nije</w:t>
      </w:r>
      <w:r w:rsidR="00642091" w:rsidRPr="003E431F">
        <w:t xml:space="preserve"> </w:t>
      </w:r>
      <w:r w:rsidR="00414CF3" w:rsidRPr="003E431F">
        <w:t>izvedivo</w:t>
      </w:r>
      <w:r w:rsidR="00642091" w:rsidRPr="003E431F">
        <w:t xml:space="preserve"> </w:t>
      </w:r>
      <w:r w:rsidR="00414CF3" w:rsidRPr="003E431F">
        <w:t>postizanje</w:t>
      </w:r>
      <w:r w:rsidR="00642091" w:rsidRPr="003E431F">
        <w:t xml:space="preserve"> </w:t>
      </w:r>
      <w:r w:rsidR="00414CF3" w:rsidRPr="003E431F">
        <w:t>granične</w:t>
      </w:r>
      <w:r w:rsidR="00642091" w:rsidRPr="003E431F">
        <w:t xml:space="preserve"> </w:t>
      </w:r>
      <w:r w:rsidR="00414CF3" w:rsidRPr="003E431F">
        <w:t>vrijednosti</w:t>
      </w:r>
      <w:r w:rsidR="00642091" w:rsidRPr="003E431F">
        <w:t xml:space="preserve"> </w:t>
      </w:r>
      <w:r w:rsidR="00414CF3" w:rsidRPr="003E431F">
        <w:t>za</w:t>
      </w:r>
      <w:r w:rsidR="00642091" w:rsidRPr="003E431F">
        <w:t xml:space="preserve"> </w:t>
      </w:r>
      <w:r w:rsidR="00414CF3" w:rsidRPr="003E431F">
        <w:t>fugitivne</w:t>
      </w:r>
      <w:r w:rsidR="00642091" w:rsidRPr="003E431F">
        <w:t xml:space="preserve"> </w:t>
      </w:r>
      <w:r w:rsidR="00414CF3" w:rsidRPr="003E431F">
        <w:t>emisije,</w:t>
      </w:r>
      <w:r w:rsidR="00642091" w:rsidRPr="003E431F">
        <w:t xml:space="preserve"> </w:t>
      </w:r>
      <w:r w:rsidRPr="003E431F">
        <w:t>granične</w:t>
      </w:r>
      <w:r w:rsidR="00642091" w:rsidRPr="003E431F">
        <w:t xml:space="preserve"> </w:t>
      </w:r>
      <w:r w:rsidRPr="003E431F">
        <w:t>vrijednosti</w:t>
      </w:r>
      <w:r w:rsidR="00642091" w:rsidRPr="003E431F">
        <w:t xml:space="preserve"> </w:t>
      </w:r>
      <w:r w:rsidRPr="003E431F">
        <w:t>fugitivnih</w:t>
      </w:r>
      <w:r w:rsidR="00642091" w:rsidRPr="003E431F">
        <w:t xml:space="preserve"> </w:t>
      </w:r>
      <w:r w:rsidRPr="003E431F">
        <w:t>i/ili</w:t>
      </w:r>
      <w:r w:rsidR="00642091" w:rsidRPr="003E431F">
        <w:t xml:space="preserve"> </w:t>
      </w:r>
      <w:r w:rsidRPr="003E431F">
        <w:t>ukupnih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Pr="003E431F">
        <w:t>mogu</w:t>
      </w:r>
      <w:r w:rsidR="00642091" w:rsidRPr="003E431F">
        <w:t xml:space="preserve"> </w:t>
      </w:r>
      <w:r w:rsidRPr="003E431F">
        <w:t>se</w:t>
      </w:r>
      <w:r w:rsidR="00642091" w:rsidRPr="003E431F">
        <w:t xml:space="preserve"> </w:t>
      </w:r>
      <w:r w:rsidRPr="003E431F">
        <w:t>prekoračiti</w:t>
      </w:r>
      <w:r w:rsidR="00642091" w:rsidRPr="003E431F">
        <w:t xml:space="preserve"> </w:t>
      </w:r>
      <w:r w:rsidRPr="003E431F">
        <w:t>pod</w:t>
      </w:r>
      <w:r w:rsidR="00642091" w:rsidRPr="003E431F">
        <w:t xml:space="preserve"> </w:t>
      </w:r>
      <w:r w:rsidRPr="003E431F">
        <w:t>uvjetom</w:t>
      </w:r>
      <w:r w:rsidR="00642091" w:rsidRPr="003E431F">
        <w:t xml:space="preserve"> </w:t>
      </w:r>
      <w:r w:rsidRPr="003E431F">
        <w:t>da</w:t>
      </w:r>
      <w:r w:rsidR="00642091" w:rsidRPr="003E431F">
        <w:t xml:space="preserve"> </w:t>
      </w:r>
      <w:r w:rsidRPr="003E431F">
        <w:t>se</w:t>
      </w:r>
      <w:r w:rsidR="00642091" w:rsidRPr="003E431F">
        <w:t xml:space="preserve"> </w:t>
      </w:r>
      <w:r w:rsidRPr="003E431F">
        <w:t>ne</w:t>
      </w:r>
      <w:r w:rsidR="00642091" w:rsidRPr="003E431F">
        <w:t xml:space="preserve"> </w:t>
      </w:r>
      <w:r w:rsidRPr="003E431F">
        <w:t>očekuju</w:t>
      </w:r>
      <w:r w:rsidR="00642091" w:rsidRPr="003E431F">
        <w:t xml:space="preserve"> </w:t>
      </w:r>
      <w:r w:rsidRPr="003E431F">
        <w:t>značajni</w:t>
      </w:r>
      <w:r w:rsidR="00642091" w:rsidRPr="003E431F">
        <w:t xml:space="preserve"> </w:t>
      </w:r>
      <w:r w:rsidRPr="003E431F">
        <w:t>rizici</w:t>
      </w:r>
      <w:r w:rsidR="00642091" w:rsidRPr="003E431F">
        <w:t xml:space="preserve"> </w:t>
      </w:r>
      <w:r w:rsidRPr="003E431F">
        <w:t>za</w:t>
      </w:r>
      <w:r w:rsidR="00642091" w:rsidRPr="003E431F">
        <w:t xml:space="preserve"> </w:t>
      </w:r>
      <w:r w:rsidRPr="003E431F">
        <w:t>zdravlje</w:t>
      </w:r>
      <w:r w:rsidR="00642091" w:rsidRPr="003E431F">
        <w:t xml:space="preserve"> </w:t>
      </w:r>
      <w:r w:rsidRPr="003E431F">
        <w:t>ljudi</w:t>
      </w:r>
      <w:r w:rsidR="00642091" w:rsidRPr="003E431F">
        <w:t xml:space="preserve"> </w:t>
      </w:r>
      <w:r w:rsidRPr="003E431F">
        <w:t>i</w:t>
      </w:r>
      <w:r w:rsidR="00642091" w:rsidRPr="003E431F">
        <w:t xml:space="preserve"> </w:t>
      </w:r>
      <w:r w:rsidRPr="003E431F">
        <w:t>okoliš</w:t>
      </w:r>
      <w:r w:rsidR="00642091" w:rsidRPr="003E431F">
        <w:t xml:space="preserve"> </w:t>
      </w:r>
      <w:r w:rsidRPr="003E431F">
        <w:t>i</w:t>
      </w:r>
      <w:r w:rsidR="00642091" w:rsidRPr="003E431F">
        <w:t xml:space="preserve"> </w:t>
      </w:r>
      <w:r w:rsidRPr="003E431F">
        <w:t>da</w:t>
      </w:r>
      <w:r w:rsidR="00642091" w:rsidRPr="003E431F">
        <w:t xml:space="preserve"> </w:t>
      </w:r>
      <w:r w:rsidRPr="003E431F">
        <w:t>operater</w:t>
      </w:r>
      <w:r w:rsidR="00642091" w:rsidRPr="003E431F">
        <w:t xml:space="preserve"> </w:t>
      </w:r>
      <w:r w:rsidRPr="003E431F">
        <w:t>nadležnom</w:t>
      </w:r>
      <w:r w:rsidR="00642091" w:rsidRPr="003E431F">
        <w:t xml:space="preserve"> </w:t>
      </w:r>
      <w:r w:rsidRPr="003E431F">
        <w:t>tijelu</w:t>
      </w:r>
      <w:r w:rsidR="00642091" w:rsidRPr="003E431F">
        <w:t xml:space="preserve"> </w:t>
      </w:r>
      <w:r w:rsidRPr="003E431F">
        <w:t>dokaže</w:t>
      </w:r>
      <w:r w:rsidR="00642091" w:rsidRPr="003E431F">
        <w:t xml:space="preserve"> </w:t>
      </w:r>
      <w:r w:rsidRPr="003E431F">
        <w:t>da</w:t>
      </w:r>
      <w:r w:rsidR="00642091" w:rsidRPr="003E431F">
        <w:t xml:space="preserve"> </w:t>
      </w:r>
      <w:r w:rsidRPr="003E431F">
        <w:t>su</w:t>
      </w:r>
      <w:r w:rsidR="00642091" w:rsidRPr="003E431F">
        <w:t xml:space="preserve"> </w:t>
      </w:r>
      <w:r w:rsidRPr="003E431F">
        <w:t>korištene</w:t>
      </w:r>
      <w:r w:rsidR="00642091" w:rsidRPr="003E431F">
        <w:t xml:space="preserve"> </w:t>
      </w:r>
      <w:r w:rsidRPr="003E431F">
        <w:t>najbolje</w:t>
      </w:r>
      <w:r w:rsidR="00642091" w:rsidRPr="003E431F">
        <w:t xml:space="preserve"> </w:t>
      </w:r>
      <w:r w:rsidRPr="003E431F">
        <w:t>raspoložive</w:t>
      </w:r>
      <w:r w:rsidR="00642091" w:rsidRPr="003E431F">
        <w:t xml:space="preserve"> </w:t>
      </w:r>
      <w:r w:rsidRPr="003E431F">
        <w:t>tehnike.</w:t>
      </w:r>
    </w:p>
    <w:p w:rsidR="00172E59" w:rsidRPr="003E431F" w:rsidRDefault="00172E59" w:rsidP="004F242B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provode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dvije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prelazi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GVE:</w:t>
      </w:r>
    </w:p>
    <w:p w:rsidR="00172E59" w:rsidRPr="003E431F" w:rsidRDefault="004F242B" w:rsidP="004F242B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a)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oznake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upozorenja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58.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pojedinačnu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</w:t>
      </w:r>
    </w:p>
    <w:p w:rsidR="00172E59" w:rsidRPr="003E431F" w:rsidRDefault="004F242B" w:rsidP="004F242B">
      <w:pPr>
        <w:pStyle w:val="box455522"/>
        <w:shd w:val="clear" w:color="auto" w:fill="FFFFFF"/>
        <w:tabs>
          <w:tab w:val="left" w:pos="993"/>
        </w:tabs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172E59" w:rsidRPr="003E431F">
        <w:rPr>
          <w:color w:val="231F20"/>
        </w:rPr>
        <w:t>b)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ostale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zahtjeve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pojedinačnu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="00172E59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prelaze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bile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postignute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primijenjeno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ispunjavanje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pojedinačnu</w:t>
      </w:r>
      <w:r w:rsidR="00642091" w:rsidRPr="003E431F">
        <w:rPr>
          <w:color w:val="231F20"/>
        </w:rPr>
        <w:t xml:space="preserve"> </w:t>
      </w:r>
      <w:r w:rsidR="00172E59" w:rsidRPr="003E431F">
        <w:rPr>
          <w:color w:val="231F20"/>
        </w:rPr>
        <w:t>aktivnost.</w:t>
      </w:r>
    </w:p>
    <w:p w:rsidR="004F242B" w:rsidRPr="003E431F" w:rsidRDefault="004F242B" w:rsidP="003F3C41">
      <w:pPr>
        <w:pStyle w:val="box455522"/>
        <w:shd w:val="clear" w:color="auto" w:fill="FFFFFF"/>
        <w:spacing w:before="60" w:beforeAutospacing="0" w:after="6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7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Udovo</w:t>
      </w:r>
      <w:r w:rsidR="00874A29" w:rsidRPr="003E431F">
        <w:rPr>
          <w:color w:val="231F20"/>
        </w:rPr>
        <w:t>ljavanje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zahtjevima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66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odnose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izražavaju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%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dokazuje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A51993" w:rsidRPr="003E431F">
        <w:rPr>
          <w:color w:val="231F20"/>
        </w:rPr>
        <w:t>8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7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4F242B" w:rsidRPr="003E431F" w:rsidRDefault="004F242B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8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ožujka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proteklu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kalendarsku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godinu.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8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4F242B" w:rsidRPr="003E431F" w:rsidRDefault="004F242B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6</w:t>
      </w:r>
      <w:r w:rsidR="00874A29" w:rsidRPr="003E431F">
        <w:t>9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874A29" w:rsidRPr="003E431F">
        <w:rPr>
          <w:color w:val="231F20"/>
        </w:rPr>
        <w:t>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veću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5</w:t>
      </w:r>
      <w:r w:rsidR="00874A29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udovoljiti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874A29" w:rsidRPr="003E431F">
        <w:rPr>
          <w:color w:val="231F20"/>
        </w:rPr>
        <w:t>3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4.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451CBA" w:rsidRPr="003E431F">
        <w:rPr>
          <w:color w:val="231F20"/>
        </w:rPr>
        <w:t>7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dostavlja</w:t>
      </w:r>
      <w:r w:rsidR="00642091" w:rsidRPr="003E431F">
        <w:rPr>
          <w:color w:val="231F20"/>
        </w:rPr>
        <w:t xml:space="preserve"> </w:t>
      </w:r>
      <w:r w:rsidR="008253F0" w:rsidRPr="003E431F">
        <w:t>Ministarstvu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obliku,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programske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</w:t>
      </w:r>
      <w:r w:rsidR="008253F0" w:rsidRPr="003E431F">
        <w:t>mrežna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aplikacija).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426253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874A29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izrađivati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čuvati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dvije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4F242B" w:rsidRPr="003E431F" w:rsidRDefault="004F242B" w:rsidP="004F242B">
      <w:pPr>
        <w:pStyle w:val="box455522"/>
        <w:shd w:val="clear" w:color="auto" w:fill="FFFFFF"/>
        <w:spacing w:beforeAutospacing="0" w:afterAutospacing="0"/>
        <w:ind w:firstLine="567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="00874A29" w:rsidRPr="003E431F">
        <w:t>70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očevidnik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mjesečni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očevidnik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tekstila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težini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očišćenog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predmeta.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Očevidnik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874A29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izrađivati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daljnja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Ministarstva,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zatražene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očevidnika.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Očevidnik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čuva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dvije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4F242B" w:rsidRPr="003E431F" w:rsidRDefault="004F242B" w:rsidP="004F242B">
      <w:pPr>
        <w:pStyle w:val="box455522"/>
        <w:shd w:val="clear" w:color="auto" w:fill="FFFFFF"/>
        <w:spacing w:beforeAutospacing="0" w:afterAutospacing="0"/>
        <w:ind w:firstLine="567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7</w:t>
      </w:r>
      <w:r w:rsidR="00874A29" w:rsidRPr="003E431F">
        <w:t>1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874A29" w:rsidRPr="003E431F">
        <w:rPr>
          <w:color w:val="231F20"/>
        </w:rPr>
        <w:t>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dođe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znatnog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glavom,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uzrokovati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neposrednu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opasnost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ljudsko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zdravlje,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privremeno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obustaviti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postignu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bez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odlaganja,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obavijestiti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izvršno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jedinice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lokalne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samouprave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obavještava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upravno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tijelo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nadležno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zaštitu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okoliša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daljnjem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tekstu: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nadležno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upravno</w:t>
      </w:r>
      <w:r w:rsidR="00642091" w:rsidRPr="003E431F">
        <w:rPr>
          <w:color w:val="231F20"/>
        </w:rPr>
        <w:t xml:space="preserve"> </w:t>
      </w:r>
      <w:r w:rsidR="00013B2D" w:rsidRPr="003E431F">
        <w:rPr>
          <w:color w:val="231F20"/>
        </w:rPr>
        <w:t>tijelo)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Ministarstvo.</w:t>
      </w:r>
    </w:p>
    <w:p w:rsidR="00172E59" w:rsidRPr="003E431F" w:rsidRDefault="00172E59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uspostave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normalnoga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provesti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dokazao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poštivanje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emisija.</w:t>
      </w:r>
    </w:p>
    <w:p w:rsidR="004F242B" w:rsidRPr="003E431F" w:rsidRDefault="004F242B" w:rsidP="004F242B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5E172E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</w:rPr>
      </w:pPr>
      <w:r w:rsidRPr="003E431F">
        <w:rPr>
          <w:rStyle w:val="kurziv"/>
          <w:b/>
          <w:iCs/>
          <w:bdr w:val="none" w:sz="0" w:space="0" w:color="auto" w:frame="1"/>
        </w:rPr>
        <w:t>Dostav</w:t>
      </w:r>
      <w:r w:rsidR="00704DF6" w:rsidRPr="003E431F">
        <w:rPr>
          <w:rStyle w:val="kurziv"/>
          <w:b/>
          <w:iCs/>
          <w:bdr w:val="none" w:sz="0" w:space="0" w:color="auto" w:frame="1"/>
        </w:rPr>
        <w:t>a</w:t>
      </w:r>
      <w:r w:rsidR="00642091" w:rsidRPr="003E431F">
        <w:rPr>
          <w:rStyle w:val="kurziv"/>
          <w:b/>
          <w:iCs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bdr w:val="none" w:sz="0" w:space="0" w:color="auto" w:frame="1"/>
        </w:rPr>
        <w:t>podataka</w:t>
      </w:r>
    </w:p>
    <w:p w:rsidR="00172E59" w:rsidRPr="003E431F" w:rsidRDefault="00172E59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7</w:t>
      </w:r>
      <w:r w:rsidR="005E172E" w:rsidRPr="003E431F">
        <w:t>2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5E172E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5E172E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programska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(mrežna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aplikacija)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omogućava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mrežni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prikaz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podataka.</w:t>
      </w:r>
    </w:p>
    <w:p w:rsidR="00172E59" w:rsidRPr="003E431F" w:rsidRDefault="00172E59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Korisničko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lozinka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(korisnički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kreira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registracije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informacijskom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sustavu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zaštite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okoliša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daljnjem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tekstu: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ISZO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portalu)</w:t>
      </w:r>
      <w:r w:rsidR="00642091" w:rsidRPr="003E431F">
        <w:rPr>
          <w:color w:val="231F20"/>
        </w:rPr>
        <w:t xml:space="preserve"> </w:t>
      </w:r>
      <w:r w:rsidR="008253F0" w:rsidRPr="003E431F">
        <w:t>Ministarstva</w:t>
      </w:r>
      <w:r w:rsidRPr="003E431F">
        <w:rPr>
          <w:color w:val="231F20"/>
        </w:rPr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zatražiti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pristup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elektroničkoj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programskoj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odobrava</w:t>
      </w:r>
      <w:r w:rsidR="00642091" w:rsidRPr="003E431F">
        <w:rPr>
          <w:color w:val="231F20"/>
        </w:rPr>
        <w:t xml:space="preserve"> </w:t>
      </w:r>
      <w:r w:rsidR="008253F0" w:rsidRPr="003E431F">
        <w:t>Ministarstvo</w:t>
      </w:r>
      <w:r w:rsidRPr="003E431F">
        <w:rPr>
          <w:color w:val="231F20"/>
        </w:rPr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obveznik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dostavlja</w:t>
      </w:r>
      <w:r w:rsidR="00642091" w:rsidRPr="003E431F">
        <w:rPr>
          <w:color w:val="231F20"/>
        </w:rPr>
        <w:t xml:space="preserve"> </w:t>
      </w:r>
      <w:r w:rsidR="008253F0" w:rsidRPr="003E431F">
        <w:t>Ministarstvu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potpuni,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dosljedni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vjerodostojni.</w:t>
      </w:r>
    </w:p>
    <w:p w:rsidR="004F242B" w:rsidRPr="003E431F" w:rsidRDefault="004F242B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172E59" w:rsidRPr="003E431F" w:rsidRDefault="00172E59" w:rsidP="006427F5">
      <w:pPr>
        <w:pStyle w:val="Naslov2"/>
      </w:pPr>
      <w:r w:rsidRPr="003E431F">
        <w:lastRenderedPageBreak/>
        <w:t>Članak</w:t>
      </w:r>
      <w:r w:rsidR="00642091" w:rsidRPr="003E431F">
        <w:t xml:space="preserve"> </w:t>
      </w:r>
      <w:r w:rsidRPr="003E431F">
        <w:t>7</w:t>
      </w:r>
      <w:r w:rsidR="005E172E" w:rsidRPr="003E431F">
        <w:t>3</w:t>
      </w:r>
      <w:r w:rsidRPr="003E431F">
        <w:t>.</w:t>
      </w:r>
    </w:p>
    <w:p w:rsidR="00172E59" w:rsidRPr="003E431F" w:rsidRDefault="00172E59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8253F0" w:rsidRPr="003E431F">
        <w:rPr>
          <w:color w:val="231F20"/>
        </w:rPr>
        <w:t>7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8253F0" w:rsidRPr="003E431F">
        <w:t>Ministarstvu</w:t>
      </w:r>
      <w:r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ožujka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proteklu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kalendarsku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godinu.</w:t>
      </w:r>
    </w:p>
    <w:p w:rsidR="004F242B" w:rsidRPr="003E431F" w:rsidRDefault="004F242B" w:rsidP="004F242B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F92566" w:rsidRPr="003E431F" w:rsidRDefault="00F92566" w:rsidP="006427F5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VII.</w:t>
      </w:r>
      <w:r w:rsidR="00642091" w:rsidRPr="003E431F">
        <w:rPr>
          <w:rFonts w:eastAsia="Times New Roman"/>
          <w:lang w:eastAsia="hr-HR"/>
        </w:rPr>
        <w:t xml:space="preserve"> </w:t>
      </w:r>
      <w:r w:rsidR="00730267" w:rsidRPr="003E431F">
        <w:rPr>
          <w:rFonts w:eastAsia="Times New Roman"/>
          <w:lang w:eastAsia="hr-HR"/>
        </w:rPr>
        <w:t>UREĐAJI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LOŽENJE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PLINSKE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TURBINE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</w:t>
      </w:r>
      <w:r w:rsidR="005E172E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F242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peći.</w:t>
      </w:r>
    </w:p>
    <w:p w:rsidR="00F92566" w:rsidRPr="003E431F" w:rsidRDefault="00F92566" w:rsidP="004F242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na: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dizelske,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benzinske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IX.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ugrađuju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izvancestovne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strojeve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poljoprivrednim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gospodarstvima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neprerađeni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peradi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rafinerijska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rafinerija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mineralnih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produkti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grijanje,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materijala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zagrijavanje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grijanje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zatvorenih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poboljšali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mjestu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naknadno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namijenjen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pročišćavanje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zasebni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obnovu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katalizatora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katalitičkog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krekiranja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pretvaranje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sulfida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reaktore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kemijskoj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industriji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baterijske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koks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Cowper(ove)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krematorije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pogon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vozila,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zrakoplova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platformama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kotlove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utilizatore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sklopu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celuloze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</w:p>
    <w:p w:rsidR="00F92566" w:rsidRPr="003E431F" w:rsidRDefault="004F242B" w:rsidP="004F242B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F242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istraživačke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ispitivačke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postupaka.</w:t>
      </w:r>
    </w:p>
    <w:p w:rsidR="004F242B" w:rsidRPr="003E431F" w:rsidRDefault="004F242B" w:rsidP="004F242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</w:t>
      </w:r>
      <w:r w:rsidR="005E172E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F242B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402"/>
        <w:gridCol w:w="3256"/>
      </w:tblGrid>
      <w:tr w:rsidR="00F92566" w:rsidRPr="003E431F" w:rsidTr="005E5150">
        <w:trPr>
          <w:trHeight w:hRule="exact" w:val="3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92566" w:rsidRPr="003E431F" w:rsidRDefault="00F92566" w:rsidP="00BF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Uređaj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loženje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92566" w:rsidRPr="003E431F" w:rsidRDefault="00F92566" w:rsidP="00BF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Kruto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gorivo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gorivo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biomase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92566" w:rsidRPr="003E431F" w:rsidRDefault="00F92566" w:rsidP="00BF0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gorivo</w:t>
            </w:r>
          </w:p>
        </w:tc>
      </w:tr>
      <w:tr w:rsidR="001B2C7E" w:rsidRPr="003E431F" w:rsidTr="005E5150">
        <w:trPr>
          <w:trHeight w:hRule="exact" w:val="3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Mali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(MUL)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F7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</w:t>
            </w:r>
            <w:r w:rsidR="00F73BF4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MUL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</w:p>
        </w:tc>
      </w:tr>
      <w:tr w:rsidR="001B2C7E" w:rsidRPr="003E431F" w:rsidTr="005E5150">
        <w:trPr>
          <w:trHeight w:hRule="exact" w:val="3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Srednji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(SUL)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F7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F73BF4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SUL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</w:p>
        </w:tc>
      </w:tr>
      <w:tr w:rsidR="001B2C7E" w:rsidRPr="003E431F" w:rsidTr="005E5150">
        <w:trPr>
          <w:trHeight w:hRule="exact" w:val="3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Veliki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(VUL)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F7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</w:t>
            </w:r>
            <w:r w:rsidR="00F73BF4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B2C7E" w:rsidRPr="003E431F" w:rsidRDefault="001B2C7E" w:rsidP="001B2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VUL</w:t>
            </w:r>
          </w:p>
        </w:tc>
      </w:tr>
    </w:tbl>
    <w:p w:rsidR="00F92566" w:rsidRPr="003E431F" w:rsidRDefault="00F92566" w:rsidP="004F242B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383"/>
      </w:tblGrid>
      <w:tr w:rsidR="00F92566" w:rsidRPr="003E431F" w:rsidTr="00100FAD">
        <w:trPr>
          <w:trHeight w:hRule="exact" w:val="502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92566" w:rsidRPr="003E431F" w:rsidRDefault="00F92566" w:rsidP="00B2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(PT)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92566" w:rsidRPr="003E431F" w:rsidRDefault="0065580D" w:rsidP="00B2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</w:tc>
      </w:tr>
      <w:tr w:rsidR="00F73BF4" w:rsidRPr="003E431F" w:rsidTr="005E5150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BF4" w:rsidRPr="003E431F" w:rsidRDefault="00F73BF4" w:rsidP="00602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Srednje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(SPT)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BF4" w:rsidRPr="003E431F" w:rsidRDefault="00F73BF4" w:rsidP="00F7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</w:p>
        </w:tc>
      </w:tr>
      <w:tr w:rsidR="00F73BF4" w:rsidRPr="003E431F" w:rsidTr="005E5150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BF4" w:rsidRPr="003E431F" w:rsidRDefault="00F73BF4" w:rsidP="00F7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Velike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(V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PT</w:t>
            </w:r>
            <w:r w:rsidR="00602387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73BF4" w:rsidRPr="003E431F" w:rsidRDefault="00F73BF4" w:rsidP="00F7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MW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VPT</w:t>
            </w:r>
          </w:p>
        </w:tc>
      </w:tr>
    </w:tbl>
    <w:p w:rsidR="002F1921" w:rsidRPr="003E431F" w:rsidRDefault="002F1921" w:rsidP="00BF082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F92566" w:rsidRPr="003E431F" w:rsidRDefault="005E172E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76</w:t>
      </w:r>
      <w:r w:rsidR="00F92566" w:rsidRPr="003E431F">
        <w:rPr>
          <w:rFonts w:eastAsia="Times New Roman"/>
          <w:lang w:eastAsia="hr-HR"/>
        </w:rPr>
        <w:t>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izuzimajući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fluidiziranom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sloju,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g/MJ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pepela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malim,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lignit,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treset)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IX.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0B7B2B" w:rsidRPr="003E431F" w:rsidRDefault="000B7B2B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5E172E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77</w:t>
      </w:r>
      <w:r w:rsidR="00F92566" w:rsidRPr="003E431F">
        <w:rPr>
          <w:rFonts w:eastAsia="Times New Roman"/>
          <w:lang w:eastAsia="hr-HR"/>
        </w:rPr>
        <w:t>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trenutno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prijelazu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prijelaza,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prijelaz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prijelaza.</w:t>
      </w:r>
    </w:p>
    <w:p w:rsidR="00F92566" w:rsidRPr="003E431F" w:rsidRDefault="00F92566" w:rsidP="000B7B2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istodobno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98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jednadžbi:</w:t>
      </w:r>
    </w:p>
    <w:p w:rsidR="00EE7413" w:rsidRPr="003E431F" w:rsidRDefault="00EE7413" w:rsidP="003A1A68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0B7B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</w:t>
      </w:r>
    </w:p>
    <w:p w:rsidR="00F92566" w:rsidRPr="003E431F" w:rsidRDefault="00F92566" w:rsidP="00A44D64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uk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=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∑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(Q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/Q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uk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·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</w:p>
    <w:p w:rsidR="00F92566" w:rsidRPr="003E431F" w:rsidRDefault="00F92566" w:rsidP="000B7B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=1</w:t>
      </w:r>
    </w:p>
    <w:p w:rsidR="00F92566" w:rsidRPr="003E431F" w:rsidRDefault="00F92566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uk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miješanim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svedena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svedena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relevantna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pojedinačno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F08C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F08C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Uredbe)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Q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uk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unesena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miješanog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Q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unesena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indeks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F92566" w:rsidRPr="003E431F" w:rsidRDefault="000B7B2B" w:rsidP="000B7B2B">
      <w:pPr>
        <w:shd w:val="clear" w:color="auto" w:fill="FFFFFF"/>
        <w:tabs>
          <w:tab w:val="left" w:pos="993"/>
        </w:tabs>
        <w:spacing w:before="6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različitih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C53B86" w:rsidRPr="003E431F" w:rsidRDefault="00C53B86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se:</w:t>
      </w:r>
    </w:p>
    <w:p w:rsidR="00C53B8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ponderirane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množenjem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pojedinačne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isporučuje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dijeljenjem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umnoška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isporučuju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</w:p>
    <w:p w:rsidR="00C53B86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A1A6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agregiranjem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ponderiranih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53B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gorivo.</w:t>
      </w:r>
    </w:p>
    <w:p w:rsidR="000B7B2B" w:rsidRPr="003E431F" w:rsidRDefault="000B7B2B" w:rsidP="000B7B2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</w:t>
      </w:r>
      <w:r w:rsidR="005E172E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0B7B2B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kontrolirani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putem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zdravlje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ljudi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okoliš.</w:t>
      </w:r>
    </w:p>
    <w:p w:rsidR="00F92566" w:rsidRPr="003E431F" w:rsidRDefault="00F92566" w:rsidP="000B7B2B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kraće.</w:t>
      </w:r>
    </w:p>
    <w:p w:rsidR="000B7B2B" w:rsidRPr="003E431F" w:rsidRDefault="000B7B2B" w:rsidP="000B7B2B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80CE1" w:rsidRPr="003E431F" w:rsidRDefault="00380CE1" w:rsidP="00D52985">
      <w:pPr>
        <w:shd w:val="clear" w:color="auto" w:fill="FFFFFF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Akumulacija</w:t>
      </w:r>
    </w:p>
    <w:p w:rsidR="00380CE1" w:rsidRPr="003E431F" w:rsidRDefault="00380CE1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</w:t>
      </w:r>
      <w:r w:rsidR="005E172E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380CE1" w:rsidRPr="003E431F" w:rsidRDefault="00380CE1" w:rsidP="000B7B2B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slučaju:</w:t>
      </w:r>
    </w:p>
    <w:p w:rsidR="00380CE1" w:rsidRPr="003E431F" w:rsidRDefault="000B7B2B" w:rsidP="00C00289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</w:t>
      </w:r>
    </w:p>
    <w:p w:rsidR="00380CE1" w:rsidRPr="003E431F" w:rsidRDefault="000B7B2B" w:rsidP="00C00289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ekonomske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čimbenike,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mišljenju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dimnjak.</w:t>
      </w:r>
    </w:p>
    <w:p w:rsidR="000B7B2B" w:rsidRPr="003E431F" w:rsidRDefault="000B7B2B" w:rsidP="000B7B2B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80CE1" w:rsidRPr="003E431F" w:rsidRDefault="00380CE1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5E172E" w:rsidRPr="003E431F">
        <w:rPr>
          <w:rFonts w:eastAsia="Times New Roman"/>
          <w:lang w:eastAsia="hr-HR"/>
        </w:rPr>
        <w:t>80</w:t>
      </w:r>
      <w:r w:rsidRPr="003E431F">
        <w:rPr>
          <w:rFonts w:eastAsia="Times New Roman"/>
          <w:lang w:eastAsia="hr-HR"/>
        </w:rPr>
        <w:t>.</w:t>
      </w:r>
    </w:p>
    <w:p w:rsidR="00380CE1" w:rsidRPr="003E431F" w:rsidRDefault="00380CE1" w:rsidP="00071D3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Kombinacija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odvojenih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turbinom,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njegova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smislu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slučaju:</w:t>
      </w:r>
    </w:p>
    <w:p w:rsidR="00380CE1" w:rsidRPr="003E431F" w:rsidRDefault="00071D36" w:rsidP="00071D36">
      <w:pPr>
        <w:shd w:val="clear" w:color="auto" w:fill="FFFFFF"/>
        <w:tabs>
          <w:tab w:val="left" w:pos="993"/>
        </w:tabs>
        <w:spacing w:before="12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dimnjak</w:t>
      </w:r>
    </w:p>
    <w:p w:rsidR="00380CE1" w:rsidRPr="003E431F" w:rsidRDefault="00071D36" w:rsidP="00071D36">
      <w:pPr>
        <w:shd w:val="clear" w:color="auto" w:fill="FFFFFF"/>
        <w:tabs>
          <w:tab w:val="left" w:pos="993"/>
        </w:tabs>
        <w:spacing w:before="6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uzimajući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ekonomske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čimbenike,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odvojenih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03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03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03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03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konstruirana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podnijeli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poslije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njega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ispuštati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CE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dimnjak.</w:t>
      </w:r>
    </w:p>
    <w:p w:rsidR="00380CE1" w:rsidRPr="003E431F" w:rsidRDefault="00380CE1" w:rsidP="00071D3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mišljenju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51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odlučuje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</w:p>
    <w:p w:rsidR="00380CE1" w:rsidRPr="003E431F" w:rsidRDefault="00380CE1" w:rsidP="00071D3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kombinacije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MW.</w:t>
      </w:r>
    </w:p>
    <w:p w:rsidR="00B173C2" w:rsidRPr="003E431F" w:rsidRDefault="00B173C2" w:rsidP="00071D3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566" w:rsidRPr="003E431F" w:rsidRDefault="00F92566" w:rsidP="00A44D6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operatera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380CE1" w:rsidRPr="003E431F">
        <w:rPr>
          <w:rFonts w:eastAsia="Times New Roman"/>
          <w:lang w:eastAsia="hr-HR"/>
        </w:rPr>
        <w:t>8</w:t>
      </w:r>
      <w:r w:rsidR="005E172E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D529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73BF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73BF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3BF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3BF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Registar).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854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javna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podatke: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Naziv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sjedište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Adresu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nalaze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(MW)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početak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nepoznat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započeo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Sektor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djelatnosti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(šifra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djelatnosti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NKD-u)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prosječno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</w:t>
      </w:r>
    </w:p>
    <w:p w:rsidR="00F92566" w:rsidRPr="003E431F" w:rsidRDefault="00B173C2" w:rsidP="00FD080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izjavu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stavcima.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upis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tiskanom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obrascu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619D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uspostave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zaprimljene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upis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D529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E49A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0854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dodjeljuje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854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dužn</w:t>
      </w:r>
      <w:r w:rsidR="00D5298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unijeti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obavijestiti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rekonstruiranog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Prestanak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(9)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statusne,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vlasničke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(promjene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naziva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matičnog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subjekta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(MBS),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matičnog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(MBO)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OIB-a)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Registar.</w:t>
      </w:r>
    </w:p>
    <w:p w:rsidR="00F92566" w:rsidRPr="003E431F" w:rsidRDefault="00F92566" w:rsidP="00B173C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(10)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854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dodjeljuje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broj.</w:t>
      </w:r>
    </w:p>
    <w:p w:rsidR="00EE7413" w:rsidRPr="003E431F" w:rsidRDefault="00EE7413" w:rsidP="00A44D6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5E172E" w:rsidRPr="003E431F">
        <w:rPr>
          <w:rFonts w:eastAsia="Times New Roman"/>
          <w:lang w:eastAsia="hr-HR"/>
        </w:rPr>
        <w:t>82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FD080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(mrežna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aplikacija)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omogućava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prikaz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podataka.</w:t>
      </w:r>
    </w:p>
    <w:p w:rsidR="00F92566" w:rsidRPr="003E431F" w:rsidRDefault="00F92566" w:rsidP="00FD080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Korisničko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lozinka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(korisnički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kreira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putem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ISZO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portalu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E6B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08541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F92566" w:rsidRPr="003E431F" w:rsidRDefault="00F92566" w:rsidP="00FD0806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zatražiti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pristup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programskoj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F92566" w:rsidRPr="003E431F" w:rsidRDefault="00F92566" w:rsidP="00FD080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obveznik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potpuni,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dosljedni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vjerodostojni.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CD056C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odgađanja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obavijestiti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planiranoj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utjecati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emisije.</w:t>
      </w:r>
    </w:p>
    <w:p w:rsidR="00F92566" w:rsidRPr="003E431F" w:rsidRDefault="00F92566" w:rsidP="00CD056C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podrazumijevaju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F92566" w:rsidRPr="003E431F" w:rsidRDefault="00F92566" w:rsidP="00CD056C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odlučuje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trebaju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prilagoditi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novim.</w:t>
      </w:r>
    </w:p>
    <w:p w:rsidR="00F92566" w:rsidRPr="003E431F" w:rsidRDefault="00F92566" w:rsidP="00CD056C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obavješćuje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0EF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Registar.</w:t>
      </w:r>
    </w:p>
    <w:p w:rsidR="00400ECB" w:rsidRPr="003E431F" w:rsidRDefault="00400ECB" w:rsidP="00CD056C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643F8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3F8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</w:t>
      </w:r>
      <w:r w:rsidR="00643F8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</w:t>
      </w:r>
      <w:r w:rsidR="00643F8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sekundarnu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zadovoljavanja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trajno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djelovanje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opreme.</w:t>
      </w:r>
    </w:p>
    <w:p w:rsidR="00183096" w:rsidRPr="003E431F" w:rsidRDefault="0018309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koristi.</w:t>
      </w:r>
    </w:p>
    <w:p w:rsidR="00183096" w:rsidRPr="003E431F" w:rsidRDefault="0018309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neusklađenosti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potpuno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obustaviti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bude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uspostave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neprekidno,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otklonjeno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prekinuti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uzrokuje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479C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zamjenski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uzrokuje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članka.</w:t>
      </w:r>
    </w:p>
    <w:p w:rsidR="00482B71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redovito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turbini.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omogućuje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</w:t>
      </w:r>
      <w:r w:rsidR="00704DF6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čuva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sljedeće: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12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B4EA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81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relevantni,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ažuriranu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verziju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upotrijebljenih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neispravnom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kvarovima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6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neusklađenostima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poduzetim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mjerama,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čuvaju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odgađanja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pripadnik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zatraži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informacije.</w:t>
      </w:r>
    </w:p>
    <w:p w:rsidR="00400ECB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704DF6" w:rsidRPr="003E431F">
        <w:rPr>
          <w:rFonts w:eastAsia="Times New Roman"/>
          <w:lang w:eastAsia="hr-HR"/>
        </w:rPr>
        <w:t>90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svibnja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procijeniti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zadovoljeni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da: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skladištenje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transport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ekonomski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izvediv</w:t>
      </w:r>
    </w:p>
    <w:p w:rsidR="00F92566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ekonomski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izvediva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modernizacija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hvatanje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dioksida.</w:t>
      </w:r>
    </w:p>
    <w:p w:rsidR="00F92566" w:rsidRPr="003E431F" w:rsidRDefault="00F92566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zadovoljeni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zdravstvenom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lokaciji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prikupljanje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komprimiranje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dioksida.</w:t>
      </w:r>
    </w:p>
    <w:p w:rsidR="00400ECB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5580D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F92566" w:rsidRPr="003E431F" w:rsidRDefault="00F92566" w:rsidP="0065580D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Mali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5580D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turbine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korekcije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standardiziranom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0B4EA8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92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zonama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zona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strožih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učinkovito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doprinijeti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znatnom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poboljšanju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Akcijskim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poboljšanje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suglasnost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gospodarstva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poduzetništva.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razinama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ostvarivima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najboljih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raspoloživih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tehnologija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tehnologija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troškovima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državama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33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članicama,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nevladinim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organizacijama.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0B4E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C06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EE7413" w:rsidRPr="003E431F" w:rsidRDefault="00EE7413" w:rsidP="0065580D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A44D6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turbine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određeno.</w:t>
      </w:r>
    </w:p>
    <w:p w:rsidR="00052D49" w:rsidRPr="003E431F" w:rsidRDefault="00052D49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E405E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domaće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karakteristika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42625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2E0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stupnjevi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</w:p>
    <w:p w:rsidR="00BB06E6" w:rsidRPr="003E431F" w:rsidRDefault="00BB06E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405E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opravdanosti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nemogućnosti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stupnjeva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05E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odlučuje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</w:p>
    <w:p w:rsidR="00F92566" w:rsidRPr="003E431F" w:rsidRDefault="00642091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E405E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zajedničkog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ulaznoj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snazi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cijelog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F92566" w:rsidRPr="003E431F" w:rsidRDefault="00BB06E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</w:t>
      </w:r>
      <w:r w:rsidR="00E405E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075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80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ograničenog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841D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čitavog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380CE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korekcije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destilacijske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preradbene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ostatke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rafiniranju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sirove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B0755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daljnjem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tekstu: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10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10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razmjerno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se:</w:t>
      </w:r>
    </w:p>
    <w:p w:rsidR="00F92566" w:rsidRPr="003E431F" w:rsidRDefault="00F92566" w:rsidP="00400ECB">
      <w:pPr>
        <w:shd w:val="clear" w:color="auto" w:fill="FFFFFF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</w:p>
    <w:p w:rsidR="00F92566" w:rsidRPr="003E431F" w:rsidRDefault="00F92566" w:rsidP="00400ECB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učinkom),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množenjem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faktorom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umanjivanjem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F92566" w:rsidRPr="003E431F" w:rsidRDefault="00F92566" w:rsidP="00400ECB">
      <w:pPr>
        <w:shd w:val="clear" w:color="auto" w:fill="FFFFFF"/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jednadžbi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DF105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uvrštava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uzrokovati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povećane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DF105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DF105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plamenikom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karakteristikama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korekcije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proširuje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</w:t>
      </w:r>
      <w:r w:rsidR="00D427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D427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utjecala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B75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B75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snazi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cijelog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posljedice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utječe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7B75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7B75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427A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promijenjen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čitavog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izgradnje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proširenja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razmotriti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ekonomsku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izvodljivost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</w:t>
      </w:r>
      <w:r w:rsidR="00704DF6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vezana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različitih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starosti,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pripadaju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grupu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okoliša).</w:t>
      </w:r>
    </w:p>
    <w:p w:rsidR="00400ECB" w:rsidRPr="003E431F" w:rsidRDefault="00400ECB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441F7" w:rsidRPr="003E431F" w:rsidRDefault="00F441F7" w:rsidP="00B209B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704DF6" w:rsidRPr="003E431F">
        <w:rPr>
          <w:rFonts w:eastAsia="Times New Roman"/>
          <w:lang w:eastAsia="hr-HR"/>
        </w:rPr>
        <w:t>100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7B75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petogodišnji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B75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995FE0" w:rsidRPr="003E431F" w:rsidRDefault="00995FE0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povećati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softHyphen/>
        <w:t>1  000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okolnostima:</w:t>
      </w:r>
    </w:p>
    <w:p w:rsidR="00995FE0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rezervne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povezanim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otocima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otoka</w:t>
      </w:r>
    </w:p>
    <w:p w:rsidR="00995FE0" w:rsidRPr="003E431F" w:rsidRDefault="00400ECB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hladnih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vremenskih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95FE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uvjeta.</w:t>
      </w:r>
    </w:p>
    <w:p w:rsidR="00995FE0" w:rsidRPr="003E431F" w:rsidRDefault="00995FE0" w:rsidP="00400EC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B75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2F1921" w:rsidRPr="003E431F" w:rsidRDefault="002F1921" w:rsidP="00B209B3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4901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proizvedene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petogodišnji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isporučeno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javnoj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mreži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isporuku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energije.</w:t>
      </w:r>
    </w:p>
    <w:p w:rsidR="00995FE0" w:rsidRPr="003E431F" w:rsidRDefault="00995FE0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7B5CA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3E76B6" w:rsidRPr="003E431F" w:rsidRDefault="003E76B6" w:rsidP="00400EC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83473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pokretanje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komprimiranje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sigurnost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nacionalnog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transport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473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473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3E76B6" w:rsidRPr="003E431F" w:rsidRDefault="003E76B6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83473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trogodišnji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473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3E76B6" w:rsidRPr="003E431F" w:rsidRDefault="003E76B6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(SIS)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mikro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(MIS),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3E76B6" w:rsidRPr="003E431F" w:rsidRDefault="003E76B6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95FE0" w:rsidRPr="003E431F" w:rsidRDefault="00995FE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995FE0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smješteni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zonama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3367F5" w:rsidRPr="003E431F" w:rsidRDefault="00995FE0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C56D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367F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3E76B6" w:rsidRPr="003E431F" w:rsidRDefault="003E76B6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441F7" w:rsidRPr="003E431F" w:rsidRDefault="00F441F7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995FE0"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preostalih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(17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sati).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42625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2016.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2023.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dušikove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okside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dušikove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okside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isteka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prestaje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</w:p>
    <w:p w:rsidR="003E76B6" w:rsidRPr="003E431F" w:rsidRDefault="003E76B6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41F7" w:rsidRPr="003E431F" w:rsidRDefault="00F441F7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datum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sudjelovao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električnom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karakteristika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mogućnosti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preostalih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(18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sati).</w:t>
      </w:r>
    </w:p>
    <w:p w:rsidR="00F441F7" w:rsidRPr="003E431F" w:rsidRDefault="00F441F7" w:rsidP="003E76B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okoliša).</w:t>
      </w:r>
    </w:p>
    <w:p w:rsidR="00F441F7" w:rsidRPr="003E431F" w:rsidRDefault="00642091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1059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postojećeg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059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059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dostavljati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podatke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ožujka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proteklu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kalendarsku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godinu.</w:t>
      </w:r>
    </w:p>
    <w:p w:rsidR="00F441F7" w:rsidRPr="003E431F" w:rsidRDefault="00F441F7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1059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svibnja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proteklu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odnosi.</w:t>
      </w:r>
    </w:p>
    <w:p w:rsidR="00F441F7" w:rsidRPr="003E431F" w:rsidRDefault="00F441F7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1059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isteka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3E76B6" w:rsidRPr="003E431F" w:rsidRDefault="003E76B6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F441F7"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2E3659" w:rsidRPr="003E431F" w:rsidRDefault="002E3659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zadovoljava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uvjete:</w:t>
      </w:r>
    </w:p>
    <w:p w:rsidR="002E3659" w:rsidRPr="003E431F" w:rsidRDefault="003E76B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MW</w:t>
      </w:r>
    </w:p>
    <w:p w:rsidR="002E3659" w:rsidRPr="003E431F" w:rsidRDefault="003E76B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podnesen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pušteno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:rsidR="002E3659" w:rsidRPr="003E431F" w:rsidRDefault="003E76B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prosjeka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petogodišnje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javnoj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mreži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365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energije</w:t>
      </w:r>
    </w:p>
    <w:p w:rsidR="00F441F7" w:rsidRPr="003E431F" w:rsidRDefault="002E3659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42625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dušikove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okside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udovoljavati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F2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</w:p>
    <w:p w:rsidR="00F92566" w:rsidRPr="003E431F" w:rsidRDefault="00F9256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isporučene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javnoj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mreži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isporuku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petogodišnji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odnosi.</w:t>
      </w:r>
    </w:p>
    <w:p w:rsidR="00A5425F" w:rsidRPr="003E431F" w:rsidRDefault="00F9256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441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proteklu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kalendarsku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odnosi.</w:t>
      </w:r>
    </w:p>
    <w:p w:rsidR="003E76B6" w:rsidRPr="003E431F" w:rsidRDefault="003E76B6" w:rsidP="003E76B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425F" w:rsidRPr="003E431F" w:rsidRDefault="00A5425F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</w:t>
      </w:r>
      <w:r w:rsidR="00704DF6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A5425F" w:rsidRPr="003E431F" w:rsidRDefault="00A5425F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izoliranog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A5425F" w:rsidRPr="003E431F" w:rsidRDefault="00A5425F" w:rsidP="003E76B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minimalno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udovoljavati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A5425F" w:rsidRPr="003E431F" w:rsidRDefault="00642091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gorivima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prva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srpnja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1987.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425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A5425F" w:rsidRPr="003E431F" w:rsidRDefault="00A5425F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isteka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prestaju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260B69" w:rsidRPr="003E431F" w:rsidRDefault="00260B69" w:rsidP="003E76B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10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posljedica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ozbiljne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nestašice,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mjeseci.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naglog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sekundarnom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pročišćavanje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održavanjem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izuzeća.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opravdanost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duljeg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roka.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13B2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F92566" w:rsidRPr="003E431F" w:rsidRDefault="00F92566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izuzećima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odmah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obavješćuje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komisiju.</w:t>
      </w:r>
    </w:p>
    <w:p w:rsidR="00260B69" w:rsidRPr="003E431F" w:rsidRDefault="00260B69" w:rsidP="00260B6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5E6B20">
      <w:pPr>
        <w:shd w:val="clear" w:color="auto" w:fill="FFFFFF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</w:t>
      </w:r>
      <w:r w:rsidR="00A33BD8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a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C46026" w:rsidRPr="003E431F" w:rsidRDefault="00553EBB" w:rsidP="00553EBB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F92566" w:rsidRPr="003E431F" w:rsidRDefault="00C4602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mješavine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najvjerojatnije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rezultirati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razinom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uobičajene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</w:p>
    <w:p w:rsidR="00C46026" w:rsidRPr="003E431F" w:rsidRDefault="00C4602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mjerenjima.</w:t>
      </w:r>
    </w:p>
    <w:p w:rsidR="00C46026" w:rsidRPr="003E431F" w:rsidRDefault="00C4602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C064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automatiziranih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umjeravanje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znanstvene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F116D6" w:rsidRPr="003E431F" w:rsidRDefault="00F116D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odobrilo.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kvalitete.</w:t>
      </w:r>
    </w:p>
    <w:p w:rsidR="00C46026" w:rsidRPr="003E431F" w:rsidRDefault="00C4602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116D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parametara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rada: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tlak,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osušen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36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plinovima.</w:t>
      </w:r>
    </w:p>
    <w:p w:rsidR="00C46026" w:rsidRPr="003E431F" w:rsidRDefault="00F116D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(7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Automatizirani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podložni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paralelnih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46026" w:rsidRPr="003E431F" w:rsidRDefault="00F116D6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(8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4602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260B69" w:rsidRPr="003E431F" w:rsidRDefault="00260B69" w:rsidP="00260B69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DC1D83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F92566" w:rsidRPr="003E431F" w:rsidRDefault="00F92566" w:rsidP="00DC1D83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Zacrnjenje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godišnje.</w:t>
      </w:r>
    </w:p>
    <w:p w:rsidR="00D07E51" w:rsidRPr="003E431F" w:rsidRDefault="00D07E51" w:rsidP="00DC1D83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najmanje: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80" w:after="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80" w:after="8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Umjesto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protekne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sati: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trostruko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uvećanom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maksimalnom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maksimalnom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28546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za: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Uredbi</w:t>
      </w:r>
    </w:p>
    <w:p w:rsidR="00F92566" w:rsidRPr="003E431F" w:rsidRDefault="00D07E51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četiri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registracije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ovisno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nastupilo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kasnije.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umjesto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odobrilo.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omjer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između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obavezno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provođenje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mjerenja.</w:t>
      </w:r>
    </w:p>
    <w:p w:rsidR="00F92566" w:rsidRPr="003E431F" w:rsidRDefault="00F92566" w:rsidP="00D07E5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Uzorkovanje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analiza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parametara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pravilniku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izvora.</w:t>
      </w:r>
    </w:p>
    <w:p w:rsidR="00D07E51" w:rsidRPr="003E431F" w:rsidRDefault="00D07E51" w:rsidP="00D07E51">
      <w:pPr>
        <w:shd w:val="clear" w:color="auto" w:fill="FFFFFF"/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C70A2F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mjerenjem.</w:t>
      </w:r>
    </w:p>
    <w:p w:rsidR="00A46746" w:rsidRPr="003E431F" w:rsidRDefault="00A4674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A28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A28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mjerenjem.</w:t>
      </w:r>
    </w:p>
    <w:p w:rsidR="00F92566" w:rsidRPr="003E431F" w:rsidRDefault="00F9256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C70A2F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A28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A28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mjerenjem.</w:t>
      </w:r>
    </w:p>
    <w:p w:rsidR="00F92566" w:rsidRPr="003E431F" w:rsidRDefault="00F9256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9615F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C70A2F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674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obveza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mjerenja.</w:t>
      </w:r>
    </w:p>
    <w:p w:rsidR="00F92566" w:rsidRPr="003E431F" w:rsidRDefault="00F9256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9615F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sekundarnu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zadovoljavanja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mjerenjem.</w:t>
      </w:r>
    </w:p>
    <w:p w:rsidR="00F92566" w:rsidRPr="003E431F" w:rsidRDefault="00F92566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9615F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lignit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godišnje.</w:t>
      </w:r>
    </w:p>
    <w:p w:rsidR="005F60B2" w:rsidRPr="003E431F" w:rsidRDefault="005F60B2" w:rsidP="005F60B2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E332A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5</w:t>
      </w:r>
      <w:r w:rsidR="00F92566" w:rsidRPr="003E431F">
        <w:rPr>
          <w:rFonts w:eastAsia="Times New Roman"/>
          <w:lang w:eastAsia="hr-HR"/>
        </w:rPr>
        <w:t>.</w:t>
      </w:r>
    </w:p>
    <w:p w:rsidR="00F92566" w:rsidRPr="003E431F" w:rsidRDefault="00F92566" w:rsidP="005F60B2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provoditi:</w:t>
      </w:r>
    </w:p>
    <w:p w:rsidR="00F92566" w:rsidRPr="003E431F" w:rsidRDefault="005F60B2" w:rsidP="005F60B2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životni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</w:p>
    <w:p w:rsidR="0061591F" w:rsidRPr="003E431F" w:rsidRDefault="005F60B2" w:rsidP="005F60B2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gorivo</w:t>
      </w:r>
    </w:p>
    <w:p w:rsidR="0061591F" w:rsidRPr="003E431F" w:rsidRDefault="005F60B2" w:rsidP="005F60B2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poznatim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slučajevima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9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72A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:rsidR="00F92566" w:rsidRPr="003E431F" w:rsidRDefault="005F60B2" w:rsidP="005F60B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71F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nikakvim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vrijednosti.</w:t>
      </w:r>
    </w:p>
    <w:p w:rsidR="005F60B2" w:rsidRPr="003E431F" w:rsidRDefault="005F60B2" w:rsidP="005F60B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E332A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6</w:t>
      </w:r>
      <w:r w:rsidR="00F92566" w:rsidRPr="003E431F">
        <w:rPr>
          <w:rFonts w:eastAsia="Times New Roman"/>
          <w:lang w:eastAsia="hr-HR"/>
        </w:rPr>
        <w:t>.</w:t>
      </w:r>
    </w:p>
    <w:p w:rsidR="00F92566" w:rsidRPr="003E431F" w:rsidRDefault="00F92566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posebno.</w:t>
      </w:r>
    </w:p>
    <w:p w:rsidR="00F92566" w:rsidRPr="003E431F" w:rsidRDefault="00F92566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posebno.</w:t>
      </w:r>
    </w:p>
    <w:p w:rsidR="005F60B2" w:rsidRPr="003E431F" w:rsidRDefault="005F60B2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1B2C7E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</w:t>
      </w:r>
      <w:r w:rsidR="00704DF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B85F34" w:rsidRPr="003E431F" w:rsidRDefault="00203CCE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usporedbom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okoliša).</w:t>
      </w:r>
    </w:p>
    <w:p w:rsidR="00B85F34" w:rsidRPr="003E431F" w:rsidRDefault="00113C58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5F3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5F60B2" w:rsidRPr="003E431F" w:rsidRDefault="005F60B2" w:rsidP="001B2C7E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C58" w:rsidRPr="003E431F" w:rsidRDefault="00113C58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</w:t>
      </w:r>
      <w:r w:rsidR="009615F9" w:rsidRPr="003E431F">
        <w:rPr>
          <w:rFonts w:eastAsia="Times New Roman"/>
          <w:lang w:eastAsia="hr-HR"/>
        </w:rPr>
        <w:t>a</w:t>
      </w:r>
      <w:r w:rsidRPr="003E431F">
        <w:rPr>
          <w:rFonts w:eastAsia="Times New Roman"/>
          <w:lang w:eastAsia="hr-HR"/>
        </w:rPr>
        <w:t>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FE332A"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5F60B2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203CC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</w:t>
      </w:r>
      <w:r w:rsidR="00203CC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matra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25E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08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32F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svake od serija mjerenja ne prelaze GVE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A2D63" w:rsidRPr="003E431F" w:rsidRDefault="00CA2D63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4D3A29" w:rsidRPr="003E431F" w:rsidRDefault="004D3A29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odobrilo.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56B21" w:rsidRPr="003E431F" w:rsidRDefault="00556B21" w:rsidP="005F60B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A33BD8"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Prilozima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godini:</w:t>
      </w:r>
    </w:p>
    <w:p w:rsidR="00F92566" w:rsidRPr="003E431F" w:rsidRDefault="00556B21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F92566" w:rsidRPr="003E431F" w:rsidRDefault="00556B21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24-satne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1,1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F92566" w:rsidRPr="003E431F" w:rsidRDefault="00556B21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F92566" w:rsidRPr="003E431F" w:rsidRDefault="00F92566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način:</w:t>
      </w:r>
    </w:p>
    <w:p w:rsidR="00F92566" w:rsidRPr="003E431F" w:rsidRDefault="00556B21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važećih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oduzme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pouzdanosti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izrazu:</w:t>
      </w:r>
    </w:p>
    <w:p w:rsidR="00DC46CA" w:rsidRPr="003E431F" w:rsidRDefault="00DC46CA" w:rsidP="00326976">
      <w:pPr>
        <w:shd w:val="clear" w:color="auto" w:fill="FFFFFF"/>
        <w:tabs>
          <w:tab w:val="left" w:pos="993"/>
        </w:tabs>
        <w:spacing w:before="120" w:after="120" w:line="240" w:lineRule="auto"/>
        <w:ind w:firstLine="993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231F20"/>
              <w:sz w:val="24"/>
              <w:szCs w:val="24"/>
              <w:lang w:eastAsia="hr-HR"/>
            </w:rPr>
            <m:t xml:space="preserve">V = N- </m:t>
          </m:r>
          <m:d>
            <m:dPr>
              <m:ctrl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>N</m:t>
              </m:r>
              <m: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>·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  <m:t>nmj</m:t>
                  </m:r>
                </m:sub>
              </m:sSub>
            </m:e>
          </m:d>
        </m:oMath>
      </m:oMathPara>
    </w:p>
    <w:p w:rsidR="00DC46CA" w:rsidRPr="003E431F" w:rsidRDefault="00DC46CA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993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DC46CA" w:rsidRPr="003E431F" w:rsidRDefault="00DC46CA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DC46CA" w:rsidRPr="003E431F" w:rsidRDefault="006427F5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993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231F20"/>
                  <w:sz w:val="24"/>
                  <w:szCs w:val="24"/>
                  <w:lang w:eastAsia="hr-H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>0,95</m:t>
              </m:r>
            </m:sub>
          </m:sSub>
          <m:r>
            <w:rPr>
              <w:rFonts w:ascii="Cambria Math" w:eastAsia="Times New Roman" w:hAnsi="Cambria Math" w:cs="Times New Roman"/>
              <w:color w:val="231F20"/>
              <w:sz w:val="24"/>
              <w:szCs w:val="24"/>
              <w:lang w:eastAsia="hr-HR"/>
            </w:rPr>
            <m:t xml:space="preserve"> ·</m:t>
          </m:r>
          <m:d>
            <m:dPr>
              <m:ctrl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 xml:space="preserve">N </m:t>
              </m:r>
              <m: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>·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231F20"/>
                  <w:sz w:val="24"/>
                  <w:szCs w:val="24"/>
                  <w:lang w:eastAsia="hr-HR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231F20"/>
                      <w:sz w:val="24"/>
                      <w:szCs w:val="24"/>
                      <w:lang w:eastAsia="hr-HR"/>
                    </w:rPr>
                    <m:t>nmj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231F20"/>
              <w:sz w:val="24"/>
              <w:szCs w:val="24"/>
              <w:lang w:eastAsia="hr-HR"/>
            </w:rPr>
            <m:t>≤ k·GVE</m:t>
          </m:r>
        </m:oMath>
      </m:oMathPara>
    </w:p>
    <w:p w:rsidR="00DC46CA" w:rsidRPr="003E431F" w:rsidRDefault="00DC46CA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993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556B21" w:rsidRPr="003E431F" w:rsidRDefault="00DC46CA" w:rsidP="00556B2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56B21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56B21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važeća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svedena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56B21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231F20"/>
                <w:sz w:val="24"/>
                <w:szCs w:val="24"/>
                <w:lang w:eastAsia="hr-H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31F20"/>
                <w:sz w:val="24"/>
                <w:szCs w:val="24"/>
                <w:lang w:eastAsia="hr-HR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231F20"/>
                <w:sz w:val="24"/>
                <w:szCs w:val="24"/>
                <w:lang w:eastAsia="hr-HR"/>
              </w:rPr>
              <m:t>0,95</m:t>
            </m:r>
          </m:sub>
        </m:sSub>
      </m:oMath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Studentove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razdiobe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stupnjeva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slobode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n=</w:t>
      </w:r>
      <w:r w:rsidR="00642091" w:rsidRPr="003E431F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i/>
          <w:color w:val="231F20"/>
          <w:sz w:val="24"/>
          <w:szCs w:val="24"/>
          <w:lang w:eastAsia="hr-HR"/>
        </w:rPr>
        <w:t>1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56B21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color w:val="231F20"/>
                <w:sz w:val="24"/>
                <w:szCs w:val="24"/>
                <w:lang w:eastAsia="hr-H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231F20"/>
                <w:sz w:val="24"/>
                <w:szCs w:val="24"/>
                <w:lang w:eastAsia="hr-HR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231F20"/>
                <w:sz w:val="24"/>
                <w:szCs w:val="24"/>
                <w:lang w:eastAsia="hr-HR"/>
              </w:rPr>
              <m:t>nmj</m:t>
            </m:r>
          </m:sub>
        </m:sSub>
      </m:oMath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apsolutna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nesigurnost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negativnom</w:t>
      </w:r>
      <w:r w:rsidR="004262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(-),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decimalno,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56B21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m:oMath>
        <m:r>
          <w:rPr>
            <w:rFonts w:ascii="Cambria Math" w:eastAsia="Times New Roman" w:hAnsi="Cambria Math" w:cs="Times New Roman"/>
            <w:color w:val="231F20"/>
            <w:sz w:val="24"/>
            <w:szCs w:val="24"/>
            <w:lang w:eastAsia="hr-HR"/>
          </w:rPr>
          <m:t>k</m:t>
        </m:r>
      </m:oMath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faktor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tablice,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decimalno,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npr.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DC46CA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=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0.3.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GVE-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Direktivi).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DC46CA" w:rsidRPr="003E431F" w:rsidRDefault="00556B21" w:rsidP="00556B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95%-tnog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intervala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pouzdanosti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postotke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DC46C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GVE:</w:t>
      </w:r>
    </w:p>
    <w:p w:rsidR="00DC46CA" w:rsidRPr="003E431F" w:rsidRDefault="00DC46CA" w:rsidP="00556B2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5628" w:type="dxa"/>
        <w:tblInd w:w="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121"/>
      </w:tblGrid>
      <w:tr w:rsidR="00DC46CA" w:rsidRPr="003E431F" w:rsidTr="00556B21">
        <w:trPr>
          <w:trHeight w:val="283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monoksid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10%</w:t>
            </w:r>
          </w:p>
        </w:tc>
      </w:tr>
      <w:tr w:rsidR="00DC46CA" w:rsidRPr="003E431F" w:rsidTr="00556B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sumporov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dioksid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20%</w:t>
            </w:r>
          </w:p>
        </w:tc>
      </w:tr>
      <w:tr w:rsidR="00DC46CA" w:rsidRPr="003E431F" w:rsidTr="00556B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dušikovi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oksidi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20%</w:t>
            </w:r>
          </w:p>
        </w:tc>
      </w:tr>
      <w:tr w:rsidR="00DC46CA" w:rsidRPr="003E431F" w:rsidTr="00556B2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C46CA" w:rsidRPr="003E431F" w:rsidRDefault="00DC46CA" w:rsidP="00556B21">
            <w:pPr>
              <w:shd w:val="clear" w:color="auto" w:fill="FFFFFF"/>
              <w:spacing w:before="120" w:after="120" w:line="240" w:lineRule="auto"/>
              <w:ind w:firstLine="283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30%</w:t>
            </w:r>
          </w:p>
        </w:tc>
      </w:tr>
    </w:tbl>
    <w:p w:rsidR="00451CC6" w:rsidRPr="003E431F" w:rsidRDefault="00556B21" w:rsidP="00DF32E6">
      <w:pPr>
        <w:shd w:val="clear" w:color="auto" w:fill="FFFFFF"/>
        <w:tabs>
          <w:tab w:val="left" w:pos="993"/>
        </w:tabs>
        <w:spacing w:before="12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oduzme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pouzdanosti</w:t>
      </w:r>
    </w:p>
    <w:p w:rsidR="00F92566" w:rsidRPr="003E431F" w:rsidRDefault="00556B21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nevažeće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neispravnog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funkcioniranja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51CC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neodržavanja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nevažećima</w:t>
      </w:r>
    </w:p>
    <w:p w:rsidR="00F92566" w:rsidRPr="003E431F" w:rsidRDefault="00556B21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deset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nevažeće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F3D0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postići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pouzdanost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emisija.</w:t>
      </w:r>
    </w:p>
    <w:p w:rsidR="00F92566" w:rsidRPr="003E431F" w:rsidRDefault="00F92566" w:rsidP="00556B2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1F79F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turbine.</w:t>
      </w:r>
    </w:p>
    <w:p w:rsidR="00F92566" w:rsidRPr="003E431F" w:rsidRDefault="00F92566" w:rsidP="00556B21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1F79F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posljedica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ozbiljne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nestašice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srednjoj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naglog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opskrbi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pribjeći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</w:p>
    <w:p w:rsidR="00556B21" w:rsidRPr="003E431F" w:rsidRDefault="00556B21" w:rsidP="00556B21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20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32697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godini:</w:t>
      </w:r>
    </w:p>
    <w:p w:rsidR="00F92566" w:rsidRPr="003E431F" w:rsidRDefault="00326976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(kalendarske)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F92566" w:rsidRPr="003E431F" w:rsidRDefault="00326976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48-satnih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1,1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F92566" w:rsidRPr="003E431F" w:rsidRDefault="00326976" w:rsidP="00326976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95%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48-satnih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1,1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F92566" w:rsidRPr="003E431F" w:rsidRDefault="00F92566" w:rsidP="0032697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pokazuju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kalendarskog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operativnog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zadovoljavaju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tražene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odsumporavanja.</w:t>
      </w:r>
    </w:p>
    <w:p w:rsidR="00F92566" w:rsidRPr="003E431F" w:rsidRDefault="00F92566" w:rsidP="0032697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isključivanjem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turbine.</w:t>
      </w:r>
    </w:p>
    <w:p w:rsidR="00326976" w:rsidRPr="003E431F" w:rsidRDefault="00326976" w:rsidP="00326976">
      <w:pPr>
        <w:shd w:val="clear" w:color="auto" w:fill="FFFFFF"/>
        <w:tabs>
          <w:tab w:val="left" w:pos="993"/>
        </w:tabs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F73BF4">
      <w:pPr>
        <w:shd w:val="clear" w:color="auto" w:fill="FFFFFF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Izvješćivanje</w:t>
      </w: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12</w:t>
      </w:r>
      <w:r w:rsidR="006D6E20" w:rsidRPr="003E431F">
        <w:rPr>
          <w:rFonts w:eastAsia="Times New Roman"/>
          <w:lang w:eastAsia="hr-HR"/>
        </w:rPr>
        <w:t>1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32697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33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razvrstanih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kapacitetu.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33BD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100FAD" w:rsidRPr="003E431F" w:rsidRDefault="00100FAD" w:rsidP="00EE7413">
      <w:pPr>
        <w:shd w:val="clear" w:color="auto" w:fill="FFFFFF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12</w:t>
      </w:r>
      <w:r w:rsidR="006D6E20" w:rsidRPr="003E431F">
        <w:rPr>
          <w:rFonts w:eastAsia="Times New Roman"/>
          <w:lang w:eastAsia="hr-HR"/>
        </w:rPr>
        <w:t>2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33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kvalitativnim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kvantitativnim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poduzetim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osiguranje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razvrstanih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kapacitetu.</w:t>
      </w:r>
    </w:p>
    <w:p w:rsidR="00F92566" w:rsidRPr="003E431F" w:rsidRDefault="00F9256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33BD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listopada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listopada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CB674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326976" w:rsidRPr="003E431F" w:rsidRDefault="0032697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2566" w:rsidRPr="003E431F" w:rsidRDefault="00F9256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12</w:t>
      </w:r>
      <w:r w:rsidR="006D6E20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F92566" w:rsidRPr="003E431F" w:rsidRDefault="00B209B3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</w:t>
      </w:r>
      <w:r w:rsidR="006D6E2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Europskoj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komisiji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256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izvješćivanja.</w:t>
      </w:r>
    </w:p>
    <w:p w:rsidR="002F1921" w:rsidRPr="003E431F" w:rsidRDefault="002F1921" w:rsidP="00F73BF4">
      <w:pPr>
        <w:shd w:val="clear" w:color="auto" w:fill="FFFFFF"/>
        <w:spacing w:before="100" w:after="1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02D47" w:rsidRPr="003E431F" w:rsidRDefault="00602D47" w:rsidP="006427F5">
      <w:pPr>
        <w:pStyle w:val="Naslov1"/>
      </w:pPr>
      <w:r w:rsidRPr="003E431F">
        <w:lastRenderedPageBreak/>
        <w:t>VIII.</w:t>
      </w:r>
      <w:r w:rsidR="00642091" w:rsidRPr="003E431F">
        <w:t xml:space="preserve"> </w:t>
      </w:r>
      <w:r w:rsidRPr="003E431F">
        <w:t>MOTOR</w:t>
      </w:r>
      <w:r w:rsidR="00730267" w:rsidRPr="003E431F">
        <w:t>I</w:t>
      </w:r>
      <w:r w:rsidR="00642091" w:rsidRPr="003E431F">
        <w:t xml:space="preserve"> </w:t>
      </w:r>
      <w:r w:rsidRPr="003E431F">
        <w:t>S</w:t>
      </w:r>
      <w:r w:rsidR="00642091" w:rsidRPr="003E431F">
        <w:t xml:space="preserve"> </w:t>
      </w:r>
      <w:r w:rsidRPr="003E431F">
        <w:t>UNUTARNJIM</w:t>
      </w:r>
      <w:r w:rsidR="00642091" w:rsidRPr="003E431F">
        <w:t xml:space="preserve"> </w:t>
      </w:r>
      <w:r w:rsidRPr="003E431F">
        <w:t>IZGARANJEM</w:t>
      </w:r>
    </w:p>
    <w:p w:rsidR="00602D47" w:rsidRPr="003E431F" w:rsidRDefault="00602D47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12</w:t>
      </w:r>
      <w:r w:rsidR="006D6E20" w:rsidRPr="003E431F">
        <w:t>4</w:t>
      </w:r>
      <w:r w:rsidRPr="003E431F">
        <w:t>.</w:t>
      </w:r>
    </w:p>
    <w:p w:rsidR="00602D47" w:rsidRPr="003E431F" w:rsidRDefault="00602D47" w:rsidP="00326976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električne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energije,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mehaničke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energije.</w:t>
      </w:r>
    </w:p>
    <w:p w:rsidR="00602D47" w:rsidRPr="003E431F" w:rsidRDefault="00602D47" w:rsidP="00326976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glavi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energije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nuždi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500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godišnje.</w:t>
      </w:r>
    </w:p>
    <w:p w:rsidR="00326976" w:rsidRPr="003E431F" w:rsidRDefault="00326976" w:rsidP="00326976">
      <w:pPr>
        <w:pStyle w:val="box455522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231F20"/>
        </w:rPr>
      </w:pPr>
    </w:p>
    <w:p w:rsidR="00602D47" w:rsidRPr="003E431F" w:rsidRDefault="00602D47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12</w:t>
      </w:r>
      <w:r w:rsidR="006D6E20" w:rsidRPr="003E431F">
        <w:t>5</w:t>
      </w:r>
      <w:r w:rsidRPr="003E431F">
        <w:t>.</w:t>
      </w:r>
    </w:p>
    <w:p w:rsidR="00602D47" w:rsidRPr="003E431F" w:rsidRDefault="00602D47" w:rsidP="00326976">
      <w:pPr>
        <w:pStyle w:val="box455522"/>
        <w:shd w:val="clear" w:color="auto" w:fill="FFFFFF"/>
        <w:spacing w:beforeAutospacing="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plinsko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gorivo.</w:t>
      </w:r>
    </w:p>
    <w:p w:rsidR="002F1921" w:rsidRPr="003E431F" w:rsidRDefault="002F1921" w:rsidP="00F73BF4">
      <w:pPr>
        <w:pStyle w:val="box455522"/>
        <w:shd w:val="clear" w:color="auto" w:fill="FFFFFF"/>
        <w:spacing w:beforeAutospacing="0" w:afterAutospacing="0"/>
        <w:ind w:firstLine="408"/>
        <w:textAlignment w:val="baseline"/>
        <w:rPr>
          <w:color w:val="231F20"/>
        </w:rPr>
      </w:pPr>
    </w:p>
    <w:p w:rsidR="00730267" w:rsidRPr="003E431F" w:rsidRDefault="00730267" w:rsidP="00F73BF4">
      <w:pPr>
        <w:shd w:val="clear" w:color="auto" w:fill="FFFFFF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Obaveze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operatera</w:t>
      </w:r>
    </w:p>
    <w:p w:rsidR="00730267" w:rsidRPr="003E431F" w:rsidRDefault="00730267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12</w:t>
      </w:r>
      <w:r w:rsidR="006D6E20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730267" w:rsidRPr="003E431F" w:rsidRDefault="00730267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neusklađenosti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opseg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obustaviti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bude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emisija.</w:t>
      </w:r>
    </w:p>
    <w:p w:rsidR="00730267" w:rsidRPr="003E431F" w:rsidRDefault="00730267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Ministarstvo.</w:t>
      </w:r>
    </w:p>
    <w:p w:rsidR="00730267" w:rsidRPr="003E431F" w:rsidRDefault="00730267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ponovne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uspostave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provesti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poštivanje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emisija.</w:t>
      </w:r>
    </w:p>
    <w:p w:rsidR="00326976" w:rsidRPr="003E431F" w:rsidRDefault="0032697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0267" w:rsidRPr="003E431F" w:rsidRDefault="00730267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B07D89" w:rsidRPr="003E431F">
        <w:rPr>
          <w:rFonts w:eastAsia="Times New Roman"/>
          <w:lang w:eastAsia="hr-HR"/>
        </w:rPr>
        <w:t>12</w:t>
      </w:r>
      <w:r w:rsidR="006D6E20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730267" w:rsidRPr="003E431F" w:rsidRDefault="00326976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obrađuje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vrijednostima.</w:t>
      </w:r>
    </w:p>
    <w:p w:rsidR="00B07D89" w:rsidRPr="003E431F" w:rsidRDefault="00B07D89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čuvaju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godina.</w:t>
      </w:r>
    </w:p>
    <w:p w:rsidR="00B07D89" w:rsidRPr="003E431F" w:rsidRDefault="00B07D89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odgađanja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samouprave.</w:t>
      </w:r>
    </w:p>
    <w:p w:rsidR="0084160E" w:rsidRPr="003E431F" w:rsidRDefault="00B07D89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javnosti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informacije.</w:t>
      </w:r>
    </w:p>
    <w:p w:rsidR="009C461D" w:rsidRPr="003E431F" w:rsidRDefault="009C461D" w:rsidP="00326976">
      <w:pPr>
        <w:shd w:val="clear" w:color="auto" w:fill="FFFFFF"/>
        <w:spacing w:before="100" w:after="10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730267" w:rsidRPr="003E431F" w:rsidRDefault="00730267" w:rsidP="00730267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602D47" w:rsidRPr="003E431F" w:rsidRDefault="00602D47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12</w:t>
      </w:r>
      <w:r w:rsidR="006D6E20" w:rsidRPr="003E431F">
        <w:t>8</w:t>
      </w:r>
      <w:r w:rsidRPr="003E431F">
        <w:t>.</w:t>
      </w:r>
    </w:p>
    <w:p w:rsidR="00602D47" w:rsidRPr="003E431F" w:rsidRDefault="00602D47" w:rsidP="009C461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okviru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odobrena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prosinca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pušteni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prosinca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</w:t>
      </w:r>
      <w:r w:rsidR="006D6E20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602D47" w:rsidRPr="003E431F" w:rsidRDefault="00602D47" w:rsidP="009C461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okviru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odobrena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lastRenderedPageBreak/>
        <w:t>ugradnja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pušteni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2014.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</w:t>
      </w:r>
      <w:r w:rsidR="006D6E20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602D47" w:rsidRPr="003E431F" w:rsidRDefault="00602D47" w:rsidP="009C461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okviru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odobrena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ugradnja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izdan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pušteni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2014.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</w:t>
      </w:r>
      <w:r w:rsidR="006D6E20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9C461D" w:rsidRPr="003E431F" w:rsidRDefault="009C461D" w:rsidP="009C461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A622D0" w:rsidRPr="003E431F" w:rsidRDefault="00602D47" w:rsidP="006D6E2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Praćenje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emisija</w:t>
      </w:r>
    </w:p>
    <w:p w:rsidR="00602D47" w:rsidRPr="003E431F" w:rsidRDefault="00A622D0" w:rsidP="006427F5">
      <w:pPr>
        <w:pStyle w:val="Naslov2"/>
        <w:rPr>
          <w:rStyle w:val="kurziv"/>
          <w:b w:val="0"/>
          <w:iCs/>
          <w:bdr w:val="none" w:sz="0" w:space="0" w:color="auto" w:frame="1"/>
        </w:rPr>
      </w:pPr>
      <w:r w:rsidRPr="003E431F">
        <w:rPr>
          <w:rStyle w:val="kurziv"/>
          <w:iCs/>
          <w:bdr w:val="none" w:sz="0" w:space="0" w:color="auto" w:frame="1"/>
        </w:rPr>
        <w:t>Članak</w:t>
      </w:r>
      <w:r w:rsidR="00642091" w:rsidRPr="003E431F">
        <w:rPr>
          <w:rStyle w:val="kurziv"/>
          <w:iCs/>
          <w:bdr w:val="none" w:sz="0" w:space="0" w:color="auto" w:frame="1"/>
        </w:rPr>
        <w:t xml:space="preserve"> </w:t>
      </w:r>
      <w:r w:rsidRPr="003E431F">
        <w:rPr>
          <w:rStyle w:val="kurziv"/>
          <w:iCs/>
          <w:bdr w:val="none" w:sz="0" w:space="0" w:color="auto" w:frame="1"/>
        </w:rPr>
        <w:t>1</w:t>
      </w:r>
      <w:r w:rsidR="00704DF6" w:rsidRPr="003E431F">
        <w:rPr>
          <w:rStyle w:val="kurziv"/>
          <w:iCs/>
          <w:bdr w:val="none" w:sz="0" w:space="0" w:color="auto" w:frame="1"/>
        </w:rPr>
        <w:t>2</w:t>
      </w:r>
      <w:r w:rsidR="006D6E20" w:rsidRPr="003E431F">
        <w:rPr>
          <w:rStyle w:val="kurziv"/>
          <w:iCs/>
          <w:bdr w:val="none" w:sz="0" w:space="0" w:color="auto" w:frame="1"/>
        </w:rPr>
        <w:t>9</w:t>
      </w:r>
      <w:r w:rsidRPr="003E431F">
        <w:rPr>
          <w:rStyle w:val="kurziv"/>
          <w:iCs/>
          <w:bdr w:val="none" w:sz="0" w:space="0" w:color="auto" w:frame="1"/>
        </w:rPr>
        <w:t>.</w:t>
      </w:r>
      <w:r w:rsidR="00642091" w:rsidRPr="003E431F">
        <w:rPr>
          <w:rStyle w:val="kurziv"/>
          <w:iCs/>
          <w:bdr w:val="none" w:sz="0" w:space="0" w:color="auto" w:frame="1"/>
        </w:rPr>
        <w:t xml:space="preserve"> </w:t>
      </w:r>
    </w:p>
    <w:p w:rsidR="00602D47" w:rsidRPr="003E431F" w:rsidRDefault="00D51455" w:rsidP="00D5145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9C461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02D4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602D47" w:rsidRPr="003E431F" w:rsidRDefault="00602D47" w:rsidP="009C461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mješavine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najvjerojatnije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rezultirati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razinom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uobičajene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rada.</w:t>
      </w:r>
    </w:p>
    <w:p w:rsidR="00602D47" w:rsidRPr="003E431F" w:rsidRDefault="00602D47" w:rsidP="009C461D">
      <w:pPr>
        <w:shd w:val="clear" w:color="auto" w:fill="FFFFFF"/>
        <w:spacing w:before="103"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mjerenjima,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godišnje.</w:t>
      </w:r>
    </w:p>
    <w:p w:rsidR="00602D47" w:rsidRPr="003E431F" w:rsidRDefault="00602D47" w:rsidP="009C461D">
      <w:pPr>
        <w:shd w:val="clear" w:color="auto" w:fill="FFFFFF"/>
        <w:spacing w:before="103"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026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9C461D" w:rsidRPr="003E431F" w:rsidRDefault="009C461D" w:rsidP="009C461D">
      <w:pPr>
        <w:shd w:val="clear" w:color="auto" w:fill="FFFFFF"/>
        <w:spacing w:before="103"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4A2F" w:rsidRPr="003E431F" w:rsidRDefault="00394A2F" w:rsidP="00394A2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Izvješćivanje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dostava</w:t>
      </w:r>
      <w:r w:rsidR="00642091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04DF6" w:rsidRPr="003E43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podataka</w:t>
      </w:r>
    </w:p>
    <w:p w:rsidR="00394A2F" w:rsidRPr="003E431F" w:rsidRDefault="00394A2F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6D6E20" w:rsidRPr="003E431F">
        <w:rPr>
          <w:rFonts w:eastAsia="Times New Roman"/>
          <w:lang w:eastAsia="hr-HR"/>
        </w:rPr>
        <w:t>30</w:t>
      </w:r>
      <w:r w:rsidRPr="003E431F">
        <w:rPr>
          <w:rFonts w:eastAsia="Times New Roman"/>
          <w:lang w:eastAsia="hr-HR"/>
        </w:rPr>
        <w:t>.</w:t>
      </w:r>
    </w:p>
    <w:p w:rsidR="00394A2F" w:rsidRPr="003E431F" w:rsidRDefault="00EF71E9" w:rsidP="00EF71E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(1)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Podatke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praćenju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način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Informacijskog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zaštite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zraka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dostavlja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sukladno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propisu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4A2F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izvora.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4A2F" w:rsidRPr="003E431F" w:rsidRDefault="00394A2F" w:rsidP="00BD3ED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(2)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Sadržaji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povremenim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članka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uređeni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propisom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izvora.</w:t>
      </w:r>
    </w:p>
    <w:p w:rsidR="00394A2F" w:rsidRPr="003E431F" w:rsidRDefault="00394A2F" w:rsidP="00BD3ED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(3)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javno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dostupan.</w:t>
      </w:r>
    </w:p>
    <w:p w:rsidR="00EE7413" w:rsidRPr="003E431F" w:rsidRDefault="00EE7413" w:rsidP="00A622D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rStyle w:val="kurziv"/>
          <w:b/>
          <w:iCs/>
          <w:color w:val="231F20"/>
          <w:bdr w:val="none" w:sz="0" w:space="0" w:color="auto" w:frame="1"/>
        </w:rPr>
      </w:pPr>
    </w:p>
    <w:p w:rsidR="00A622D0" w:rsidRPr="003E431F" w:rsidRDefault="00A622D0" w:rsidP="00A622D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iCs/>
          <w:color w:val="231F20"/>
        </w:rPr>
      </w:pPr>
      <w:r w:rsidRPr="003E431F">
        <w:rPr>
          <w:rStyle w:val="kurziv"/>
          <w:b/>
          <w:iCs/>
          <w:color w:val="231F20"/>
          <w:bdr w:val="none" w:sz="0" w:space="0" w:color="auto" w:frame="1"/>
        </w:rPr>
        <w:t>Vrednovanje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rezultata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mjerenja</w:t>
      </w:r>
      <w:r w:rsidR="00642091" w:rsidRPr="003E431F">
        <w:rPr>
          <w:rStyle w:val="kurziv"/>
          <w:b/>
          <w:iCs/>
          <w:color w:val="231F20"/>
          <w:bdr w:val="none" w:sz="0" w:space="0" w:color="auto" w:frame="1"/>
        </w:rPr>
        <w:t xml:space="preserve"> </w:t>
      </w:r>
      <w:r w:rsidRPr="003E431F">
        <w:rPr>
          <w:rStyle w:val="kurziv"/>
          <w:b/>
          <w:iCs/>
          <w:color w:val="231F20"/>
          <w:bdr w:val="none" w:sz="0" w:space="0" w:color="auto" w:frame="1"/>
        </w:rPr>
        <w:t>emisija</w:t>
      </w:r>
    </w:p>
    <w:p w:rsidR="00A622D0" w:rsidRPr="003E431F" w:rsidRDefault="00A622D0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131.</w:t>
      </w:r>
    </w:p>
    <w:p w:rsidR="00A622D0" w:rsidRPr="003E431F" w:rsidRDefault="00564C36" w:rsidP="00564C3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</w:p>
    <w:p w:rsidR="00A622D0" w:rsidRPr="003E431F" w:rsidRDefault="00A622D0" w:rsidP="00564C3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1B477B" w:rsidRPr="003E431F" w:rsidRDefault="001B477B" w:rsidP="00564C3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22D0" w:rsidRPr="003E431F" w:rsidRDefault="00A622D0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</w:t>
      </w:r>
      <w:r w:rsidR="006D6E20" w:rsidRPr="003E431F">
        <w:rPr>
          <w:rFonts w:eastAsia="Times New Roman"/>
          <w:lang w:eastAsia="hr-HR"/>
        </w:rPr>
        <w:t>a</w:t>
      </w:r>
      <w:r w:rsidRPr="003E431F">
        <w:rPr>
          <w:rFonts w:eastAsia="Times New Roman"/>
          <w:lang w:eastAsia="hr-HR"/>
        </w:rPr>
        <w:t>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132.</w:t>
      </w:r>
    </w:p>
    <w:p w:rsidR="00A622D0" w:rsidRPr="003E431F" w:rsidRDefault="00642091" w:rsidP="00B400A0">
      <w:pPr>
        <w:pStyle w:val="Odlomakpopisa"/>
        <w:numPr>
          <w:ilvl w:val="0"/>
          <w:numId w:val="20"/>
        </w:numPr>
        <w:shd w:val="clear" w:color="auto" w:fill="FFFFFF"/>
        <w:spacing w:after="48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motore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unutarnjim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izgaranjem,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udovoljene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odredbama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glave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D6E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temeljena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odgovarajućem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broju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uobičajenim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prvih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povremenih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prelazi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22D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GVE.</w:t>
      </w:r>
    </w:p>
    <w:p w:rsidR="00A622D0" w:rsidRPr="003E431F" w:rsidRDefault="00A622D0" w:rsidP="00A622D0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F73BF4" w:rsidRPr="003E431F" w:rsidRDefault="00F73BF4" w:rsidP="00426F3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IX.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GRANIČNE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VRIJEDNOSTI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EMISIJA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POSTROJENJA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SPALJIVANJE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OTPADA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POSTROJENJA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SUSPALJIVANJE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OTPADA</w:t>
      </w:r>
    </w:p>
    <w:p w:rsidR="002C7EC3" w:rsidRPr="003E431F" w:rsidRDefault="002C7EC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33</w:t>
      </w:r>
      <w:r w:rsidRPr="003E431F">
        <w:rPr>
          <w:rFonts w:eastAsia="Times New Roman"/>
          <w:lang w:eastAsia="hr-HR"/>
        </w:rPr>
        <w:t>.</w:t>
      </w:r>
    </w:p>
    <w:p w:rsidR="002C7EC3" w:rsidRPr="003E431F" w:rsidRDefault="002C7EC3" w:rsidP="001B477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krematorija.</w:t>
      </w:r>
    </w:p>
    <w:p w:rsidR="002C7EC3" w:rsidRPr="003E431F" w:rsidRDefault="002C7EC3" w:rsidP="001B477B">
      <w:pPr>
        <w:shd w:val="clear" w:color="auto" w:fill="FFFFFF"/>
        <w:spacing w:before="120" w:after="12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smislu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prihvat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skladištenje,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objekte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prethodnu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lokaciji,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dovod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kotlove,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objekte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objekte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skladištenje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lokaciji,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kontrolu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evidentiranje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suspaljivanja.</w:t>
      </w:r>
    </w:p>
    <w:p w:rsidR="001B477B" w:rsidRPr="003E431F" w:rsidRDefault="001B477B" w:rsidP="001B477B">
      <w:pPr>
        <w:shd w:val="clear" w:color="auto" w:fill="FFFFFF"/>
        <w:spacing w:before="120" w:after="12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</w:t>
      </w:r>
      <w:r w:rsidR="00704DF6" w:rsidRPr="003E431F">
        <w:rPr>
          <w:rFonts w:eastAsia="Times New Roman"/>
          <w:lang w:eastAsia="hr-HR"/>
        </w:rPr>
        <w:t>4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1B477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uplinjavanje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pirolizu,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pročišćeni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predstavljaju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uzrokuju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plina.</w:t>
      </w:r>
    </w:p>
    <w:p w:rsidR="00426F33" w:rsidRPr="003E431F" w:rsidRDefault="00426F33" w:rsidP="001B477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spaljuje/suspaljuje:</w:t>
      </w:r>
    </w:p>
    <w:p w:rsidR="00426F33" w:rsidRPr="003E431F" w:rsidRDefault="001B477B" w:rsidP="001B477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istraživanju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iskorištavanju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otvorenom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spaljuje</w:t>
      </w:r>
    </w:p>
    <w:p w:rsidR="00426F33" w:rsidRPr="003E431F" w:rsidRDefault="001B477B" w:rsidP="001B477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radioaktivni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</w:p>
    <w:p w:rsidR="00426F33" w:rsidRPr="003E431F" w:rsidRDefault="001B477B" w:rsidP="001B477B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životinjskog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porijekla,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utvrđivanju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veterinarsko-zdravstvenih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nusproizvode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životinjskog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podrijetla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namijenjeni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prehrani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ljudi</w:t>
      </w:r>
    </w:p>
    <w:p w:rsidR="00426F33" w:rsidRPr="003E431F" w:rsidRDefault="001B477B" w:rsidP="001B477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</w:p>
    <w:p w:rsidR="00426F33" w:rsidRPr="003E431F" w:rsidRDefault="001B477B" w:rsidP="001B477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eksperimentalna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istraživanje,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ispitivanje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unaprjeđenja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otpada.</w:t>
      </w:r>
    </w:p>
    <w:p w:rsidR="001B477B" w:rsidRPr="003E431F" w:rsidRDefault="001B477B" w:rsidP="001B477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</w:t>
      </w:r>
      <w:r w:rsidR="00704DF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opasnog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neobrađeni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miješani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komunalni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566C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36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</w:p>
    <w:p w:rsidR="00426F33" w:rsidRPr="003E431F" w:rsidRDefault="00426F33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dopušteno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maziva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gospodarenje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uljima.</w:t>
      </w:r>
    </w:p>
    <w:p w:rsidR="00426F33" w:rsidRPr="003E431F" w:rsidRDefault="00426F33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pirolize,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uplinjavanja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plazme,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toga.</w:t>
      </w:r>
    </w:p>
    <w:p w:rsidR="00370F43" w:rsidRPr="003E431F" w:rsidRDefault="00370F43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vrši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nego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otpada.</w:t>
      </w:r>
    </w:p>
    <w:p w:rsidR="00F337C2" w:rsidRPr="003E431F" w:rsidRDefault="00F337C2" w:rsidP="002C7EC3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642" w:rsidRPr="003E431F" w:rsidRDefault="00A57642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</w:t>
      </w:r>
      <w:r w:rsidR="00704DF6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A57642" w:rsidRPr="003E431F" w:rsidRDefault="005A3B89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korekcije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A57642" w:rsidRPr="003E431F" w:rsidRDefault="00A57642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</w:t>
      </w:r>
      <w:r w:rsidR="005A3B8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6C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6C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6C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6C4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11%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A57642" w:rsidRPr="003E431F" w:rsidRDefault="00A57642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</w:t>
      </w:r>
      <w:r w:rsidR="001D6A5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maziva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3%.</w:t>
      </w:r>
    </w:p>
    <w:p w:rsidR="00A57642" w:rsidRPr="003E431F" w:rsidRDefault="005A3B89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korekcije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5764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pare.</w:t>
      </w:r>
    </w:p>
    <w:p w:rsidR="00A57642" w:rsidRPr="003E431F" w:rsidRDefault="00A57642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atmosferi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obogaćenoj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odražava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pojedinačnog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okoliša.</w:t>
      </w:r>
    </w:p>
    <w:p w:rsidR="00A57642" w:rsidRPr="003E431F" w:rsidRDefault="00A57642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opasni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standardizacija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kisika.</w:t>
      </w:r>
    </w:p>
    <w:p w:rsidR="005A3B89" w:rsidRPr="003E431F" w:rsidRDefault="005A3B89" w:rsidP="005A3B8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C7EC3" w:rsidRPr="003E431F" w:rsidRDefault="002C7EC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</w:t>
      </w:r>
      <w:r w:rsidR="00704DF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2C7EC3" w:rsidRPr="003E431F" w:rsidRDefault="002C7EC3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dimnjaka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zdravlje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ljudi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okoliš.</w:t>
      </w:r>
    </w:p>
    <w:p w:rsidR="002C7EC3" w:rsidRPr="003E431F" w:rsidRDefault="002C7EC3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prekoračenja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poremećaja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moraju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automatskim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sprečavanje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unosa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ložište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spriječiti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unos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ložište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96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</w:p>
    <w:p w:rsidR="009C09B8" w:rsidRPr="003E431F" w:rsidRDefault="009C09B8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1646" w:rsidRPr="003E431F" w:rsidRDefault="00601646" w:rsidP="00601646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operatera</w:t>
      </w:r>
    </w:p>
    <w:p w:rsidR="00601646" w:rsidRPr="003E431F" w:rsidRDefault="0060164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</w:t>
      </w:r>
      <w:r w:rsidR="00704DF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601646" w:rsidRPr="003E431F" w:rsidRDefault="00601646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odgađanja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obavijestiti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planiranoj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utjecati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emisije.</w:t>
      </w:r>
    </w:p>
    <w:p w:rsidR="00601646" w:rsidRPr="003E431F" w:rsidRDefault="00601646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Planirane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podrazumijevaju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promjene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601646" w:rsidRPr="003E431F" w:rsidRDefault="00601646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odlučuje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trebaju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prilagoditi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novim.</w:t>
      </w:r>
    </w:p>
    <w:p w:rsidR="00601646" w:rsidRPr="003E431F" w:rsidRDefault="00601646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obavješćuje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otpada.</w:t>
      </w:r>
    </w:p>
    <w:p w:rsidR="00E07EB5" w:rsidRPr="003E431F" w:rsidRDefault="00E07EB5" w:rsidP="009C09B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CF18AA" w:rsidRPr="003E431F" w:rsidRDefault="003F2062" w:rsidP="006427F5">
      <w:pPr>
        <w:pStyle w:val="Naslov2"/>
        <w:rPr>
          <w:rFonts w:eastAsia="Times New Roman"/>
          <w:bdr w:val="none" w:sz="0" w:space="0" w:color="auto" w:frame="1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Članak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13</w:t>
      </w:r>
      <w:r w:rsidR="00704DF6" w:rsidRPr="003E431F">
        <w:rPr>
          <w:rFonts w:eastAsia="Times New Roman"/>
          <w:bdr w:val="none" w:sz="0" w:space="0" w:color="auto" w:frame="1"/>
          <w:lang w:eastAsia="hr-HR"/>
        </w:rPr>
        <w:t>9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</w:p>
    <w:p w:rsidR="003F2062" w:rsidRPr="003E431F" w:rsidRDefault="00E07EB5" w:rsidP="00E07EB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Ako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prekoračene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granične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vrijednosti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emisije,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postrojenje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spaljivanje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postrojenje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suspaljivanje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pojedinačne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peći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dio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spaljivanje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suspaljivanje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otpada,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uvjetima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0FD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smije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spaljivati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više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C40FD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sata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neprekidno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trenutka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2062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prekoračenja.</w:t>
      </w:r>
    </w:p>
    <w:p w:rsidR="003F2062" w:rsidRPr="003E431F" w:rsidRDefault="0098202A" w:rsidP="00E07EB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Ukupno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trajanje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takvim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prelaziti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60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kalendarske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3F2062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godine.</w:t>
      </w:r>
    </w:p>
    <w:p w:rsidR="0001009C" w:rsidRPr="003E431F" w:rsidRDefault="0001009C" w:rsidP="00E07EB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Vremensko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ograničenje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one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povezane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jednim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pojedinačnim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uređajem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pročišćavanje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plinova.</w:t>
      </w:r>
    </w:p>
    <w:p w:rsidR="0098202A" w:rsidRPr="003E431F" w:rsidRDefault="0098202A" w:rsidP="00E07EB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</w:t>
      </w:r>
      <w:r w:rsidR="00570554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spaljuje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poremećaju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prekidu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pročišćavanje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mjeriteljskog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raditi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60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prekidima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kalendarske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godine.</w:t>
      </w:r>
    </w:p>
    <w:p w:rsidR="0098202A" w:rsidRPr="003E431F" w:rsidRDefault="0098202A" w:rsidP="00E07EB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7055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opseg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obustaviti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bude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postrojenja.</w:t>
      </w:r>
    </w:p>
    <w:p w:rsidR="0098202A" w:rsidRPr="003E431F" w:rsidRDefault="002C7EC3" w:rsidP="00E07EB5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(6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pročišćavanje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mjeriteljskog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48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202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Ministarstvo.</w:t>
      </w:r>
    </w:p>
    <w:p w:rsidR="002F7C6D" w:rsidRPr="003E431F" w:rsidRDefault="002F7C6D" w:rsidP="00E07EB5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2C33" w:rsidRPr="003E431F" w:rsidRDefault="00A42C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D97F43"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40</w:t>
      </w:r>
      <w:r w:rsidRPr="003E431F">
        <w:rPr>
          <w:rFonts w:eastAsia="Times New Roman"/>
          <w:lang w:eastAsia="hr-HR"/>
        </w:rPr>
        <w:t>.</w:t>
      </w:r>
    </w:p>
    <w:p w:rsidR="00FC3083" w:rsidRPr="003E431F" w:rsidRDefault="002F7C6D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A26B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zadovoljavanj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</w:t>
      </w:r>
      <w:r w:rsidR="00FC308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bilježi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učinkovito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djelovanje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opreme.</w:t>
      </w:r>
    </w:p>
    <w:p w:rsidR="00D97F43" w:rsidRPr="003E431F" w:rsidRDefault="00D97F4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Prekid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obavještavaju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Ministarstvo.</w:t>
      </w:r>
    </w:p>
    <w:p w:rsidR="00A42C33" w:rsidRPr="003E431F" w:rsidRDefault="00A42C3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uspostave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normalnoga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ponovno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dokazao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poštivanje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emisija.</w:t>
      </w:r>
    </w:p>
    <w:p w:rsidR="00100FAD" w:rsidRPr="003E431F" w:rsidRDefault="00100FAD" w:rsidP="00A103B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A42C33" w:rsidRPr="003E431F" w:rsidRDefault="005A26B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41</w:t>
      </w:r>
      <w:r w:rsidRPr="003E431F">
        <w:rPr>
          <w:rFonts w:eastAsia="Times New Roman"/>
          <w:lang w:eastAsia="hr-HR"/>
        </w:rPr>
        <w:t>.</w:t>
      </w:r>
    </w:p>
    <w:p w:rsidR="00A42C33" w:rsidRPr="003E431F" w:rsidRDefault="00A42C3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omogućuje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vrijednostima.</w:t>
      </w:r>
    </w:p>
    <w:p w:rsidR="00F73BF4" w:rsidRPr="003E431F" w:rsidRDefault="00F73BF4" w:rsidP="00A103B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42C33" w:rsidRPr="003E431F" w:rsidRDefault="00A42C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="005A26B3" w:rsidRPr="003E431F">
        <w:rPr>
          <w:rFonts w:eastAsia="Times New Roman"/>
          <w:lang w:eastAsia="hr-HR"/>
        </w:rPr>
        <w:t>1</w:t>
      </w:r>
      <w:r w:rsidR="00704DF6" w:rsidRPr="003E431F">
        <w:rPr>
          <w:rFonts w:eastAsia="Times New Roman"/>
          <w:lang w:eastAsia="hr-HR"/>
        </w:rPr>
        <w:t>42</w:t>
      </w:r>
      <w:r w:rsidRPr="003E431F">
        <w:rPr>
          <w:rFonts w:eastAsia="Times New Roman"/>
          <w:lang w:eastAsia="hr-HR"/>
        </w:rPr>
        <w:t>.</w:t>
      </w:r>
    </w:p>
    <w:p w:rsidR="00A42C33" w:rsidRPr="003E431F" w:rsidRDefault="00A42C33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osobito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čuv</w:t>
      </w:r>
      <w:r w:rsidR="0060164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sljedeće:</w:t>
      </w:r>
    </w:p>
    <w:p w:rsidR="00A42C33" w:rsidRPr="003E431F" w:rsidRDefault="002F7C6D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103B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18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140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18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141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</w:p>
    <w:p w:rsidR="00A42C33" w:rsidRPr="003E431F" w:rsidRDefault="002F7C6D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6C4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42C33" w:rsidRPr="003E431F" w:rsidRDefault="002F7C6D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6C4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26B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kakvom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neispravnom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kvarovima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</w:p>
    <w:p w:rsidR="00A42C33" w:rsidRPr="003E431F" w:rsidRDefault="002F7C6D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6C4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neusklađenostima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2C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mjerama.</w:t>
      </w:r>
    </w:p>
    <w:p w:rsidR="00A42C33" w:rsidRPr="003E431F" w:rsidRDefault="00A42C33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čuvaju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godina.</w:t>
      </w:r>
    </w:p>
    <w:p w:rsidR="00A42C33" w:rsidRPr="003E431F" w:rsidRDefault="00A42C33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bez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odgađanja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samouprave.</w:t>
      </w:r>
    </w:p>
    <w:p w:rsidR="00A42C33" w:rsidRPr="003E431F" w:rsidRDefault="00A42C33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705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javnosti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zatraži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takve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informacije.</w:t>
      </w:r>
    </w:p>
    <w:p w:rsidR="002F7C6D" w:rsidRPr="003E431F" w:rsidRDefault="002F7C6D" w:rsidP="002F7C6D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6F33" w:rsidRPr="003E431F" w:rsidRDefault="00426F33" w:rsidP="0027474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43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28.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426F33" w:rsidRPr="003E431F" w:rsidRDefault="00426F3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članka.</w:t>
      </w:r>
    </w:p>
    <w:p w:rsidR="002F7C6D" w:rsidRPr="003E431F" w:rsidRDefault="002F7C6D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44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vremenskom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razdoblju.</w:t>
      </w:r>
    </w:p>
    <w:p w:rsidR="007C621F" w:rsidRPr="003E431F" w:rsidRDefault="007C621F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</w:t>
      </w:r>
      <w:r w:rsidR="0011347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474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</w:p>
    <w:p w:rsidR="002F7C6D" w:rsidRPr="003E431F" w:rsidRDefault="002F7C6D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6F33" w:rsidRPr="003E431F" w:rsidRDefault="00426F33" w:rsidP="003936C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</w:p>
    <w:p w:rsidR="003936C5" w:rsidRPr="003E431F" w:rsidRDefault="003936C5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14</w:t>
      </w:r>
      <w:r w:rsidR="00E579E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  <w:r w:rsidR="00642091" w:rsidRPr="003E431F">
        <w:rPr>
          <w:rFonts w:eastAsia="Times New Roman"/>
          <w:lang w:eastAsia="hr-HR"/>
        </w:rPr>
        <w:t xml:space="preserve"> </w:t>
      </w:r>
    </w:p>
    <w:p w:rsidR="003936C5" w:rsidRPr="003E431F" w:rsidRDefault="002F7C6D" w:rsidP="002F7C6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936C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</w:p>
    <w:p w:rsidR="000D2AD7" w:rsidRPr="003E431F" w:rsidRDefault="000D2AD7" w:rsidP="002F7C6D">
      <w:pPr>
        <w:shd w:val="clear" w:color="auto" w:fill="FFFFFF"/>
        <w:spacing w:before="120" w:after="12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50B9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ukupnog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ugljika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(TOC)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monoksida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="00550B98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rimjenjuju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50B98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50B98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50B98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50B98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="0007124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riloga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94A2F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određeno.</w:t>
      </w:r>
    </w:p>
    <w:p w:rsidR="0047108B" w:rsidRPr="003E431F" w:rsidRDefault="0047108B" w:rsidP="002F7C6D">
      <w:pPr>
        <w:shd w:val="clear" w:color="auto" w:fill="FFFFFF"/>
        <w:spacing w:before="120" w:after="12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3936C5" w:rsidRPr="003E431F">
        <w:rPr>
          <w:rFonts w:eastAsia="Times New Roman"/>
          <w:lang w:eastAsia="hr-HR"/>
        </w:rPr>
        <w:t>4</w:t>
      </w:r>
      <w:r w:rsidR="00E579E6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47108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relevantne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monoksida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18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18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618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189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6189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pravilo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miješanja.</w:t>
      </w:r>
    </w:p>
    <w:p w:rsidR="004E1DE3" w:rsidRPr="003E431F" w:rsidRDefault="00426F33" w:rsidP="0047108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monoksida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26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</w:p>
    <w:p w:rsidR="003936C5" w:rsidRPr="003E431F" w:rsidRDefault="003936C5" w:rsidP="0047108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B5D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44.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nastao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otpada.</w:t>
      </w:r>
    </w:p>
    <w:p w:rsidR="0047108B" w:rsidRPr="003E431F" w:rsidRDefault="0047108B" w:rsidP="0047108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1F2B6A" w:rsidRPr="003E431F">
        <w:rPr>
          <w:rFonts w:eastAsia="Times New Roman"/>
          <w:lang w:eastAsia="hr-HR"/>
        </w:rPr>
        <w:t>4</w:t>
      </w:r>
      <w:r w:rsidR="00E579E6" w:rsidRPr="003E431F">
        <w:rPr>
          <w:rFonts w:eastAsia="Times New Roman"/>
          <w:lang w:eastAsia="hr-HR"/>
        </w:rPr>
        <w:t>7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47108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neposredno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opasnog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materijala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nužnih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neposredno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ako:</w:t>
      </w:r>
    </w:p>
    <w:p w:rsidR="00426F33" w:rsidRPr="003E431F" w:rsidRDefault="0047108B" w:rsidP="0047108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produktima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</w:p>
    <w:p w:rsidR="00426F33" w:rsidRPr="003E431F" w:rsidRDefault="0047108B" w:rsidP="0047108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C</w:t>
      </w:r>
      <w:r w:rsidR="00426F33" w:rsidRPr="003E431F">
        <w:rPr>
          <w:rFonts w:ascii="Times New Roman" w:eastAsia="Times New Roman" w:hAnsi="Times New Roman" w:cs="Times New Roman"/>
          <w:i/>
          <w:iCs/>
          <w:color w:val="231F20"/>
          <w:sz w:val="18"/>
          <w:szCs w:val="18"/>
          <w:bdr w:val="none" w:sz="0" w:space="0" w:color="auto" w:frame="1"/>
          <w:vertAlign w:val="subscript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udovoljen.</w:t>
      </w:r>
    </w:p>
    <w:p w:rsidR="002B2128" w:rsidRPr="003E431F" w:rsidRDefault="002B2128" w:rsidP="0047108B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F2B6A" w:rsidRPr="003E431F" w:rsidRDefault="001F2B6A" w:rsidP="006427F5">
      <w:pPr>
        <w:pStyle w:val="Naslov2"/>
        <w:rPr>
          <w:rFonts w:eastAsia="Times New Roman"/>
          <w:bdr w:val="none" w:sz="0" w:space="0" w:color="auto" w:frame="1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lastRenderedPageBreak/>
        <w:t>Članak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14</w:t>
      </w:r>
      <w:r w:rsidR="00E579E6" w:rsidRPr="003E431F">
        <w:rPr>
          <w:rFonts w:eastAsia="Times New Roman"/>
          <w:bdr w:val="none" w:sz="0" w:space="0" w:color="auto" w:frame="1"/>
          <w:lang w:eastAsia="hr-HR"/>
        </w:rPr>
        <w:t>8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F2B6A" w:rsidRPr="003E431F" w:rsidRDefault="002B2128" w:rsidP="002B2128">
      <w:pPr>
        <w:shd w:val="clear" w:color="auto" w:fill="FFFFFF"/>
        <w:spacing w:before="120" w:after="12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obuhvaćeni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člancima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07124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određeno.</w:t>
      </w:r>
    </w:p>
    <w:p w:rsidR="001F2B6A" w:rsidRPr="003E431F" w:rsidRDefault="002B2128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obuhvaćeni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člancima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1</w:t>
      </w:r>
      <w:r w:rsidR="007F16B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4</w:t>
      </w:r>
      <w:r w:rsidR="00E54DF7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5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14</w:t>
      </w:r>
      <w:r w:rsidR="00E54DF7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6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manjim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minuta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F2B6A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određeno.</w:t>
      </w:r>
    </w:p>
    <w:p w:rsidR="002B2128" w:rsidRPr="003E431F" w:rsidRDefault="002B2128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426F33" w:rsidRPr="003E431F" w:rsidRDefault="00D426AC" w:rsidP="001F2B6A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t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ehnološk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og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proces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cementa</w:t>
      </w: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1F2B6A" w:rsidRPr="003E431F">
        <w:rPr>
          <w:rFonts w:eastAsia="Times New Roman"/>
          <w:lang w:eastAsia="hr-HR"/>
        </w:rPr>
        <w:t>4</w:t>
      </w:r>
      <w:r w:rsidR="00E579E6" w:rsidRPr="003E431F">
        <w:rPr>
          <w:rFonts w:eastAsia="Times New Roman"/>
          <w:lang w:eastAsia="hr-HR"/>
        </w:rPr>
        <w:t>9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74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</w:t>
      </w:r>
      <w:r w:rsidR="00EC74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74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tehnološko</w:t>
      </w:r>
      <w:r w:rsidR="00EC74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</w:t>
      </w:r>
      <w:r w:rsidR="00EC74A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26F33" w:rsidRPr="003E431F" w:rsidRDefault="00D426AC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10%.</w:t>
      </w:r>
    </w:p>
    <w:p w:rsidR="00426F33" w:rsidRPr="003E431F" w:rsidRDefault="00426F33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D426A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088E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organski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ugljik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16B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uzrokovane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otpada.</w:t>
      </w:r>
    </w:p>
    <w:p w:rsidR="00EC74A0" w:rsidRPr="003E431F" w:rsidRDefault="00EC74A0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nastaje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tehnološko</w:t>
      </w:r>
      <w:r w:rsidR="0027683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</w:t>
      </w:r>
      <w:r w:rsidR="0027683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</w:t>
      </w:r>
      <w:r w:rsidR="0027683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okoliša).</w:t>
      </w:r>
    </w:p>
    <w:p w:rsidR="0016088E" w:rsidRPr="003E431F" w:rsidRDefault="0016088E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Srednje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polusatne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potrebne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samo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smislu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izračunavanja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srednjih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dnevnih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vrijednosti.</w:t>
      </w:r>
    </w:p>
    <w:p w:rsidR="002B2128" w:rsidRPr="003E431F" w:rsidRDefault="002B2128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426F33" w:rsidRPr="003E431F" w:rsidRDefault="00E01A50" w:rsidP="00CD476D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ure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đaji</w:t>
      </w:r>
      <w:r w:rsidR="002E7CFA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ma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loženje</w:t>
      </w:r>
    </w:p>
    <w:p w:rsidR="00CD476D" w:rsidRPr="003E431F" w:rsidRDefault="00E579E6" w:rsidP="006427F5">
      <w:pPr>
        <w:pStyle w:val="Naslov2"/>
        <w:rPr>
          <w:rFonts w:eastAsia="Times New Roman"/>
          <w:bdr w:val="none" w:sz="0" w:space="0" w:color="auto" w:frame="1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Članak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CD476D" w:rsidRPr="003E431F">
        <w:rPr>
          <w:rFonts w:eastAsia="Times New Roman"/>
          <w:bdr w:val="none" w:sz="0" w:space="0" w:color="auto" w:frame="1"/>
          <w:lang w:eastAsia="hr-HR"/>
        </w:rPr>
        <w:t>5</w:t>
      </w:r>
      <w:r w:rsidRPr="003E431F">
        <w:rPr>
          <w:rFonts w:eastAsia="Times New Roman"/>
          <w:bdr w:val="none" w:sz="0" w:space="0" w:color="auto" w:frame="1"/>
          <w:lang w:eastAsia="hr-HR"/>
        </w:rPr>
        <w:t>0</w:t>
      </w:r>
      <w:r w:rsidR="00CD476D"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CD476D" w:rsidRPr="003E431F" w:rsidRDefault="00CD476D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određivanje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ukupne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ulazne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toplinske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snage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kojima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suspaljuje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otpad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primjenjuje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pravilo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akumulacije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članka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E54DF7" w:rsidRPr="003E431F">
        <w:rPr>
          <w:rFonts w:ascii="Times New Roman" w:hAnsi="Times New Roman" w:cs="Times New Roman"/>
          <w:sz w:val="24"/>
          <w:szCs w:val="24"/>
        </w:rPr>
        <w:t>79</w:t>
      </w:r>
      <w:r w:rsidRPr="003E431F">
        <w:rPr>
          <w:rFonts w:ascii="Times New Roman" w:hAnsi="Times New Roman" w:cs="Times New Roman"/>
          <w:sz w:val="24"/>
          <w:szCs w:val="24"/>
        </w:rPr>
        <w:t>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8</w:t>
      </w:r>
      <w:r w:rsidR="00E54DF7" w:rsidRPr="003E431F">
        <w:rPr>
          <w:rFonts w:ascii="Times New Roman" w:hAnsi="Times New Roman" w:cs="Times New Roman"/>
          <w:sz w:val="24"/>
          <w:szCs w:val="24"/>
        </w:rPr>
        <w:t>0</w:t>
      </w:r>
      <w:r w:rsidRPr="003E431F">
        <w:rPr>
          <w:rFonts w:ascii="Times New Roman" w:hAnsi="Times New Roman" w:cs="Times New Roman"/>
          <w:sz w:val="24"/>
          <w:szCs w:val="24"/>
        </w:rPr>
        <w:t>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Uredbe.</w:t>
      </w:r>
    </w:p>
    <w:p w:rsidR="00CD476D" w:rsidRPr="003E431F" w:rsidRDefault="00CD476D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51</w:t>
      </w:r>
      <w:r w:rsidRPr="003E431F">
        <w:rPr>
          <w:rFonts w:eastAsia="Times New Roman"/>
          <w:lang w:eastAsia="hr-HR"/>
        </w:rPr>
        <w:t>.</w:t>
      </w:r>
    </w:p>
    <w:p w:rsidR="00CD476D" w:rsidRPr="003E431F" w:rsidRDefault="002B2128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svake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odgovarajuće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monoksida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nastaju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definiran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A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CD476D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Uredbe.</w:t>
      </w:r>
    </w:p>
    <w:p w:rsidR="00CD476D" w:rsidRPr="003E431F" w:rsidRDefault="00CD476D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miješanja.</w:t>
      </w:r>
    </w:p>
    <w:p w:rsidR="00CD476D" w:rsidRPr="003E431F" w:rsidRDefault="00CD476D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614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određeno.</w:t>
      </w:r>
    </w:p>
    <w:p w:rsidR="00C0586F" w:rsidRPr="003E431F" w:rsidRDefault="00C0586F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F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F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F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E54DF7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F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1F9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476D" w:rsidRPr="003E431F" w:rsidRDefault="00CD476D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EA480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biomasu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goriva.</w:t>
      </w:r>
    </w:p>
    <w:p w:rsidR="00CD476D" w:rsidRPr="003E431F" w:rsidRDefault="00CD476D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(</w:t>
      </w:r>
      <w:r w:rsidR="00EA480A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Srednje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polusatne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potrebne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samo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smislu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izračunavanja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srednjih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dnevnih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vrijednosti.</w:t>
      </w:r>
    </w:p>
    <w:p w:rsidR="00EC7F94" w:rsidRPr="003E431F" w:rsidRDefault="00EC7F94" w:rsidP="002B2128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</w:p>
    <w:p w:rsidR="00880B22" w:rsidRPr="003E431F" w:rsidRDefault="00880B22" w:rsidP="006427F5">
      <w:pPr>
        <w:pStyle w:val="Naslov2"/>
        <w:rPr>
          <w:rFonts w:eastAsia="Times New Roman"/>
          <w:bdr w:val="none" w:sz="0" w:space="0" w:color="auto" w:frame="1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Članak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E579E6" w:rsidRPr="003E431F">
        <w:rPr>
          <w:rFonts w:eastAsia="Times New Roman"/>
          <w:bdr w:val="none" w:sz="0" w:space="0" w:color="auto" w:frame="1"/>
          <w:lang w:eastAsia="hr-HR"/>
        </w:rPr>
        <w:t>52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25F99" w:rsidRPr="003E431F" w:rsidRDefault="00880B22" w:rsidP="00EC7F94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ukupnog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ugljika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(TOC)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celuloze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papira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vlastiti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proizvedeni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mjestu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njegova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nastanka,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1167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definirana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21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</w:t>
      </w:r>
      <w:r w:rsidR="000C2F1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okoliša)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drukčije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određeno.</w:t>
      </w:r>
    </w:p>
    <w:p w:rsidR="00880B22" w:rsidRPr="003E431F" w:rsidRDefault="00125F99" w:rsidP="00EC7F94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pisana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80B22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vrijednosti.</w:t>
      </w:r>
    </w:p>
    <w:p w:rsidR="00880B22" w:rsidRPr="003E431F" w:rsidRDefault="00880B22" w:rsidP="00EC7F94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</w:t>
      </w:r>
      <w:r w:rsidR="00125F99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Odredba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procesu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celuloze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papira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radila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imala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dozvolu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28.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prosinca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godine.</w:t>
      </w:r>
    </w:p>
    <w:p w:rsidR="00EC7F94" w:rsidRPr="003E431F" w:rsidRDefault="00EC7F94" w:rsidP="00EC7F94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15</w:t>
      </w:r>
      <w:r w:rsidR="00E579E6" w:rsidRPr="003E431F">
        <w:rPr>
          <w:rFonts w:eastAsia="Times New Roman"/>
          <w:lang w:eastAsia="hr-HR"/>
        </w:rPr>
        <w:t>3</w:t>
      </w:r>
      <w:r w:rsidRPr="003E431F">
        <w:rPr>
          <w:rFonts w:eastAsia="Times New Roman"/>
          <w:lang w:eastAsia="hr-HR"/>
        </w:rPr>
        <w:t>.</w:t>
      </w:r>
    </w:p>
    <w:p w:rsidR="00D1436F" w:rsidRPr="003E431F" w:rsidRDefault="00D1436F" w:rsidP="00FB008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51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domaće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karakteristika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domaćeg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uskladiti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</w:t>
      </w:r>
      <w:r w:rsidR="009F04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minimalne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26F33" w:rsidRPr="003E431F" w:rsidRDefault="00EC7F94" w:rsidP="00FB0086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izabere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mg/m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3</w:t>
      </w:r>
      <w:r w:rsidR="005E653C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0082B" w:rsidRPr="003E431F" w:rsidRDefault="0090082B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274744" w:rsidRPr="003E431F" w:rsidRDefault="00274744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emisija</w:t>
      </w:r>
    </w:p>
    <w:p w:rsidR="00274744" w:rsidRPr="003E431F" w:rsidRDefault="0027474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54</w:t>
      </w:r>
      <w:r w:rsidRPr="003E431F">
        <w:rPr>
          <w:rFonts w:eastAsia="Times New Roman"/>
          <w:lang w:eastAsia="hr-HR"/>
        </w:rPr>
        <w:t>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F049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6067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D51C0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mjerenjima.</w:t>
      </w:r>
    </w:p>
    <w:p w:rsidR="00A60678" w:rsidRPr="003E431F" w:rsidRDefault="00A60678" w:rsidP="00A834B9">
      <w:pPr>
        <w:shd w:val="clear" w:color="auto" w:fill="FFFFFF"/>
        <w:spacing w:before="34"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automatiziranih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umjeravanje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skladu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A60678" w:rsidRPr="003E431F" w:rsidRDefault="00A60678" w:rsidP="00A834B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parametara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rada: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46CC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stjenku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komore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reprezentativnom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komore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odobrilo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tijelo,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tlak,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60678" w:rsidRPr="003E431F" w:rsidRDefault="00A60678" w:rsidP="00A834B9">
      <w:pPr>
        <w:shd w:val="clear" w:color="auto" w:fill="FFFFFF"/>
        <w:spacing w:before="34"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Automatizirani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podložni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paralelnih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F3AF6" w:rsidRPr="003E431F" w:rsidRDefault="00EF3AF6" w:rsidP="00A834B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A834B9" w:rsidRPr="003E431F" w:rsidRDefault="00A834B9" w:rsidP="00A834B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74744" w:rsidRPr="003E431F" w:rsidRDefault="0027474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15</w:t>
      </w:r>
      <w:r w:rsidR="00E579E6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CO,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praškaste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TOC,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HCl,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HF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mjerenjem.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HCl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faze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osiguravaju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HCl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prekoračena,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HF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povremeno,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put</w:t>
      </w:r>
      <w:r w:rsidR="009F04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nazivnog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nazivnog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manjeg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može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dokazati,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temelju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kvaliteti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predmetnog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otpada,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korištenoj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tehnologiji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rezultatima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praćenja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emisija,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emisije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NO</w:t>
      </w:r>
      <w:r w:rsidRPr="003E431F">
        <w:rPr>
          <w:rStyle w:val="sub"/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x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pod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uvjetima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mogu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biti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više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povremeno,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put</w:t>
      </w:r>
      <w:r w:rsidR="009F049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barem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mjeseca.</w:t>
      </w:r>
    </w:p>
    <w:p w:rsidR="007B29B1" w:rsidRPr="003E431F" w:rsidRDefault="007B29B1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dinamici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HCl,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HF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provode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dinamikom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stavcima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42625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7B29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uzorak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analize,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potrebno.</w:t>
      </w:r>
    </w:p>
    <w:p w:rsidR="00274744" w:rsidRPr="003E431F" w:rsidRDefault="00274744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7B29B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parametara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C2F1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67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0986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suspaljuje.</w:t>
      </w:r>
    </w:p>
    <w:p w:rsidR="00E0391A" w:rsidRPr="003E431F" w:rsidRDefault="00E0391A" w:rsidP="00A83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0EF" w:rsidRPr="003E431F" w:rsidRDefault="002220EF" w:rsidP="006427F5">
      <w:pPr>
        <w:pStyle w:val="Naslov2"/>
      </w:pPr>
      <w:r w:rsidRPr="003E431F">
        <w:lastRenderedPageBreak/>
        <w:t>Članak</w:t>
      </w:r>
      <w:r w:rsidR="00642091" w:rsidRPr="003E431F">
        <w:t xml:space="preserve"> </w:t>
      </w:r>
      <w:r w:rsidRPr="003E431F">
        <w:t>15</w:t>
      </w:r>
      <w:r w:rsidR="00E579E6" w:rsidRPr="003E431F">
        <w:t>6</w:t>
      </w:r>
      <w:r w:rsidRPr="003E431F">
        <w:t>.</w:t>
      </w:r>
    </w:p>
    <w:p w:rsidR="002220EF" w:rsidRPr="003E431F" w:rsidRDefault="002220EF" w:rsidP="00E0391A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teških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metala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dioksina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furana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otpadnim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plinovima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spaljivanje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60678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suspalj</w:t>
      </w:r>
      <w:r w:rsidR="00A60678" w:rsidRPr="003E431F">
        <w:rPr>
          <w:rFonts w:ascii="Times New Roman" w:hAnsi="Times New Roman" w:cs="Times New Roman"/>
          <w:sz w:val="24"/>
          <w:szCs w:val="24"/>
        </w:rPr>
        <w:t>ivanje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otpad</w:t>
      </w:r>
      <w:r w:rsidR="00A60678" w:rsidRPr="003E431F">
        <w:rPr>
          <w:rFonts w:ascii="Times New Roman" w:hAnsi="Times New Roman" w:cs="Times New Roman"/>
          <w:sz w:val="24"/>
          <w:szCs w:val="24"/>
        </w:rPr>
        <w:t>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utvrđuje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povremenim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mjerenjem:</w:t>
      </w:r>
    </w:p>
    <w:p w:rsidR="002220EF" w:rsidRPr="003E431F" w:rsidRDefault="00E0391A" w:rsidP="00E0391A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ab/>
      </w:r>
      <w:r w:rsidR="002220EF" w:rsidRPr="003E431F">
        <w:rPr>
          <w:rFonts w:ascii="Times New Roman" w:hAnsi="Times New Roman" w:cs="Times New Roman"/>
          <w:sz w:val="24"/>
          <w:szCs w:val="24"/>
        </w:rPr>
        <w:t>–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pr</w:t>
      </w:r>
      <w:r w:rsidR="00D32095" w:rsidRPr="003E431F">
        <w:rPr>
          <w:rFonts w:ascii="Times New Roman" w:hAnsi="Times New Roman" w:cs="Times New Roman"/>
          <w:sz w:val="24"/>
          <w:szCs w:val="24"/>
        </w:rPr>
        <w:t>voj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D32095" w:rsidRPr="003E431F">
        <w:rPr>
          <w:rFonts w:ascii="Times New Roman" w:hAnsi="Times New Roman" w:cs="Times New Roman"/>
          <w:sz w:val="24"/>
          <w:szCs w:val="24"/>
        </w:rPr>
        <w:t>godini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D32095" w:rsidRPr="003E431F">
        <w:rPr>
          <w:rFonts w:ascii="Times New Roman" w:hAnsi="Times New Roman" w:cs="Times New Roman"/>
          <w:sz w:val="24"/>
          <w:szCs w:val="24"/>
        </w:rPr>
        <w:t>rada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nepokretnog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izvora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najmanje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četiri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puta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godišnje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razmaku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tri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mjeseca</w:t>
      </w:r>
    </w:p>
    <w:p w:rsidR="009C0392" w:rsidRPr="003E431F" w:rsidRDefault="00E0391A" w:rsidP="00E0391A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ab/>
      </w:r>
      <w:r w:rsidR="002220EF" w:rsidRPr="003E431F">
        <w:rPr>
          <w:rFonts w:ascii="Times New Roman" w:hAnsi="Times New Roman" w:cs="Times New Roman"/>
          <w:sz w:val="24"/>
          <w:szCs w:val="24"/>
        </w:rPr>
        <w:t>–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nakon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isteka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razdoblja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podstavka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1.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ovoga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stavka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dva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puta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godišnje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razmacima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šest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2220EF" w:rsidRPr="003E431F">
        <w:rPr>
          <w:rFonts w:ascii="Times New Roman" w:hAnsi="Times New Roman" w:cs="Times New Roman"/>
          <w:sz w:val="24"/>
          <w:szCs w:val="24"/>
        </w:rPr>
        <w:t>mjeseci.</w:t>
      </w:r>
    </w:p>
    <w:p w:rsidR="00821AF3" w:rsidRPr="003E431F" w:rsidRDefault="00821AF3" w:rsidP="00E0391A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20EF" w:rsidRPr="003E431F" w:rsidRDefault="002220EF" w:rsidP="006427F5">
      <w:pPr>
        <w:pStyle w:val="Naslov2"/>
        <w:rPr>
          <w:rFonts w:eastAsia="Times New Roman"/>
          <w:lang w:eastAsia="hr-HR"/>
        </w:rPr>
      </w:pPr>
      <w:r w:rsidRPr="003E431F">
        <w:t>Članak</w:t>
      </w:r>
      <w:r w:rsidR="00642091" w:rsidRPr="003E431F">
        <w:t xml:space="preserve"> </w:t>
      </w:r>
      <w:r w:rsidRPr="003E431F">
        <w:t>15</w:t>
      </w:r>
      <w:r w:rsidR="00E579E6" w:rsidRPr="003E431F">
        <w:t>7</w:t>
      </w:r>
      <w:r w:rsidRPr="003E431F">
        <w:t>.</w:t>
      </w:r>
    </w:p>
    <w:p w:rsidR="009C0392" w:rsidRPr="003E431F" w:rsidRDefault="00821AF3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isteka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3B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pokažu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se:</w:t>
      </w:r>
    </w:p>
    <w:p w:rsidR="009C0392" w:rsidRPr="003E431F" w:rsidRDefault="00821AF3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</w:p>
    <w:p w:rsidR="009C0392" w:rsidRPr="003E431F" w:rsidRDefault="00821AF3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godišnje.</w:t>
      </w:r>
    </w:p>
    <w:p w:rsidR="009C0392" w:rsidRPr="003E431F" w:rsidRDefault="009C0392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dokazati,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kvaliteti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isteka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okolnostima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furane.</w:t>
      </w:r>
    </w:p>
    <w:p w:rsidR="009C0392" w:rsidRPr="003E431F" w:rsidRDefault="009C0392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razvrstanih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zapaljivih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frakcija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neopasnog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prikladan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recikliranje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karakteristike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C0392" w:rsidRPr="003E431F" w:rsidRDefault="00E80589" w:rsidP="00821AF3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razvrstan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opasni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mazivih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prvom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novu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udjelu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15%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promijeni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20%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promijeni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32095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20%.</w:t>
      </w:r>
    </w:p>
    <w:p w:rsidR="00EE7413" w:rsidRPr="003E431F" w:rsidRDefault="00EE7413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274744" w:rsidRPr="003E431F" w:rsidRDefault="00274744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15</w:t>
      </w:r>
      <w:r w:rsidR="00E579E6" w:rsidRPr="003E431F">
        <w:rPr>
          <w:rFonts w:eastAsia="Times New Roman"/>
          <w:lang w:eastAsia="hr-HR"/>
        </w:rPr>
        <w:t>8</w:t>
      </w:r>
      <w:r w:rsidRPr="003E431F">
        <w:rPr>
          <w:rFonts w:eastAsia="Times New Roman"/>
          <w:lang w:eastAsia="hr-HR"/>
        </w:rPr>
        <w:t>.</w:t>
      </w:r>
    </w:p>
    <w:p w:rsidR="00274744" w:rsidRPr="003E431F" w:rsidRDefault="00274744" w:rsidP="00376A3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zadržavanja,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najniža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redovito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provjerava,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barem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nepovoljnim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(promjenjivim)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C039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predvidjeti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100FAD" w:rsidRPr="003E431F" w:rsidRDefault="00100FAD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F256AD" w:rsidRPr="003E431F" w:rsidRDefault="00F256AD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Izvješćivanje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dostava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podataka</w:t>
      </w:r>
    </w:p>
    <w:p w:rsidR="00F256AD" w:rsidRPr="003E431F" w:rsidRDefault="00E579E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159</w:t>
      </w:r>
      <w:r w:rsidR="00F256AD" w:rsidRPr="003E431F">
        <w:rPr>
          <w:rFonts w:eastAsia="Times New Roman"/>
          <w:lang w:eastAsia="hr-HR"/>
        </w:rPr>
        <w:t>.</w:t>
      </w:r>
    </w:p>
    <w:p w:rsidR="00F256AD" w:rsidRPr="003E431F" w:rsidRDefault="00CB674A" w:rsidP="00376A3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odatk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način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spaljivanje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postrojenja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suspaljivanje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otpada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zaštite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dostavlja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Ministarstvu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sukladno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="0050383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256AD" w:rsidRPr="003E431F" w:rsidRDefault="0050383D" w:rsidP="00376A3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(2)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Sadržaji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povremenim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godišnjeg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izvješća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potrebe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dostave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56AD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uređen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71A4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propisom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uređuje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praćenje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onečišćujućih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tvari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zrak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nepokretnih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0117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izvora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383D" w:rsidRPr="003E431F" w:rsidRDefault="0050383D" w:rsidP="00376A3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Operater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koji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obvezu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dužan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osigurati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prijenos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podataka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izmjerenim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emisijskim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veličinama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računalnom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mrežom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automatiziranog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mjernog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kontinuirano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mjerenje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ovoga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01F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članka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383D" w:rsidRPr="003E431F" w:rsidRDefault="0050383D" w:rsidP="00376A3D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(4)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Informacijski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sustav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stavka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6FAC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javno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</w:t>
      </w:r>
      <w:r w:rsidR="00642091"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E43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dostupan.</w:t>
      </w:r>
    </w:p>
    <w:p w:rsidR="000031A9" w:rsidRPr="003E431F" w:rsidRDefault="000031A9" w:rsidP="0090082B">
      <w:pPr>
        <w:shd w:val="clear" w:color="auto" w:fill="FFFFFF"/>
        <w:spacing w:before="120" w:after="120" w:line="240" w:lineRule="auto"/>
        <w:ind w:firstLine="425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F33" w:rsidRPr="003E431F" w:rsidRDefault="00426F33" w:rsidP="0090082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Vrednovanje</w:t>
      </w:r>
      <w:r w:rsidR="00642091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677FF9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="00677FF9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emisij</w:t>
      </w:r>
      <w:r w:rsidR="00CE2410" w:rsidRPr="003E431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hr-HR"/>
        </w:rPr>
        <w:t>a</w:t>
      </w:r>
    </w:p>
    <w:p w:rsidR="00CE2410" w:rsidRPr="003E431F" w:rsidRDefault="00CE2410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E579E6" w:rsidRPr="003E431F">
        <w:t>60</w:t>
      </w:r>
      <w:r w:rsidRPr="003E431F">
        <w:t>.</w:t>
      </w:r>
    </w:p>
    <w:p w:rsidR="00677FF9" w:rsidRPr="003E431F" w:rsidRDefault="00677FF9" w:rsidP="00C93985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3E431F">
        <w:rPr>
          <w:shd w:val="clear" w:color="auto" w:fill="FFFFFF"/>
        </w:rPr>
        <w:t>(1)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Vrednovanje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rezultata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mjerenja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emisija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obavlja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se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usporedbom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rezultata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mjerenja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s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propisanim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graničnim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vrijednostima</w:t>
      </w:r>
      <w:r w:rsidR="00642091" w:rsidRPr="003E431F">
        <w:rPr>
          <w:shd w:val="clear" w:color="auto" w:fill="FFFFFF"/>
        </w:rPr>
        <w:t xml:space="preserve"> </w:t>
      </w:r>
      <w:r w:rsidR="00530D39" w:rsidRPr="003E431F">
        <w:rPr>
          <w:shd w:val="clear" w:color="auto" w:fill="FFFFFF"/>
        </w:rPr>
        <w:t>iz</w:t>
      </w:r>
      <w:r w:rsidR="00642091" w:rsidRPr="003E431F">
        <w:rPr>
          <w:shd w:val="clear" w:color="auto" w:fill="FFFFFF"/>
        </w:rPr>
        <w:t xml:space="preserve"> </w:t>
      </w:r>
      <w:r w:rsidR="0019701F" w:rsidRPr="003E431F">
        <w:rPr>
          <w:shd w:val="clear" w:color="auto" w:fill="FFFFFF"/>
        </w:rPr>
        <w:t>P</w:t>
      </w:r>
      <w:r w:rsidR="00530D39" w:rsidRPr="003E431F">
        <w:rPr>
          <w:shd w:val="clear" w:color="auto" w:fill="FFFFFF"/>
        </w:rPr>
        <w:t>riloga</w:t>
      </w:r>
      <w:r w:rsidR="00642091" w:rsidRPr="003E431F">
        <w:rPr>
          <w:shd w:val="clear" w:color="auto" w:fill="FFFFFF"/>
        </w:rPr>
        <w:t xml:space="preserve"> </w:t>
      </w:r>
      <w:r w:rsidR="008D73B5" w:rsidRPr="003E431F">
        <w:rPr>
          <w:shd w:val="clear" w:color="auto" w:fill="FFFFFF"/>
        </w:rPr>
        <w:t>20.</w:t>
      </w:r>
      <w:r w:rsidR="00642091" w:rsidRPr="003E431F">
        <w:rPr>
          <w:shd w:val="clear" w:color="auto" w:fill="FFFFFF"/>
        </w:rPr>
        <w:t xml:space="preserve"> </w:t>
      </w:r>
      <w:r w:rsidR="00530D39" w:rsidRPr="003E431F">
        <w:rPr>
          <w:shd w:val="clear" w:color="auto" w:fill="FFFFFF"/>
        </w:rPr>
        <w:t>i</w:t>
      </w:r>
      <w:r w:rsidR="00642091" w:rsidRPr="003E431F">
        <w:rPr>
          <w:shd w:val="clear" w:color="auto" w:fill="FFFFFF"/>
        </w:rPr>
        <w:t xml:space="preserve"> </w:t>
      </w:r>
      <w:r w:rsidR="00530D39" w:rsidRPr="003E431F">
        <w:rPr>
          <w:shd w:val="clear" w:color="auto" w:fill="FFFFFF"/>
        </w:rPr>
        <w:t>Priloga</w:t>
      </w:r>
      <w:r w:rsidR="00642091" w:rsidRPr="003E431F">
        <w:rPr>
          <w:shd w:val="clear" w:color="auto" w:fill="FFFFFF"/>
        </w:rPr>
        <w:t xml:space="preserve"> </w:t>
      </w:r>
      <w:r w:rsidR="008D73B5" w:rsidRPr="003E431F">
        <w:rPr>
          <w:shd w:val="clear" w:color="auto" w:fill="FFFFFF"/>
        </w:rPr>
        <w:t>21.</w:t>
      </w:r>
      <w:r w:rsidR="00642091" w:rsidRPr="003E431F">
        <w:rPr>
          <w:shd w:val="clear" w:color="auto" w:fill="FFFFFF"/>
        </w:rPr>
        <w:t xml:space="preserve"> </w:t>
      </w:r>
      <w:r w:rsidR="00530D39" w:rsidRPr="003E431F">
        <w:rPr>
          <w:shd w:val="clear" w:color="auto" w:fill="FFFFFF"/>
        </w:rPr>
        <w:t>ove</w:t>
      </w:r>
      <w:r w:rsidR="00642091" w:rsidRPr="003E431F">
        <w:rPr>
          <w:shd w:val="clear" w:color="auto" w:fill="FFFFFF"/>
        </w:rPr>
        <w:t xml:space="preserve"> </w:t>
      </w:r>
      <w:r w:rsidR="00530D39" w:rsidRPr="003E431F">
        <w:rPr>
          <w:shd w:val="clear" w:color="auto" w:fill="FFFFFF"/>
        </w:rPr>
        <w:t>Uredbe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ili</w:t>
      </w:r>
      <w:r w:rsidR="00642091" w:rsidRPr="003E431F">
        <w:rPr>
          <w:shd w:val="clear" w:color="auto" w:fill="FFFFFF"/>
        </w:rPr>
        <w:t xml:space="preserve"> </w:t>
      </w:r>
      <w:r w:rsidR="0019701F" w:rsidRPr="003E431F">
        <w:rPr>
          <w:shd w:val="clear" w:color="auto" w:fill="FFFFFF"/>
        </w:rPr>
        <w:t>okolišne</w:t>
      </w:r>
      <w:r w:rsidR="00642091" w:rsidRPr="003E431F">
        <w:rPr>
          <w:shd w:val="clear" w:color="auto" w:fill="FFFFFF"/>
        </w:rPr>
        <w:t xml:space="preserve"> </w:t>
      </w:r>
      <w:r w:rsidR="0019701F" w:rsidRPr="003E431F">
        <w:rPr>
          <w:shd w:val="clear" w:color="auto" w:fill="FFFFFF"/>
        </w:rPr>
        <w:t>dozvole</w:t>
      </w:r>
      <w:r w:rsidR="00642091" w:rsidRPr="003E431F">
        <w:rPr>
          <w:shd w:val="clear" w:color="auto" w:fill="FFFFFF"/>
        </w:rPr>
        <w:t xml:space="preserve"> </w:t>
      </w:r>
      <w:r w:rsidR="0019701F" w:rsidRPr="003E431F">
        <w:rPr>
          <w:shd w:val="clear" w:color="auto" w:fill="FFFFFF"/>
        </w:rPr>
        <w:t>odnosno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rješenj</w:t>
      </w:r>
      <w:r w:rsidR="00530D39" w:rsidRPr="003E431F">
        <w:rPr>
          <w:shd w:val="clear" w:color="auto" w:fill="FFFFFF"/>
        </w:rPr>
        <w:t>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o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objedinjenim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uvjetima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zaštite</w:t>
      </w:r>
      <w:r w:rsidR="00642091" w:rsidRPr="003E431F">
        <w:rPr>
          <w:shd w:val="clear" w:color="auto" w:fill="FFFFFF"/>
        </w:rPr>
        <w:t xml:space="preserve"> </w:t>
      </w:r>
      <w:r w:rsidRPr="003E431F">
        <w:rPr>
          <w:shd w:val="clear" w:color="auto" w:fill="FFFFFF"/>
        </w:rPr>
        <w:t>okoliša.</w:t>
      </w:r>
    </w:p>
    <w:p w:rsidR="00530D39" w:rsidRPr="003E431F" w:rsidRDefault="00C93985" w:rsidP="00C93985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3E431F">
        <w:t>(2)</w:t>
      </w:r>
      <w:r w:rsidR="00642091" w:rsidRPr="003E431F">
        <w:t xml:space="preserve"> </w:t>
      </w:r>
      <w:r w:rsidR="00530D39" w:rsidRPr="003E431F">
        <w:t>Vrijednosti</w:t>
      </w:r>
      <w:r w:rsidR="00642091" w:rsidRPr="003E431F">
        <w:t xml:space="preserve"> </w:t>
      </w:r>
      <w:r w:rsidR="00530D39" w:rsidRPr="003E431F">
        <w:t>masene</w:t>
      </w:r>
      <w:r w:rsidR="00642091" w:rsidRPr="003E431F">
        <w:t xml:space="preserve"> </w:t>
      </w:r>
      <w:r w:rsidR="00530D39" w:rsidRPr="003E431F">
        <w:t>koncentracije</w:t>
      </w:r>
      <w:r w:rsidR="00642091" w:rsidRPr="003E431F">
        <w:t xml:space="preserve"> </w:t>
      </w:r>
      <w:r w:rsidR="00530D39" w:rsidRPr="003E431F">
        <w:t>onečišćujućih</w:t>
      </w:r>
      <w:r w:rsidR="00642091" w:rsidRPr="003E431F">
        <w:t xml:space="preserve"> </w:t>
      </w:r>
      <w:r w:rsidR="00530D39" w:rsidRPr="003E431F">
        <w:t>tvari</w:t>
      </w:r>
      <w:r w:rsidR="00642091" w:rsidRPr="003E431F">
        <w:t xml:space="preserve"> </w:t>
      </w:r>
      <w:r w:rsidR="00530D39" w:rsidRPr="003E431F">
        <w:t>iz</w:t>
      </w:r>
      <w:r w:rsidR="00642091" w:rsidRPr="003E431F">
        <w:t xml:space="preserve"> </w:t>
      </w:r>
      <w:r w:rsidR="00530D39" w:rsidRPr="003E431F">
        <w:t>postrojenja</w:t>
      </w:r>
      <w:r w:rsidR="00642091" w:rsidRPr="003E431F">
        <w:t xml:space="preserve"> </w:t>
      </w:r>
      <w:r w:rsidR="00530D39" w:rsidRPr="003E431F">
        <w:t>za</w:t>
      </w:r>
      <w:r w:rsidR="00642091" w:rsidRPr="003E431F">
        <w:t xml:space="preserve"> </w:t>
      </w:r>
      <w:r w:rsidR="00530D39" w:rsidRPr="003E431F">
        <w:t>spaljivanje</w:t>
      </w:r>
      <w:r w:rsidR="00642091" w:rsidRPr="003E431F">
        <w:t xml:space="preserve"> </w:t>
      </w:r>
      <w:r w:rsidR="00530D39" w:rsidRPr="003E431F">
        <w:t>i</w:t>
      </w:r>
      <w:r w:rsidR="00642091" w:rsidRPr="003E431F">
        <w:t xml:space="preserve"> </w:t>
      </w:r>
      <w:r w:rsidR="00530D39" w:rsidRPr="003E431F">
        <w:t>suspaljivanje</w:t>
      </w:r>
      <w:r w:rsidR="00642091" w:rsidRPr="003E431F">
        <w:t xml:space="preserve"> </w:t>
      </w:r>
      <w:r w:rsidR="00530D39" w:rsidRPr="003E431F">
        <w:t>otpada</w:t>
      </w:r>
      <w:r w:rsidR="00642091" w:rsidRPr="003E431F">
        <w:t xml:space="preserve"> </w:t>
      </w:r>
      <w:r w:rsidR="00530D39" w:rsidRPr="003E431F">
        <w:t>pri</w:t>
      </w:r>
      <w:r w:rsidR="00642091" w:rsidRPr="003E431F">
        <w:t xml:space="preserve"> </w:t>
      </w:r>
      <w:r w:rsidR="00530D39" w:rsidRPr="003E431F">
        <w:t>propisanom</w:t>
      </w:r>
      <w:r w:rsidR="00642091" w:rsidRPr="003E431F">
        <w:t xml:space="preserve"> </w:t>
      </w:r>
      <w:r w:rsidR="00530D39" w:rsidRPr="003E431F">
        <w:t>volumnom</w:t>
      </w:r>
      <w:r w:rsidR="00642091" w:rsidRPr="003E431F">
        <w:t xml:space="preserve"> </w:t>
      </w:r>
      <w:r w:rsidR="00530D39" w:rsidRPr="003E431F">
        <w:t>udjelu</w:t>
      </w:r>
      <w:r w:rsidR="00642091" w:rsidRPr="003E431F">
        <w:t xml:space="preserve"> </w:t>
      </w:r>
      <w:r w:rsidR="00530D39" w:rsidRPr="003E431F">
        <w:t>kisika</w:t>
      </w:r>
      <w:r w:rsidR="00642091" w:rsidRPr="003E431F">
        <w:t xml:space="preserve"> </w:t>
      </w:r>
      <w:r w:rsidR="00530D39" w:rsidRPr="003E431F">
        <w:t>određuje</w:t>
      </w:r>
      <w:r w:rsidR="00642091" w:rsidRPr="003E431F">
        <w:t xml:space="preserve"> </w:t>
      </w:r>
      <w:r w:rsidR="00530D39" w:rsidRPr="003E431F">
        <w:t>se</w:t>
      </w:r>
      <w:r w:rsidR="00642091" w:rsidRPr="003E431F">
        <w:t xml:space="preserve"> </w:t>
      </w:r>
      <w:r w:rsidR="00530D39" w:rsidRPr="003E431F">
        <w:t>sukladno</w:t>
      </w:r>
      <w:r w:rsidR="00642091" w:rsidRPr="003E431F">
        <w:t xml:space="preserve"> </w:t>
      </w:r>
      <w:r w:rsidR="00530D39" w:rsidRPr="003E431F">
        <w:t>članku</w:t>
      </w:r>
      <w:r w:rsidR="00642091" w:rsidRPr="003E431F">
        <w:t xml:space="preserve"> </w:t>
      </w:r>
      <w:r w:rsidR="00530D39" w:rsidRPr="003E431F">
        <w:t>7.</w:t>
      </w:r>
      <w:r w:rsidR="00642091" w:rsidRPr="003E431F">
        <w:t xml:space="preserve"> </w:t>
      </w:r>
      <w:r w:rsidR="00530D39" w:rsidRPr="003E431F">
        <w:t>ove</w:t>
      </w:r>
      <w:r w:rsidR="00642091" w:rsidRPr="003E431F">
        <w:t xml:space="preserve"> </w:t>
      </w:r>
      <w:r w:rsidR="00530D39" w:rsidRPr="003E431F">
        <w:t>Uredbe</w:t>
      </w:r>
      <w:r w:rsidR="0019701F" w:rsidRPr="003E431F">
        <w:t>.</w:t>
      </w:r>
    </w:p>
    <w:p w:rsidR="00426F33" w:rsidRPr="003E431F" w:rsidRDefault="00E579E6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426F33" w:rsidRPr="003E431F">
        <w:rPr>
          <w:rFonts w:eastAsia="Times New Roman"/>
          <w:lang w:eastAsia="hr-HR"/>
        </w:rPr>
        <w:t>6</w:t>
      </w:r>
      <w:r w:rsidRPr="003E431F">
        <w:rPr>
          <w:rFonts w:eastAsia="Times New Roman"/>
          <w:lang w:eastAsia="hr-HR"/>
        </w:rPr>
        <w:t>1</w:t>
      </w:r>
      <w:r w:rsidR="00426F33" w:rsidRPr="003E431F">
        <w:rPr>
          <w:rFonts w:eastAsia="Times New Roman"/>
          <w:lang w:eastAsia="hr-HR"/>
        </w:rPr>
        <w:t>.</w:t>
      </w:r>
    </w:p>
    <w:p w:rsidR="00426F33" w:rsidRPr="003E431F" w:rsidRDefault="00426F33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A36B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A36B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A36B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A36B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ako:</w:t>
      </w:r>
    </w:p>
    <w:p w:rsidR="00426F33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6E755C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polusatna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hAnsi="Times New Roman" w:cs="Times New Roman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polusatnih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pređe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6E755C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1284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</w:p>
    <w:p w:rsidR="00276832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26F3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10-minutnih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uzetih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24-satnom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polusatne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zagrijava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trajanju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F049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sekunde,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evaluacije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F049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sedam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10-minutne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vrijednost)</w:t>
      </w:r>
    </w:p>
    <w:p w:rsidR="00593188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593188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76832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E145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93188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</w:p>
    <w:p w:rsidR="00494F35" w:rsidRPr="003E431F" w:rsidRDefault="00F37DA1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94F35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426F33" w:rsidRPr="003E431F" w:rsidRDefault="00426F33" w:rsidP="00F37DA1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razini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95%-tna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pouzdanost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svakog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izmjerenog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prelaziti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postotke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GVE:</w:t>
      </w:r>
    </w:p>
    <w:tbl>
      <w:tblPr>
        <w:tblW w:w="5628" w:type="dxa"/>
        <w:tblInd w:w="6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017"/>
      </w:tblGrid>
      <w:tr w:rsidR="00593188" w:rsidRPr="003E431F" w:rsidTr="00F37DA1">
        <w:trPr>
          <w:trHeight w:hRule="exact" w:val="340"/>
        </w:trPr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monoksid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10%</w:t>
            </w:r>
          </w:p>
        </w:tc>
      </w:tr>
      <w:tr w:rsidR="00426F33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sumporov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</w:tr>
      <w:tr w:rsidR="00426F33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dušikov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20%</w:t>
            </w:r>
          </w:p>
        </w:tc>
      </w:tr>
      <w:tr w:rsidR="00426F33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</w:p>
        </w:tc>
      </w:tr>
      <w:tr w:rsidR="00426F33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ugljik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30%</w:t>
            </w:r>
          </w:p>
        </w:tc>
      </w:tr>
      <w:tr w:rsidR="00426F33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klorid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40%</w:t>
            </w:r>
          </w:p>
        </w:tc>
      </w:tr>
      <w:tr w:rsidR="00593188" w:rsidRPr="003E431F" w:rsidTr="00F37DA1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fluorid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26F33" w:rsidRPr="003E431F" w:rsidRDefault="00426F33" w:rsidP="005931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40%</w:t>
            </w:r>
          </w:p>
        </w:tc>
      </w:tr>
    </w:tbl>
    <w:p w:rsidR="00426F33" w:rsidRPr="003E431F" w:rsidRDefault="00426F33" w:rsidP="00F37DA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polusatne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desetominutne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efektivnoga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(bez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spaljuje)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oduzimanja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pouzdanosti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validiranih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valjane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polusatnih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otpisati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sustava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kontinuirano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otpisati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deset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metodama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međusobno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umjeravanja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mjerne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zrak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nepokretnih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izvora.</w:t>
      </w:r>
    </w:p>
    <w:p w:rsidR="00F37DA1" w:rsidRPr="003E431F" w:rsidRDefault="00F37DA1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6F33" w:rsidRPr="003E431F" w:rsidRDefault="00426F33" w:rsidP="004E72E1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iCs/>
          <w:color w:val="231F20"/>
          <w:sz w:val="24"/>
          <w:szCs w:val="24"/>
          <w:bdr w:val="none" w:sz="0" w:space="0" w:color="auto" w:frame="1"/>
          <w:lang w:eastAsia="hr-HR"/>
        </w:rPr>
        <w:t>Krematoriji</w:t>
      </w: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62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F37DA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krematorija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9645A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A0693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redbe.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17%,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električnom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Krematorij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komorom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sekundarno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plinova.</w:t>
      </w:r>
    </w:p>
    <w:p w:rsidR="00426F33" w:rsidRPr="003E431F" w:rsidRDefault="00426F33" w:rsidP="00F37DA1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1%.</w:t>
      </w:r>
    </w:p>
    <w:p w:rsidR="00F337C2" w:rsidRPr="003E431F" w:rsidRDefault="00F337C2" w:rsidP="00A13D65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26F33" w:rsidRPr="003E431F" w:rsidRDefault="00426F33" w:rsidP="006427F5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Članak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</w:t>
      </w:r>
      <w:r w:rsidR="00E579E6" w:rsidRPr="003E431F">
        <w:rPr>
          <w:rFonts w:eastAsia="Times New Roman"/>
          <w:lang w:eastAsia="hr-HR"/>
        </w:rPr>
        <w:t>63</w:t>
      </w:r>
      <w:r w:rsidRPr="003E431F">
        <w:rPr>
          <w:rFonts w:eastAsia="Times New Roman"/>
          <w:lang w:eastAsia="hr-HR"/>
        </w:rPr>
        <w:t>.</w:t>
      </w:r>
    </w:p>
    <w:p w:rsidR="00426F33" w:rsidRPr="003E431F" w:rsidRDefault="00426F33" w:rsidP="009978E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krematorija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kontinuiranim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mjerenjem.</w:t>
      </w:r>
    </w:p>
    <w:p w:rsidR="00426F33" w:rsidRPr="003E431F" w:rsidRDefault="00426F33" w:rsidP="009978E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klorovodika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fluorovodika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povremenim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jedanput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godišnje.</w:t>
      </w:r>
    </w:p>
    <w:p w:rsidR="00426F33" w:rsidRPr="003E431F" w:rsidRDefault="00426F33" w:rsidP="009978E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Smatra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F72A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udovoljava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postavljenim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2A519D" w:rsidRPr="003E431F" w:rsidRDefault="002A519D" w:rsidP="009978E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E579E6" w:rsidP="006427F5">
      <w:pPr>
        <w:pStyle w:val="Naslov1"/>
      </w:pPr>
      <w:r w:rsidRPr="003E431F">
        <w:t>X.</w:t>
      </w:r>
      <w:r w:rsidR="00642091" w:rsidRPr="003E431F">
        <w:t xml:space="preserve"> </w:t>
      </w:r>
      <w:r w:rsidRPr="003E431F">
        <w:t>OBAVJEŠĆIVANJE</w:t>
      </w:r>
      <w:r w:rsidR="00642091" w:rsidRPr="003E431F">
        <w:t xml:space="preserve"> </w:t>
      </w:r>
      <w:r w:rsidRPr="003E431F">
        <w:t>JAVNOSTI</w:t>
      </w:r>
    </w:p>
    <w:p w:rsidR="00E579E6" w:rsidRPr="003E431F" w:rsidRDefault="00E579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</w:t>
      </w:r>
      <w:r w:rsidR="00A06931" w:rsidRPr="003E431F">
        <w:t>64</w:t>
      </w:r>
      <w:r w:rsidRPr="003E431F"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upisanih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B668D6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objavljuje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internetskoj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stranici</w:t>
      </w:r>
      <w:r w:rsidR="00642091" w:rsidRPr="003E431F">
        <w:rPr>
          <w:color w:val="231F20"/>
        </w:rPr>
        <w:t xml:space="preserve"> </w:t>
      </w:r>
      <w:r w:rsidR="00A06931" w:rsidRPr="003E431F">
        <w:rPr>
          <w:color w:val="231F20"/>
        </w:rPr>
        <w:t>Ministarstva</w:t>
      </w:r>
      <w:r w:rsidRPr="003E431F">
        <w:rPr>
          <w:color w:val="231F20"/>
        </w:rPr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Pristup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javnosti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pohranjenim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EHOS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baze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osigurava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internetskim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stranicama</w:t>
      </w:r>
      <w:r w:rsidR="00642091" w:rsidRPr="003E431F">
        <w:rPr>
          <w:color w:val="231F20"/>
        </w:rPr>
        <w:t xml:space="preserve"> </w:t>
      </w:r>
      <w:r w:rsidR="00B81C80" w:rsidRPr="003E431F">
        <w:rPr>
          <w:color w:val="231F20"/>
        </w:rPr>
        <w:t>Ministarstva</w:t>
      </w:r>
      <w:r w:rsidRPr="003E431F">
        <w:rPr>
          <w:color w:val="231F20"/>
        </w:rPr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upotrijebljenim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B81C80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4D2AE5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4D2AE5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objavljuju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internetskoj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stranici</w:t>
      </w:r>
      <w:r w:rsidR="00642091" w:rsidRPr="003E431F">
        <w:rPr>
          <w:color w:val="231F20"/>
        </w:rPr>
        <w:t xml:space="preserve"> </w:t>
      </w:r>
      <w:r w:rsidR="00D73022" w:rsidRPr="003E431F">
        <w:rPr>
          <w:color w:val="231F20"/>
        </w:rPr>
        <w:t>Ministarstva</w:t>
      </w:r>
      <w:r w:rsidRPr="003E431F">
        <w:rPr>
          <w:color w:val="231F20"/>
        </w:rPr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Registar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D73022" w:rsidRPr="003E431F">
        <w:rPr>
          <w:color w:val="231F20"/>
        </w:rPr>
        <w:t>81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objavljuje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internetskoj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stranici</w:t>
      </w:r>
      <w:r w:rsidR="00642091" w:rsidRPr="003E431F">
        <w:rPr>
          <w:color w:val="231F20"/>
        </w:rPr>
        <w:t xml:space="preserve"> </w:t>
      </w:r>
      <w:r w:rsidR="00A13D65" w:rsidRPr="003E431F">
        <w:rPr>
          <w:color w:val="231F20"/>
        </w:rPr>
        <w:t>Ministarstva</w:t>
      </w:r>
      <w:r w:rsidRPr="003E431F">
        <w:rPr>
          <w:color w:val="231F20"/>
        </w:rPr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(5)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Popis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spaljivanje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suspaljivanje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teritoriju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Republike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Hrvatske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objavljuje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internetskim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stranicama</w:t>
      </w:r>
      <w:r w:rsidR="00642091" w:rsidRPr="003E431F">
        <w:rPr>
          <w:color w:val="231F20"/>
        </w:rPr>
        <w:t xml:space="preserve"> </w:t>
      </w:r>
      <w:r w:rsidR="00A13D65" w:rsidRPr="003E431F">
        <w:rPr>
          <w:color w:val="231F20"/>
        </w:rPr>
        <w:t>Ministarstva</w:t>
      </w:r>
      <w:r w:rsidRPr="003E431F">
        <w:rPr>
          <w:color w:val="231F20"/>
        </w:rPr>
        <w:t>.</w:t>
      </w:r>
    </w:p>
    <w:p w:rsidR="002A519D" w:rsidRPr="003E431F" w:rsidRDefault="002A519D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E579E6" w:rsidRPr="003E431F" w:rsidRDefault="00E579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16</w:t>
      </w:r>
      <w:r w:rsidR="00A06931" w:rsidRPr="003E431F">
        <w:t>5</w:t>
      </w:r>
      <w:r w:rsidRPr="003E431F"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Prilozi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="00B46CC8" w:rsidRPr="003E431F">
        <w:rPr>
          <w:color w:val="231F20"/>
        </w:rPr>
        <w:t>22.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tiskani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njezin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sastavni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dio.</w:t>
      </w:r>
    </w:p>
    <w:p w:rsidR="00F337C2" w:rsidRPr="003E431F" w:rsidRDefault="00F337C2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E579E6" w:rsidRPr="003E431F" w:rsidRDefault="00E579E6" w:rsidP="006427F5">
      <w:pPr>
        <w:pStyle w:val="Naslov1"/>
      </w:pPr>
      <w:r w:rsidRPr="003E431F">
        <w:t>XI.</w:t>
      </w:r>
      <w:r w:rsidR="00642091" w:rsidRPr="003E431F">
        <w:t xml:space="preserve"> </w:t>
      </w:r>
      <w:r w:rsidRPr="003E431F">
        <w:t>PRIJELAZNE</w:t>
      </w:r>
      <w:r w:rsidR="00642091" w:rsidRPr="003E431F">
        <w:t xml:space="preserve"> </w:t>
      </w:r>
      <w:r w:rsidRPr="003E431F">
        <w:t>I</w:t>
      </w:r>
      <w:r w:rsidR="00642091" w:rsidRPr="003E431F">
        <w:t xml:space="preserve"> </w:t>
      </w:r>
      <w:r w:rsidRPr="003E431F">
        <w:t>ZAVRŠNE</w:t>
      </w:r>
      <w:r w:rsidR="00642091" w:rsidRPr="003E431F">
        <w:t xml:space="preserve"> </w:t>
      </w:r>
      <w:r w:rsidRPr="003E431F">
        <w:t>ODREDBE</w:t>
      </w:r>
    </w:p>
    <w:p w:rsidR="00E579E6" w:rsidRPr="003E431F" w:rsidRDefault="00A06931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166</w:t>
      </w:r>
      <w:r w:rsidR="00E579E6" w:rsidRPr="003E431F">
        <w:t>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(1)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Iznimno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odredbi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</w:t>
      </w:r>
      <w:r w:rsidR="00642091" w:rsidRPr="003E431F">
        <w:rPr>
          <w:color w:val="231F20"/>
        </w:rPr>
        <w:t xml:space="preserve"> </w:t>
      </w:r>
      <w:r w:rsidR="003515FD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3515FD"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="003515FD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3515FD" w:rsidRPr="003E431F">
        <w:rPr>
          <w:color w:val="231F20"/>
        </w:rPr>
        <w:t>dužan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</w:t>
      </w:r>
      <w:r w:rsidR="003515FD" w:rsidRPr="003E431F">
        <w:rPr>
          <w:color w:val="231F20"/>
        </w:rPr>
        <w:t>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roku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mjeseci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stupanja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SO</w:t>
      </w:r>
      <w:r w:rsidRPr="003E431F">
        <w:rPr>
          <w:color w:val="231F20"/>
          <w:vertAlign w:val="subscript"/>
        </w:rPr>
        <w:t>2</w:t>
      </w:r>
      <w:r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</w:t>
      </w:r>
      <w:r w:rsidRPr="003E431F">
        <w:rPr>
          <w:color w:val="231F20"/>
          <w:vertAlign w:val="subscript"/>
        </w:rPr>
        <w:t>X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krutih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čestica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uređaja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loženje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ulazne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MW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turbina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A06931" w:rsidRPr="003E431F">
        <w:rPr>
          <w:color w:val="231F20"/>
        </w:rPr>
        <w:t>12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2025.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(3)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SO</w:t>
      </w:r>
      <w:r w:rsidRPr="003E431F">
        <w:rPr>
          <w:color w:val="231F20"/>
          <w:vertAlign w:val="subscript"/>
        </w:rPr>
        <w:t>2</w:t>
      </w:r>
      <w:r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</w:t>
      </w:r>
      <w:r w:rsidRPr="003E431F">
        <w:rPr>
          <w:color w:val="231F20"/>
          <w:vertAlign w:val="subscript"/>
        </w:rPr>
        <w:t>X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krutih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čestica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uređaja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loženje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ulazne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MW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turbina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A06931" w:rsidRPr="003E431F">
        <w:rPr>
          <w:color w:val="231F20"/>
        </w:rPr>
        <w:t>12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točaka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2030.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(4)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uređaja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loženje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srednjih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turbina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SIS-a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izolirani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sustav)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MIS-a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(mikro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izolirani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sustav)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364F75" w:rsidRPr="003E431F">
        <w:rPr>
          <w:color w:val="231F20"/>
        </w:rPr>
        <w:t>12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2030.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</w:t>
      </w:r>
      <w:r w:rsidR="0090082B" w:rsidRPr="003E431F">
        <w:rPr>
          <w:color w:val="231F20"/>
        </w:rPr>
        <w:t>5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ulazne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iznad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MW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</w:t>
      </w:r>
      <w:r w:rsidR="00364F75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2025.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E579E6" w:rsidRPr="003E431F" w:rsidRDefault="00E579E6" w:rsidP="002A519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(</w:t>
      </w:r>
      <w:r w:rsidR="0090082B" w:rsidRPr="003E431F">
        <w:rPr>
          <w:color w:val="231F20"/>
        </w:rPr>
        <w:t>6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postojeće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motore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unutarnjim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izgaranjem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ulazne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toplinske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MW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</w:t>
      </w:r>
      <w:r w:rsidR="00364F75" w:rsidRPr="003E431F">
        <w:rPr>
          <w:color w:val="231F20"/>
        </w:rPr>
        <w:t>9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stavka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postići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siječnja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2030.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godine.</w:t>
      </w:r>
    </w:p>
    <w:p w:rsidR="008B3CC2" w:rsidRPr="003E431F" w:rsidRDefault="008B3CC2" w:rsidP="005E515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231F20"/>
        </w:rPr>
      </w:pPr>
    </w:p>
    <w:p w:rsidR="00E579E6" w:rsidRPr="003E431F" w:rsidRDefault="00E579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16</w:t>
      </w:r>
      <w:r w:rsidR="00364F75" w:rsidRPr="003E431F">
        <w:t>7</w:t>
      </w:r>
      <w:r w:rsidRPr="003E431F">
        <w:t>.</w:t>
      </w:r>
    </w:p>
    <w:p w:rsidR="00E579E6" w:rsidRPr="003E431F" w:rsidRDefault="00E579E6" w:rsidP="00846CB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Danom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stupanja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prestaje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važiti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nepokretnih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izvora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(»Narodne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novine«,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</w:t>
      </w:r>
      <w:r w:rsidR="00A13D65" w:rsidRPr="003E431F">
        <w:rPr>
          <w:color w:val="231F20"/>
        </w:rPr>
        <w:t>roj</w:t>
      </w:r>
      <w:r w:rsidR="00642091" w:rsidRPr="003E431F">
        <w:rPr>
          <w:color w:val="231F20"/>
        </w:rPr>
        <w:t xml:space="preserve"> </w:t>
      </w:r>
      <w:r w:rsidR="00A13D65" w:rsidRPr="003E431F">
        <w:rPr>
          <w:color w:val="231F20"/>
        </w:rPr>
        <w:t>87/17</w:t>
      </w:r>
      <w:r w:rsidRPr="003E431F">
        <w:rPr>
          <w:color w:val="231F20"/>
        </w:rPr>
        <w:t>).</w:t>
      </w:r>
    </w:p>
    <w:p w:rsidR="0045568C" w:rsidRPr="003E431F" w:rsidRDefault="0045568C" w:rsidP="00846CB3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E579E6" w:rsidRPr="003E431F" w:rsidRDefault="00E579E6" w:rsidP="006427F5">
      <w:pPr>
        <w:pStyle w:val="Naslov2"/>
      </w:pPr>
      <w:r w:rsidRPr="003E431F">
        <w:t>Članak</w:t>
      </w:r>
      <w:r w:rsidR="00642091" w:rsidRPr="003E431F">
        <w:t xml:space="preserve"> </w:t>
      </w:r>
      <w:r w:rsidRPr="003E431F">
        <w:t>16</w:t>
      </w:r>
      <w:r w:rsidR="00364F75" w:rsidRPr="003E431F">
        <w:t>8</w:t>
      </w:r>
      <w:r w:rsidRPr="003E431F">
        <w:t>.</w:t>
      </w:r>
    </w:p>
    <w:p w:rsidR="00E579E6" w:rsidRPr="003E431F" w:rsidRDefault="00E579E6" w:rsidP="0045568C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stupa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snagu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osmoga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objave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»Narodnim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novinama«.</w:t>
      </w:r>
    </w:p>
    <w:p w:rsidR="00E579E6" w:rsidRPr="003E431F" w:rsidRDefault="00E579E6" w:rsidP="00E579E6">
      <w:pPr>
        <w:pStyle w:val="box455522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:rsidR="0045568C" w:rsidRPr="003E431F" w:rsidRDefault="00E579E6" w:rsidP="0045568C">
      <w:pPr>
        <w:pStyle w:val="box455522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3E431F">
        <w:rPr>
          <w:color w:val="231F20"/>
        </w:rPr>
        <w:t>Klasa:</w:t>
      </w:r>
      <w:r w:rsidR="00642091" w:rsidRPr="003E431F">
        <w:rPr>
          <w:color w:val="231F20"/>
        </w:rPr>
        <w:t xml:space="preserve"> </w:t>
      </w:r>
    </w:p>
    <w:p w:rsidR="0045568C" w:rsidRPr="003E431F" w:rsidRDefault="00E579E6" w:rsidP="0045568C">
      <w:pPr>
        <w:pStyle w:val="box455522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3E431F">
        <w:rPr>
          <w:color w:val="231F20"/>
        </w:rPr>
        <w:t>Urbroj:</w:t>
      </w:r>
      <w:r w:rsidR="00642091" w:rsidRPr="003E431F">
        <w:rPr>
          <w:color w:val="231F20"/>
        </w:rPr>
        <w:t xml:space="preserve"> </w:t>
      </w:r>
    </w:p>
    <w:p w:rsidR="00E579E6" w:rsidRPr="003E431F" w:rsidRDefault="00E579E6" w:rsidP="0045568C">
      <w:pPr>
        <w:pStyle w:val="box455522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3E431F">
        <w:rPr>
          <w:color w:val="231F20"/>
        </w:rPr>
        <w:t>Zagreb,</w:t>
      </w:r>
      <w:r w:rsidR="00642091" w:rsidRPr="003E431F">
        <w:rPr>
          <w:color w:val="231F20"/>
        </w:rPr>
        <w:t xml:space="preserve"> </w:t>
      </w:r>
    </w:p>
    <w:p w:rsidR="00E579E6" w:rsidRPr="003E431F" w:rsidRDefault="00E579E6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3E431F">
        <w:rPr>
          <w:color w:val="231F20"/>
        </w:rPr>
        <w:t>Predsjednik</w:t>
      </w:r>
    </w:p>
    <w:p w:rsidR="00E579E6" w:rsidRPr="003E431F" w:rsidRDefault="00E579E6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 w:rsidRPr="003E431F">
        <w:rPr>
          <w:color w:val="231F20"/>
        </w:rPr>
        <w:br/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mr.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sc.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Andrej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Plenković,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color w:val="231F20"/>
        </w:rPr>
        <w:t>v.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r.</w:t>
      </w:r>
    </w:p>
    <w:p w:rsidR="00F337C2" w:rsidRPr="003E431F" w:rsidRDefault="00F337C2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F337C2" w:rsidRPr="003E431F" w:rsidRDefault="00F337C2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F337C2" w:rsidRPr="003E431F" w:rsidRDefault="00F337C2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F337C2" w:rsidRPr="003E431F" w:rsidRDefault="00F337C2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F337C2" w:rsidRPr="003E431F" w:rsidRDefault="00F337C2" w:rsidP="00E579E6">
      <w:pPr>
        <w:pStyle w:val="box455522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</w:p>
    <w:p w:rsidR="00316B0F" w:rsidRPr="003E431F" w:rsidRDefault="00364F75" w:rsidP="006427F5">
      <w:pPr>
        <w:pStyle w:val="Naslov1"/>
      </w:pPr>
      <w:r w:rsidRPr="003E431F">
        <w:t>P</w:t>
      </w:r>
      <w:r w:rsidR="00316B0F" w:rsidRPr="003E431F">
        <w:t>RILOG</w:t>
      </w:r>
      <w:r w:rsidR="00642091" w:rsidRPr="003E431F">
        <w:t xml:space="preserve"> </w:t>
      </w:r>
      <w:r w:rsidR="00A13D65" w:rsidRPr="003E431F">
        <w:t>1</w:t>
      </w:r>
      <w:r w:rsidR="00316B0F" w:rsidRPr="003E431F">
        <w:t>.</w:t>
      </w:r>
    </w:p>
    <w:p w:rsidR="00316B0F" w:rsidRPr="003E431F" w:rsidRDefault="00642091" w:rsidP="00316B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b/>
          <w:sz w:val="24"/>
          <w:szCs w:val="24"/>
        </w:rPr>
        <w:t>PARAMETRI</w:t>
      </w:r>
      <w:r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b/>
          <w:sz w:val="24"/>
          <w:szCs w:val="24"/>
        </w:rPr>
        <w:t>PRAĆENJA</w:t>
      </w:r>
      <w:r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b/>
          <w:sz w:val="24"/>
          <w:szCs w:val="24"/>
        </w:rPr>
        <w:t>EMISIJA</w:t>
      </w:r>
    </w:p>
    <w:p w:rsidR="00316B0F" w:rsidRPr="003E431F" w:rsidRDefault="004436AC" w:rsidP="006427F5">
      <w:pPr>
        <w:pStyle w:val="Naslov2"/>
        <w:jc w:val="left"/>
      </w:pPr>
      <w:r w:rsidRPr="003E431F">
        <w:rPr>
          <w:rFonts w:eastAsia="Times New Roman"/>
          <w:lang w:eastAsia="hr-HR"/>
        </w:rPr>
        <w:t xml:space="preserve">A. </w:t>
      </w:r>
      <w:r w:rsidR="00316B0F" w:rsidRPr="003E431F">
        <w:rPr>
          <w:rFonts w:eastAsia="Times New Roman"/>
          <w:lang w:eastAsia="hr-HR"/>
        </w:rPr>
        <w:t>Vrijednosti</w:t>
      </w:r>
      <w:r w:rsidR="00642091" w:rsidRPr="003E431F">
        <w:rPr>
          <w:rFonts w:eastAsia="Times New Roman"/>
          <w:lang w:eastAsia="hr-HR"/>
        </w:rPr>
        <w:t xml:space="preserve"> </w:t>
      </w:r>
      <w:r w:rsidR="00316B0F" w:rsidRPr="003E431F">
        <w:rPr>
          <w:rFonts w:eastAsia="Times New Roman"/>
          <w:lang w:eastAsia="hr-HR"/>
        </w:rPr>
        <w:t>masene</w:t>
      </w:r>
      <w:r w:rsidR="00642091" w:rsidRPr="003E431F">
        <w:rPr>
          <w:rFonts w:eastAsia="Times New Roman"/>
          <w:lang w:eastAsia="hr-HR"/>
        </w:rPr>
        <w:t xml:space="preserve"> </w:t>
      </w:r>
      <w:r w:rsidR="00316B0F" w:rsidRPr="003E431F">
        <w:rPr>
          <w:rFonts w:eastAsia="Times New Roman"/>
          <w:lang w:eastAsia="hr-HR"/>
        </w:rPr>
        <w:t>koncentracije</w:t>
      </w:r>
      <w:r w:rsidR="00642091" w:rsidRPr="003E431F">
        <w:rPr>
          <w:rFonts w:eastAsia="Times New Roman"/>
          <w:lang w:eastAsia="hr-HR"/>
        </w:rPr>
        <w:t xml:space="preserve"> </w:t>
      </w:r>
      <w:r w:rsidR="00316B0F" w:rsidRPr="003E431F">
        <w:rPr>
          <w:rFonts w:eastAsia="Times New Roman"/>
          <w:lang w:eastAsia="hr-HR"/>
        </w:rPr>
        <w:t>onečišćujućih</w:t>
      </w:r>
    </w:p>
    <w:p w:rsidR="00316B0F" w:rsidRPr="003E431F" w:rsidRDefault="00316B0F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jednadžbi:</w:t>
      </w:r>
    </w:p>
    <w:p w:rsidR="00316B0F" w:rsidRPr="003E431F" w:rsidRDefault="00316B0F" w:rsidP="004436AC">
      <w:pPr>
        <w:tabs>
          <w:tab w:val="left" w:pos="993"/>
        </w:tabs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3E431F">
        <w:rPr>
          <w:rFonts w:ascii="Times New Roman" w:eastAsia="Times New Roman" w:hAnsi="Times New Roman" w:cs="Times New Roman"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 wp14:anchorId="28A6951C" wp14:editId="19B32C0A">
            <wp:extent cx="1240403" cy="444926"/>
            <wp:effectExtent l="0" t="0" r="0" b="0"/>
            <wp:docPr id="4" name="Slika 4" descr="https://narodne-novine.nn.hr/files/_web/sluzbeni-dio/2017/129868/images/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rodne-novine.nn.hr/files/_web/sluzbeni-dio/2017/129868/images/36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89" cy="45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0F" w:rsidRPr="003E431F" w:rsidRDefault="00316B0F" w:rsidP="004436AC">
      <w:pPr>
        <w:tabs>
          <w:tab w:val="left" w:pos="993"/>
        </w:tabs>
        <w:spacing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m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određujućeg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izvor.</w:t>
      </w:r>
    </w:p>
    <w:p w:rsidR="00316B0F" w:rsidRPr="003E431F" w:rsidRDefault="00316B0F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zadan,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termičke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odvijanju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procesa.</w:t>
      </w:r>
    </w:p>
    <w:p w:rsidR="00316B0F" w:rsidRPr="003E431F" w:rsidRDefault="00316B0F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razrjeđuje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dovedena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razrjeđivanje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usporedbi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</w:p>
    <w:p w:rsidR="004436AC" w:rsidRPr="003E431F" w:rsidRDefault="004436AC" w:rsidP="004436AC">
      <w:pPr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16B0F" w:rsidRPr="003E431F" w:rsidRDefault="00316B0F" w:rsidP="006427F5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B.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Toplinski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gubitak</w:t>
      </w:r>
      <w:r w:rsidR="00642091" w:rsidRPr="003E431F">
        <w:rPr>
          <w:rFonts w:eastAsia="Times New Roman"/>
          <w:lang w:eastAsia="hr-HR"/>
        </w:rPr>
        <w:t xml:space="preserve"> </w:t>
      </w:r>
    </w:p>
    <w:p w:rsidR="00316B0F" w:rsidRPr="003E431F" w:rsidRDefault="00316B0F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gubitak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jednadžbi:</w:t>
      </w:r>
    </w:p>
    <w:p w:rsidR="00316B0F" w:rsidRPr="003E431F" w:rsidRDefault="004436AC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%-tni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plinu:</w:t>
      </w:r>
    </w:p>
    <w:p w:rsidR="00316B0F" w:rsidRPr="003E431F" w:rsidRDefault="00316B0F" w:rsidP="004436AC">
      <w:pPr>
        <w:tabs>
          <w:tab w:val="left" w:pos="993"/>
        </w:tabs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3E431F">
        <w:rPr>
          <w:rFonts w:ascii="Times New Roman" w:eastAsia="Times New Roman" w:hAnsi="Times New Roman" w:cs="Times New Roman"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 wp14:anchorId="09AD3F72" wp14:editId="5667BAA6">
            <wp:extent cx="1883327" cy="447675"/>
            <wp:effectExtent l="0" t="0" r="3175" b="0"/>
            <wp:docPr id="5" name="Slika 5" descr="https://narodne-novine.nn.hr/files/_web/sluzbeni-dio/2017/129868/images/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rodne-novine.nn.hr/files/_web/sluzbeni-dio/2017/129868/images/36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26" cy="45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0F" w:rsidRPr="003E431F" w:rsidRDefault="004436AC" w:rsidP="004436AC">
      <w:pPr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%-tni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(CO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plinu:</w:t>
      </w:r>
    </w:p>
    <w:p w:rsidR="00316B0F" w:rsidRPr="003E431F" w:rsidRDefault="00316B0F" w:rsidP="004436AC">
      <w:pPr>
        <w:tabs>
          <w:tab w:val="left" w:pos="993"/>
        </w:tabs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3E431F">
        <w:rPr>
          <w:rFonts w:ascii="Times New Roman" w:eastAsia="Times New Roman" w:hAnsi="Times New Roman" w:cs="Times New Roman"/>
          <w:noProof/>
          <w:color w:val="231F20"/>
          <w:sz w:val="26"/>
          <w:szCs w:val="26"/>
          <w:bdr w:val="none" w:sz="0" w:space="0" w:color="auto" w:frame="1"/>
          <w:lang w:eastAsia="hr-HR"/>
        </w:rPr>
        <w:drawing>
          <wp:inline distT="0" distB="0" distL="0" distR="0" wp14:anchorId="64706205" wp14:editId="466D535A">
            <wp:extent cx="1791931" cy="514350"/>
            <wp:effectExtent l="0" t="0" r="0" b="0"/>
            <wp:docPr id="6" name="Slika 6" descr="https://narodne-novine.nn.hr/files/_web/sluzbeni-dio/2017/129868/images/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rodne-novine.nn.hr/files/_web/sluzbeni-dio/2017/129868/images/36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53" cy="51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0F" w:rsidRPr="003E431F" w:rsidRDefault="00316B0F" w:rsidP="004436AC">
      <w:pPr>
        <w:tabs>
          <w:tab w:val="left" w:pos="993"/>
        </w:tabs>
        <w:spacing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Q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dp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gubici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dp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ložišta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°C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</w:t>
      </w:r>
    </w:p>
    <w:p w:rsidR="00316B0F" w:rsidRPr="003E431F" w:rsidRDefault="004436AC" w:rsidP="004436AC">
      <w:pPr>
        <w:tabs>
          <w:tab w:val="left" w:pos="993"/>
        </w:tabs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izmjereni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(CO</w:t>
      </w:r>
      <w:r w:rsidR="00316B0F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%.</w:t>
      </w:r>
    </w:p>
    <w:p w:rsidR="00316B0F" w:rsidRPr="003E431F" w:rsidRDefault="00316B0F" w:rsidP="004436AC">
      <w:pPr>
        <w:tabs>
          <w:tab w:val="left" w:pos="993"/>
        </w:tabs>
        <w:spacing w:before="120" w:after="24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konstanti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176"/>
        <w:gridCol w:w="1236"/>
        <w:gridCol w:w="1176"/>
        <w:gridCol w:w="1188"/>
        <w:gridCol w:w="1212"/>
        <w:gridCol w:w="2160"/>
      </w:tblGrid>
      <w:tr w:rsidR="00316B0F" w:rsidRPr="003E431F" w:rsidTr="00713D6A">
        <w:trPr>
          <w:trHeight w:hRule="exact" w:val="62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drvo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loživo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ulje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gradski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koksni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tekući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mješavina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zraka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vertAlign w:val="subscript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0,42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0,63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0,008</w:t>
            </w:r>
          </w:p>
        </w:tc>
      </w:tr>
    </w:tbl>
    <w:p w:rsidR="004436AC" w:rsidRPr="003E431F" w:rsidRDefault="004436AC" w:rsidP="004436AC">
      <w:pPr>
        <w:pStyle w:val="Odlomakpopisa"/>
        <w:spacing w:before="240" w:after="12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316B0F" w:rsidP="006427F5">
      <w:pPr>
        <w:pStyle w:val="Naslov2"/>
        <w:jc w:val="left"/>
      </w:pPr>
      <w:r w:rsidRPr="003E431F">
        <w:t>C.</w:t>
      </w:r>
      <w:r w:rsidR="00642091" w:rsidRPr="003E431F">
        <w:t xml:space="preserve"> </w:t>
      </w:r>
      <w:r w:rsidRPr="003E431F">
        <w:rPr>
          <w:rFonts w:eastAsia="Times New Roman"/>
          <w:lang w:eastAsia="hr-HR"/>
        </w:rPr>
        <w:t>Učestalost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mjerenja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emisije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ispust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nepokretnog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izvora</w:t>
      </w:r>
    </w:p>
    <w:p w:rsidR="00316B0F" w:rsidRPr="003E431F" w:rsidRDefault="00316B0F" w:rsidP="004436AC">
      <w:pPr>
        <w:spacing w:before="120" w:after="24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Učestalost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omjera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između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(Q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emitirani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protoka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(Q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granični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):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6844"/>
      </w:tblGrid>
      <w:tr w:rsidR="00316B0F" w:rsidRPr="003E431F" w:rsidTr="00713D6A">
        <w:trPr>
          <w:trHeight w:hRule="exact" w:val="397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Q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vertAlign w:val="subscript"/>
                <w:lang w:eastAsia="hr-HR"/>
              </w:rPr>
              <w:t>emitirani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/Q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  <w:vertAlign w:val="subscript"/>
                <w:lang w:eastAsia="hr-HR"/>
              </w:rPr>
              <w:t>granični</w:t>
            </w:r>
          </w:p>
        </w:tc>
        <w:tc>
          <w:tcPr>
            <w:tcW w:w="6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Učestalost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mjerenja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emisije</w:t>
            </w:r>
          </w:p>
        </w:tc>
      </w:tr>
      <w:tr w:rsidR="00316B0F" w:rsidRPr="003E431F" w:rsidTr="00713D6A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povremena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mjerenja,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najmanje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jedanput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godina</w:t>
            </w:r>
          </w:p>
        </w:tc>
      </w:tr>
      <w:tr w:rsidR="00316B0F" w:rsidRPr="003E431F" w:rsidTr="00713D6A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povremena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mjerenja,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najmanje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jedanput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godine</w:t>
            </w:r>
          </w:p>
        </w:tc>
      </w:tr>
      <w:tr w:rsidR="00316B0F" w:rsidRPr="003E431F" w:rsidTr="00713D6A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povremena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mjerenja,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najmanje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jedanput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godišnje</w:t>
            </w:r>
          </w:p>
        </w:tc>
      </w:tr>
      <w:tr w:rsidR="00316B0F" w:rsidRPr="003E431F" w:rsidTr="00713D6A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kontinuirano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mjerenje</w:t>
            </w:r>
          </w:p>
        </w:tc>
      </w:tr>
    </w:tbl>
    <w:p w:rsidR="00316B0F" w:rsidRPr="003E431F" w:rsidRDefault="00316B0F" w:rsidP="006427F5">
      <w:pPr>
        <w:pStyle w:val="Naslov2"/>
        <w:jc w:val="left"/>
      </w:pPr>
      <w:r w:rsidRPr="003E431F">
        <w:t>D.</w:t>
      </w:r>
      <w:r w:rsidR="00642091" w:rsidRPr="003E431F">
        <w:t xml:space="preserve"> </w:t>
      </w:r>
      <w:r w:rsidRPr="003E431F">
        <w:t>Granični</w:t>
      </w:r>
      <w:r w:rsidR="00642091" w:rsidRPr="003E431F">
        <w:t xml:space="preserve"> </w:t>
      </w:r>
      <w:r w:rsidRPr="003E431F">
        <w:t>maseni</w:t>
      </w:r>
      <w:r w:rsidR="00642091" w:rsidRPr="003E431F">
        <w:t xml:space="preserve"> </w:t>
      </w:r>
      <w:r w:rsidRPr="003E431F">
        <w:t>protok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1559"/>
        <w:gridCol w:w="1559"/>
      </w:tblGrid>
      <w:tr w:rsidR="00316B0F" w:rsidRPr="003E431F" w:rsidTr="00316B0F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Skupina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štetnosti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Q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bscript"/>
                <w:lang w:eastAsia="hr-HR"/>
              </w:rPr>
              <w:t>granični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g/h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anorganske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5,0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Anorganske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pare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iskazane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Karcinogene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5,0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316B0F" w:rsidRPr="003E431F" w:rsidTr="00316B0F">
        <w:trPr>
          <w:trHeight w:hRule="exact" w:val="1041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(CO):</w:t>
            </w:r>
          </w:p>
          <w:p w:rsidR="00316B0F" w:rsidRPr="003E431F" w:rsidRDefault="00316B0F" w:rsidP="00316B0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izgaranja</w:t>
            </w:r>
          </w:p>
          <w:p w:rsidR="00316B0F" w:rsidRPr="003E431F" w:rsidRDefault="00316B0F" w:rsidP="00316B0F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slučajevima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  <w:p w:rsidR="00316B0F" w:rsidRPr="003E431F" w:rsidRDefault="00316B0F" w:rsidP="00316B0F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5000</w:t>
            </w:r>
          </w:p>
          <w:p w:rsidR="00316B0F" w:rsidRPr="003E431F" w:rsidRDefault="00316B0F" w:rsidP="00316B0F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100000</w:t>
            </w:r>
          </w:p>
        </w:tc>
      </w:tr>
    </w:tbl>
    <w:p w:rsidR="00316B0F" w:rsidRPr="003E431F" w:rsidRDefault="00316B0F" w:rsidP="00316B0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316B0F" w:rsidP="00316B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316B0F" w:rsidP="006427F5">
      <w:pPr>
        <w:pStyle w:val="Naslov1"/>
      </w:pPr>
      <w:r w:rsidRPr="003E431F">
        <w:t>PRILOG</w:t>
      </w:r>
      <w:r w:rsidR="00642091" w:rsidRPr="003E431F">
        <w:t xml:space="preserve"> </w:t>
      </w:r>
      <w:r w:rsidR="00A13D65" w:rsidRPr="003E431F">
        <w:t>2</w:t>
      </w:r>
      <w:r w:rsidRPr="003E431F">
        <w:t>.</w:t>
      </w:r>
    </w:p>
    <w:p w:rsidR="00316B0F" w:rsidRPr="003E431F" w:rsidRDefault="00316B0F" w:rsidP="00316B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OPĆE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NEPOKRETNE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IZVORE</w:t>
      </w:r>
    </w:p>
    <w:p w:rsidR="00316B0F" w:rsidRPr="003E431F" w:rsidRDefault="004436AC" w:rsidP="006427F5">
      <w:pPr>
        <w:pStyle w:val="Naslov2"/>
        <w:jc w:val="left"/>
      </w:pPr>
      <w:r w:rsidRPr="003E431F">
        <w:t xml:space="preserve">A. </w:t>
      </w:r>
      <w:r w:rsidR="00316B0F" w:rsidRPr="003E431F">
        <w:t>Granične</w:t>
      </w:r>
      <w:r w:rsidR="00642091" w:rsidRPr="003E431F">
        <w:t xml:space="preserve"> </w:t>
      </w:r>
      <w:r w:rsidR="00316B0F" w:rsidRPr="003E431F">
        <w:t>vrijednosti</w:t>
      </w:r>
      <w:r w:rsidR="00642091" w:rsidRPr="003E431F">
        <w:t xml:space="preserve"> </w:t>
      </w:r>
      <w:r w:rsidR="00316B0F" w:rsidRPr="003E431F">
        <w:t>emisija</w:t>
      </w:r>
      <w:r w:rsidR="00642091" w:rsidRPr="003E431F">
        <w:t xml:space="preserve"> </w:t>
      </w:r>
      <w:r w:rsidR="00E31DC9" w:rsidRPr="003E431F">
        <w:t>u</w:t>
      </w:r>
      <w:r w:rsidR="00642091" w:rsidRPr="003E431F">
        <w:t xml:space="preserve"> </w:t>
      </w:r>
      <w:r w:rsidR="00E31DC9" w:rsidRPr="003E431F">
        <w:t>otpadnom</w:t>
      </w:r>
      <w:r w:rsidR="00642091" w:rsidRPr="003E431F">
        <w:t xml:space="preserve"> </w:t>
      </w:r>
      <w:r w:rsidR="00E31DC9" w:rsidRPr="003E431F">
        <w:t>plinu</w:t>
      </w:r>
      <w:r w:rsidR="00642091" w:rsidRPr="003E431F">
        <w:t xml:space="preserve"> </w:t>
      </w:r>
      <w:r w:rsidR="00E31DC9" w:rsidRPr="003E431F">
        <w:t>za</w:t>
      </w:r>
      <w:r w:rsidR="00642091" w:rsidRPr="003E431F">
        <w:t xml:space="preserve"> </w:t>
      </w:r>
      <w:r w:rsidR="00316B0F" w:rsidRPr="003E431F">
        <w:t>ukupne</w:t>
      </w:r>
      <w:r w:rsidR="00642091" w:rsidRPr="003E431F">
        <w:t xml:space="preserve"> </w:t>
      </w:r>
      <w:r w:rsidR="00316B0F" w:rsidRPr="003E431F">
        <w:t>praškaste</w:t>
      </w:r>
      <w:r w:rsidR="00642091" w:rsidRPr="003E431F">
        <w:t xml:space="preserve"> </w:t>
      </w:r>
      <w:r w:rsidR="00316B0F" w:rsidRPr="003E431F">
        <w:t>tvari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99"/>
        <w:gridCol w:w="3000"/>
        <w:gridCol w:w="3000"/>
      </w:tblGrid>
      <w:tr w:rsidR="00316B0F" w:rsidRPr="003E431F" w:rsidTr="00364F75">
        <w:trPr>
          <w:trHeight w:hRule="exact" w:val="385"/>
        </w:trPr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:rsidR="00316B0F" w:rsidRPr="003E431F" w:rsidRDefault="00713D6A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</w:tc>
      </w:tr>
      <w:tr w:rsidR="00713D6A" w:rsidRPr="003E431F" w:rsidTr="00364F75">
        <w:trPr>
          <w:trHeight w:hRule="exact" w:val="385"/>
        </w:trPr>
        <w:tc>
          <w:tcPr>
            <w:tcW w:w="2999" w:type="dxa"/>
            <w:vMerge w:val="restart"/>
            <w:vAlign w:val="center"/>
          </w:tcPr>
          <w:p w:rsidR="00713D6A" w:rsidRPr="003E431F" w:rsidRDefault="00713D6A" w:rsidP="00713D6A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ukupne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713D6A" w:rsidRPr="003E431F" w:rsidRDefault="00713D6A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≤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200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3000" w:type="dxa"/>
            <w:vAlign w:val="center"/>
          </w:tcPr>
          <w:p w:rsidR="00713D6A" w:rsidRPr="003E431F" w:rsidRDefault="00713D6A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mg/m3</w:t>
            </w:r>
          </w:p>
        </w:tc>
      </w:tr>
      <w:tr w:rsidR="00713D6A" w:rsidRPr="003E431F" w:rsidTr="00364F75">
        <w:trPr>
          <w:trHeight w:hRule="exact" w:val="385"/>
        </w:trPr>
        <w:tc>
          <w:tcPr>
            <w:tcW w:w="2999" w:type="dxa"/>
            <w:vMerge/>
            <w:tcBorders>
              <w:bottom w:val="single" w:sz="2" w:space="0" w:color="auto"/>
            </w:tcBorders>
            <w:vAlign w:val="center"/>
          </w:tcPr>
          <w:p w:rsidR="00713D6A" w:rsidRPr="003E431F" w:rsidRDefault="00713D6A" w:rsidP="00713D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bottom w:val="single" w:sz="2" w:space="0" w:color="auto"/>
            </w:tcBorders>
            <w:vAlign w:val="center"/>
          </w:tcPr>
          <w:p w:rsidR="00713D6A" w:rsidRPr="003E431F" w:rsidRDefault="00713D6A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&gt;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200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3000" w:type="dxa"/>
            <w:tcBorders>
              <w:bottom w:val="single" w:sz="2" w:space="0" w:color="auto"/>
            </w:tcBorders>
            <w:vAlign w:val="center"/>
          </w:tcPr>
          <w:p w:rsidR="00713D6A" w:rsidRPr="003E431F" w:rsidRDefault="00713D6A" w:rsidP="00364F75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mg/m3</w:t>
            </w:r>
          </w:p>
        </w:tc>
      </w:tr>
    </w:tbl>
    <w:p w:rsidR="004436AC" w:rsidRPr="003E431F" w:rsidRDefault="004436AC" w:rsidP="004436AC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316B0F" w:rsidP="006427F5">
      <w:pPr>
        <w:pStyle w:val="Naslov2"/>
        <w:jc w:val="left"/>
      </w:pPr>
      <w:r w:rsidRPr="003E431F">
        <w:t>B.</w:t>
      </w:r>
      <w:r w:rsidR="00642091" w:rsidRPr="003E431F">
        <w:t xml:space="preserve"> </w:t>
      </w:r>
      <w:r w:rsidRPr="003E431F">
        <w:t>Granične</w:t>
      </w:r>
      <w:r w:rsidR="00642091" w:rsidRPr="003E431F">
        <w:t xml:space="preserve"> </w:t>
      </w:r>
      <w:r w:rsidRPr="003E431F">
        <w:t>vrijednosti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Pr="003E431F">
        <w:t>za</w:t>
      </w:r>
      <w:r w:rsidR="00642091" w:rsidRPr="003E431F">
        <w:t xml:space="preserve"> </w:t>
      </w:r>
      <w:r w:rsidRPr="003E431F">
        <w:t>praškaste</w:t>
      </w:r>
      <w:r w:rsidR="00642091" w:rsidRPr="003E431F">
        <w:t xml:space="preserve"> </w:t>
      </w:r>
      <w:r w:rsidRPr="003E431F">
        <w:t>anorganske</w:t>
      </w:r>
      <w:r w:rsidR="00642091" w:rsidRPr="003E431F">
        <w:t xml:space="preserve"> </w:t>
      </w:r>
      <w:r w:rsidRPr="003E431F">
        <w:t>tvari</w:t>
      </w:r>
    </w:p>
    <w:p w:rsidR="00316B0F" w:rsidRPr="003E431F" w:rsidRDefault="004436AC" w:rsidP="004436AC">
      <w:pPr>
        <w:spacing w:before="120" w:after="12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(1) </w:t>
      </w:r>
      <w:r w:rsidR="00316B0F" w:rsidRPr="003E431F">
        <w:rPr>
          <w:rFonts w:ascii="Times New Roman" w:hAnsi="Times New Roman" w:cs="Times New Roman"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praškaste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anorganske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tvari</w:t>
      </w:r>
    </w:p>
    <w:tbl>
      <w:tblPr>
        <w:tblStyle w:val="Reetkatablice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3"/>
        <w:gridCol w:w="4959"/>
        <w:gridCol w:w="1418"/>
        <w:gridCol w:w="1412"/>
      </w:tblGrid>
      <w:tr w:rsidR="00316B0F" w:rsidRPr="003E431F" w:rsidTr="00364F75">
        <w:trPr>
          <w:trHeight w:hRule="exact" w:val="624"/>
        </w:trPr>
        <w:tc>
          <w:tcPr>
            <w:tcW w:w="1273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Razred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</w:p>
        </w:tc>
        <w:tc>
          <w:tcPr>
            <w:tcW w:w="495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41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41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živa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Hg</w:t>
            </w:r>
          </w:p>
        </w:tc>
        <w:tc>
          <w:tcPr>
            <w:tcW w:w="1418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0,25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412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0,05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talij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njegovi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spojevi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1418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lastRenderedPageBreak/>
              <w:t>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olovo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Pb</w:t>
            </w:r>
          </w:p>
        </w:tc>
        <w:tc>
          <w:tcPr>
            <w:tcW w:w="1418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2,5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412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0,5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kobalt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njegovi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spojevi,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1418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nikal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Ni</w:t>
            </w:r>
          </w:p>
        </w:tc>
        <w:tc>
          <w:tcPr>
            <w:tcW w:w="1418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selen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Se</w:t>
            </w:r>
          </w:p>
        </w:tc>
        <w:tc>
          <w:tcPr>
            <w:tcW w:w="1418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telur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Te</w:t>
            </w:r>
          </w:p>
        </w:tc>
        <w:tc>
          <w:tcPr>
            <w:tcW w:w="1418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antimon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Sb</w:t>
            </w:r>
          </w:p>
        </w:tc>
        <w:tc>
          <w:tcPr>
            <w:tcW w:w="1418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412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tabs>
                <w:tab w:val="left" w:pos="0"/>
              </w:tabs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krom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Cr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cianidi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lako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topljivi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(npr.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NaCN),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CN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–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fluoridi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lako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topljivi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(npr.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NaF),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F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–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bakar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Cu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mangan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Mn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vanadij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V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273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kositar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njegovi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spojevi,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Sn</w:t>
            </w:r>
          </w:p>
        </w:tc>
        <w:tc>
          <w:tcPr>
            <w:tcW w:w="1418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</w:tbl>
    <w:p w:rsidR="00FF4967" w:rsidRPr="003E431F" w:rsidRDefault="00FF4967" w:rsidP="004436AC">
      <w:pPr>
        <w:spacing w:before="120" w:after="120" w:line="240" w:lineRule="auto"/>
        <w:ind w:left="360"/>
        <w:rPr>
          <w:rFonts w:ascii="Times New Roman" w:hAnsi="Times New Roman" w:cs="Times New Roman"/>
        </w:rPr>
      </w:pPr>
    </w:p>
    <w:p w:rsidR="00316B0F" w:rsidRPr="003E431F" w:rsidRDefault="004436AC" w:rsidP="004436AC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(2) </w:t>
      </w:r>
      <w:r w:rsidR="00316B0F" w:rsidRPr="003E431F">
        <w:rPr>
          <w:rFonts w:ascii="Times New Roman" w:hAnsi="Times New Roman" w:cs="Times New Roman"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vrijednost</w:t>
      </w:r>
      <w:r w:rsidR="000B0A97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0B0A97" w:rsidRPr="003E431F">
        <w:rPr>
          <w:rFonts w:ascii="Times New Roman" w:hAnsi="Times New Roman" w:cs="Times New Roman"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više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anorganskih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različitih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razreda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štetnosti.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 w:rsidR="00316B0F" w:rsidRPr="003E431F" w:rsidTr="00713D6A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Kombinacija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onečišćujućih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Ukupna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tvari)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1559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713D6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</w:tbl>
    <w:p w:rsidR="00FF4967" w:rsidRPr="003E431F" w:rsidRDefault="00FF4967" w:rsidP="004436AC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4436AC" w:rsidP="004436AC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(3) </w:t>
      </w:r>
      <w:r w:rsidR="00316B0F" w:rsidRPr="003E431F">
        <w:rPr>
          <w:rFonts w:ascii="Times New Roman" w:hAnsi="Times New Roman" w:cs="Times New Roman"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0B0A97" w:rsidRPr="003E431F">
        <w:rPr>
          <w:rFonts w:ascii="Times New Roman" w:hAnsi="Times New Roman" w:cs="Times New Roman"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anorganske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obliku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pare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plina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1276"/>
        <w:gridCol w:w="1270"/>
      </w:tblGrid>
      <w:tr w:rsidR="00316B0F" w:rsidRPr="003E431F" w:rsidTr="00364F75">
        <w:trPr>
          <w:trHeight w:hRule="exact" w:val="624"/>
        </w:trPr>
        <w:tc>
          <w:tcPr>
            <w:tcW w:w="1413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Razred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276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270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41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arsin</w:t>
            </w:r>
          </w:p>
        </w:tc>
        <w:tc>
          <w:tcPr>
            <w:tcW w:w="1276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2,5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270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0,5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340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klorov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cianid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(klorocian)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fozgen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364F75">
        <w:trPr>
          <w:trHeight w:hRule="exact" w:val="340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fosforovhidrid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(fosfin)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03"/>
        </w:trPr>
        <w:tc>
          <w:tcPr>
            <w:tcW w:w="141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brom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njegovi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plinoviti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HBr</w:t>
            </w:r>
          </w:p>
        </w:tc>
        <w:tc>
          <w:tcPr>
            <w:tcW w:w="1276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15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270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3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369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klor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69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cianovodik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91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fluor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njegovi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plinoviti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HF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369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vodikov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sulfid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8B3CC2">
        <w:trPr>
          <w:trHeight w:hRule="exact" w:val="395"/>
        </w:trPr>
        <w:tc>
          <w:tcPr>
            <w:tcW w:w="141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103" w:type="dxa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amonijak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150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270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30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624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anorganski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klora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koji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nisu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uključeni</w:t>
            </w:r>
            <w:r w:rsidRPr="003E431F">
              <w:rPr>
                <w:color w:val="231F20"/>
                <w:sz w:val="22"/>
                <w:szCs w:val="22"/>
              </w:rPr>
              <w:br/>
              <w:t>u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I.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II.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razred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štetnosti,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HCl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364F75">
        <w:trPr>
          <w:trHeight w:hRule="exact" w:val="506"/>
        </w:trPr>
        <w:tc>
          <w:tcPr>
            <w:tcW w:w="1413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IV.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103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oksidi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sumpora: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sumporov(IV)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oksid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sumporov(VI)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oksid,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sumporov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dioksid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(SO</w:t>
            </w:r>
            <w:r w:rsidRPr="003E431F">
              <w:rPr>
                <w:rFonts w:ascii="Times New Roman" w:hAnsi="Times New Roman" w:cs="Times New Roman"/>
                <w:color w:val="231F20"/>
                <w:vertAlign w:val="subscript"/>
              </w:rPr>
              <w:t>2</w:t>
            </w:r>
            <w:r w:rsidRPr="003E431F">
              <w:rPr>
                <w:rFonts w:ascii="Times New Roman" w:hAnsi="Times New Roman" w:cs="Times New Roman"/>
                <w:color w:val="231F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1800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270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350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mg/m</w:t>
            </w:r>
            <w:r w:rsidRPr="003E431F">
              <w:rPr>
                <w:color w:val="231F20"/>
                <w:sz w:val="22"/>
                <w:szCs w:val="22"/>
                <w:vertAlign w:val="superscript"/>
              </w:rPr>
              <w:t>3</w:t>
            </w:r>
          </w:p>
        </w:tc>
      </w:tr>
      <w:tr w:rsidR="00316B0F" w:rsidRPr="003E431F" w:rsidTr="00364F75">
        <w:trPr>
          <w:trHeight w:hRule="exact" w:val="624"/>
        </w:trPr>
        <w:tc>
          <w:tcPr>
            <w:tcW w:w="1413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oksidi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dušika: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dušikov(II)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oksid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dušikov(IV)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oksid,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izraženi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dušikov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dioksid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(NO</w:t>
            </w:r>
            <w:r w:rsidRPr="003E431F">
              <w:rPr>
                <w:rFonts w:ascii="Times New Roman" w:hAnsi="Times New Roman" w:cs="Times New Roman"/>
                <w:color w:val="231F20"/>
                <w:vertAlign w:val="subscript"/>
              </w:rPr>
              <w:t>2</w:t>
            </w:r>
            <w:r w:rsidR="00BA1AC2" w:rsidRPr="003E431F">
              <w:rPr>
                <w:rFonts w:ascii="Times New Roman" w:hAnsi="Times New Roman" w:cs="Times New Roman"/>
                <w:color w:val="231F2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</w:tbl>
    <w:p w:rsidR="004436AC" w:rsidRPr="003E431F" w:rsidRDefault="004436AC" w:rsidP="004436AC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0B0A97" w:rsidP="006427F5">
      <w:pPr>
        <w:pStyle w:val="Naslov2"/>
        <w:jc w:val="left"/>
      </w:pPr>
      <w:r w:rsidRPr="003E431F">
        <w:t>C.</w:t>
      </w:r>
      <w:r w:rsidR="00642091" w:rsidRPr="003E431F">
        <w:t xml:space="preserve"> </w:t>
      </w:r>
      <w:r w:rsidR="00316B0F" w:rsidRPr="003E431F">
        <w:t>Granične</w:t>
      </w:r>
      <w:r w:rsidR="00642091" w:rsidRPr="003E431F">
        <w:t xml:space="preserve"> </w:t>
      </w:r>
      <w:r w:rsidR="00316B0F" w:rsidRPr="003E431F">
        <w:t>vrijednosti</w:t>
      </w:r>
      <w:r w:rsidR="00642091" w:rsidRPr="003E431F">
        <w:t xml:space="preserve"> </w:t>
      </w:r>
      <w:r w:rsidR="00316B0F" w:rsidRPr="003E431F">
        <w:t>emisije</w:t>
      </w:r>
      <w:r w:rsidR="00642091" w:rsidRPr="003E431F">
        <w:t xml:space="preserve"> </w:t>
      </w:r>
      <w:r w:rsidR="00316B0F" w:rsidRPr="003E431F">
        <w:t>za</w:t>
      </w:r>
      <w:r w:rsidR="00642091" w:rsidRPr="003E431F">
        <w:t xml:space="preserve"> </w:t>
      </w:r>
      <w:r w:rsidR="00316B0F" w:rsidRPr="003E431F">
        <w:t>organske</w:t>
      </w:r>
      <w:r w:rsidR="00642091" w:rsidRPr="003E431F">
        <w:t xml:space="preserve"> </w:t>
      </w:r>
      <w:r w:rsidR="00316B0F" w:rsidRPr="003E431F">
        <w:t>tvari</w:t>
      </w:r>
    </w:p>
    <w:p w:rsidR="00316B0F" w:rsidRPr="003E431F" w:rsidRDefault="004436AC" w:rsidP="004436A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(1)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ukupnih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organskih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plinu,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osim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praškastih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organskih</w:t>
      </w:r>
      <w:r w:rsidR="00642091" w:rsidRPr="003E431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color w:val="231F20"/>
          <w:sz w:val="24"/>
          <w:szCs w:val="24"/>
        </w:rPr>
        <w:t>tvari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7"/>
        <w:gridCol w:w="1589"/>
        <w:gridCol w:w="1262"/>
      </w:tblGrid>
      <w:tr w:rsidR="00316B0F" w:rsidRPr="003E431F" w:rsidTr="00BA1AC2">
        <w:trPr>
          <w:trHeight w:hRule="exact" w:val="369"/>
        </w:trPr>
        <w:tc>
          <w:tcPr>
            <w:tcW w:w="2247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Ukupne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organske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26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</w:tc>
      </w:tr>
      <w:tr w:rsidR="00316B0F" w:rsidRPr="003E431F" w:rsidTr="00BA1AC2">
        <w:trPr>
          <w:trHeight w:hRule="exact" w:val="624"/>
        </w:trPr>
        <w:tc>
          <w:tcPr>
            <w:tcW w:w="2247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izražene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ukupni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ugljik</w:t>
            </w:r>
          </w:p>
        </w:tc>
        <w:tc>
          <w:tcPr>
            <w:tcW w:w="158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426253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26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FF4967" w:rsidRPr="003E431F" w:rsidRDefault="00FF4967" w:rsidP="004436AC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6B0F" w:rsidRPr="003E431F" w:rsidRDefault="004436AC" w:rsidP="004436AC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organske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štetnosti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270"/>
        <w:gridCol w:w="998"/>
        <w:gridCol w:w="1134"/>
      </w:tblGrid>
      <w:tr w:rsidR="00316B0F" w:rsidRPr="003E431F" w:rsidTr="0080162A">
        <w:trPr>
          <w:trHeight w:hRule="exact" w:val="624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I.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štetnosti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CAS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Maseni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protok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1,1,2,2-tetrabromoetan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79-27-6</w:t>
            </w: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100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1,2,3-glicerol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trinitrat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(nitroglicerin)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55-63-0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1,2,4-benzentrikarboksilna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528-44-9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1,2-dihidroksibenzen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120-80-9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3-azapentan-1,5-dietilentriamin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(2,2'-iminodietilamin)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111-40-0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etilen-glikol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dinitrat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(etilen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dinitrat)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628-96-6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propilen-glikol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dinitrat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(propan-1,2-diil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dinitrat)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6423-43-4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1,1,2,3,4,4-heksakloro-1,3-butadien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87-68-3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N,N-bis(3-aminopropil)metilamin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105-83-9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1,4-dioksan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123-91-1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1,5-naftalendiamin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2243-62-1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heksametilen-1,6-di-izocianat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822-06-0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heksametilendiamin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124-09-4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1-aminobutan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(butilamin)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109-73-9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butan-1-tiol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(butil-merkaptan)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109-79-5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1-naftilamin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134-32-7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3-kloro-2-metilpropen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563-47-3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2,4,7-trinitro-9-fluorenon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129-79-3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maleinske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108-31-6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(E)-2-butenal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123-73-9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but-2-in-1,4-diol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110-65-6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2-klorobuta-1,3-dien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126-99-8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3,5,5-trimetil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2-cikloheks-2-en-1-on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(izoforon)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78-59-1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25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2-etoksietil-acetat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111-15-9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2-furilmetanal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(2-furaldehid)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98-01-1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2-furanmetanamin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(furfurilamin)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617-89-0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2-heksan-2-on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(metil-butil-keton)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591-78-6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tiourea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96-45-7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2-metil-m-fenilendiamin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823-40-5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N-2-naftilanilin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135-88-6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2-nitro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fenilendiamin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5307-14-2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terc-butilamin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75-64-9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akrilaldehid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107-02-8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n-butil-akrilat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141-32-2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etil-akrilat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140-88-5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metil-akrilat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96-33-3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prop-2-in-1-ol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107-19-7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25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bifenil-3,3,4,4’-tetrailtetraamin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(diaminobenzidin)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91-95-2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2,2'-dimetil-4,4'-metilenbis(cikloheksilamin)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6864-37-5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4-amino-2-nitrofenol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119-34-6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2-izopropoksietanol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109-59-1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4-terc-butiltoluen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98-51-1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acetaldehid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75-07-0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acetamid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60-35-5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N-fenilacetamid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103-84-4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acetanhidrid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octene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108-24-7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vinil-acetat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108-05-4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kloroctena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79-11-8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metil-kloroacetat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96-34-4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metoksioctena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625-45-6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trikloroctena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76-03-9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akrilna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79-10-7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olovni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alkili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olovnih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spojeva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62-53-3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N-metilanilin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100-61-8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2,4-dimetilbenzenamin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95-68-1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5-nitro-o-toluidin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99-55-8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4-metoksianilin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104-94-9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5-kloro-2-metilbenzenamin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95-79-4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N,N-dimetilanilin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121-69-7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α,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α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diklorotoluen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98-87-3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difenilmetan-4,4'-diizocianat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101-68-8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1,2,4,5-tetraklorobenzen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95-94-3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1-kloro-2-nitrobenzen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88-73-3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1-kloro-4-nitrobenzen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100-00-5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3-nitrotoluen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99-08-1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4-nitrotoluen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99-99-0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2,4-diklorotoluen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95-73-8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nitrobenzen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98-95-3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benzensulfonil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klorid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98-09-9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benzoil-klorid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98-88-4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dibenzoil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peroksid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94-36-0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bifenil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92-52-4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bis(2-etil-heksil)-ftalat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117-81-7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izobutilamin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78-81-9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kamfor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76-22-2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ε-kaprolaktam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105-60-2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dietil-karbamoil-klorid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88-10-8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tetraklorometan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56-23-5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karbonil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sulfid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463-58-1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izopropil-kloroacetat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105-48-6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67-66-3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klorometan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74-87-3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trikloronitrometan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76-06-2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1,2-diaminoetan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107-15-3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diklorofenoli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2,2’(oksibis(metilen)bisoksirandiglicidil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eter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2238-07-5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toluen-2,4-di-izocianat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(2,6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diizocianatotoluen)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91-08-7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di-n-butilkositrov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diklorid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683-18-1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dinitronaftalen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(svi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izomeri)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27478-34-8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difenil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eter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101-84-8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difenilamin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122-39-4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difenilmetan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2,4´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5873-54-1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109-89-7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1,1,2,2-tetrakloroetan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79-34-5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1,1,2-trikloroetan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79-00-5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1,1-dikloro-1-nitroetan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594-72-9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heksakloroetan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67-72-1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pentakloroetan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76-01-7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glioksal...%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107-22-2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etantiol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75-08-1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2-kloroetanol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107-07-3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2-aminoetanol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141-43-5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1,1-dikloroetilen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75-35-4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1,1-difluoroeten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(Genetron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1132a)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75-38-7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kloroetan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75-00-3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etil-kloroacetat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105-39-5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75-04-7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etilen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74-85-1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formaldehid...%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50-00-0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formamid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75-12-7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25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mravlja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kiselina...%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64-18-6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glutaral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111-30-8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cikloheksan-1,2-dikarboksilne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85-42-7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2-etil-heksanonska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149-57-5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fenilhidrazin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100-63-0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1,4-dihidroksibenzen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123-31-9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3-izocianatometil-3,5,5-trimetilcikloheksil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4098-71-9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keten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463-51-4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smjesa-krezola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1319-77-3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olovni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acetat,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bazični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1335-32-6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mekrilat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137-05-3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di-metilamin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124-40-3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624-83-9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tribromometan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75-25-2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metantiol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74-93-1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bromometan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74-83-9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3-kloropropen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107-05-1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metil-jodid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74-88-4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mono-metilamin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74-89-5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diklorometan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75-09-2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m-nitroanilin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99-09-2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cinkove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soli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voskova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montanske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73138-49-5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morfolin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110-91-8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bis(2-dimetilaminoetil)(metil)amin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3030-47-5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1,5-naftilen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diizocianat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3173-72-6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nitrokrezoli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nitrofenoli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1-nitropireni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5522-43-0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nitrotoluen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(svi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izomeri)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1321-12-6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N-metil-N,2,4,6-tetranitroanilin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479-45-8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1-vinil-2-pirolidon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88-12-0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p-nitroanilin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88-74-4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oksalna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144-62-7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p-benzokinon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106-51-4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pentakloronaftalen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1321-64-8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108-95-2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2,4,5-triklorofenol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95-95-4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4-terc</w:t>
            </w:r>
            <w:r w:rsidR="00254D2E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butifenol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98-54-4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1-fenil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(p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tolil)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dimetilaminopropan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5632-44-0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ftalanhidrid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03A7A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ftalne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</w:t>
            </w:r>
            <w:r w:rsidR="00C03A7A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line</w:t>
            </w:r>
            <w:r w:rsidR="00C03A7A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85-44-9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ftalonitril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91-15-6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piperazin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110-85-0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p-nitroanilin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100-01-6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1,2-dikloropropan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78-87-5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1-bromopropan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106-94-5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2,2-dikloropropionska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75-99-0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p-toluidin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106-49-0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piridin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110-86-1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natrijeva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sol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kloroctene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3926-62-3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TCA-natrij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(ISO)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650-51-1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tetrakloroetilen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127-18-4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tioalkoholi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tioeteri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tiourea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62-56-6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toluen-2,6-di-izocianat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(2,4-diizocianatotoluen)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584-84-9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trikloronaftalen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1321-65-9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triklorobenzen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(svi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izomeri)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12002-48-1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trikloroetilen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79-01-6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triklorofenoli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trikrezil-fosfat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78-30-8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trietilamin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121-44-8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anhidrid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trimetilne</w:t>
            </w:r>
            <w:r w:rsidR="00642091"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kiseline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552-30-7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tributil-fosfat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126-73-8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2,4,6-trinitrotoluen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118-96-7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80162A">
        <w:trPr>
          <w:trHeight w:hRule="exact" w:val="312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C0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ksilenol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316B0F" w:rsidRPr="003E431F" w:rsidRDefault="00316B0F" w:rsidP="00D7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1300-71-6</w:t>
            </w:r>
          </w:p>
        </w:tc>
        <w:tc>
          <w:tcPr>
            <w:tcW w:w="998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FF4967" w:rsidRPr="003E431F" w:rsidRDefault="00FF4967" w:rsidP="004436AC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4436AC" w:rsidP="004436AC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(3)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organske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II.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razred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štetnosti</w:t>
      </w:r>
    </w:p>
    <w:tbl>
      <w:tblPr>
        <w:tblW w:w="908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135"/>
        <w:gridCol w:w="1145"/>
      </w:tblGrid>
      <w:tr w:rsidR="00316B0F" w:rsidRPr="003E431F" w:rsidTr="00364F75">
        <w:trPr>
          <w:trHeight w:hRule="exact" w:val="571"/>
        </w:trPr>
        <w:tc>
          <w:tcPr>
            <w:tcW w:w="6804" w:type="dxa"/>
            <w:tcMar>
              <w:top w:w="0" w:type="dxa"/>
              <w:left w:w="96" w:type="dxa"/>
              <w:bottom w:w="57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II.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razreda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štetnosti</w:t>
            </w:r>
          </w:p>
        </w:tc>
        <w:tc>
          <w:tcPr>
            <w:tcW w:w="1135" w:type="dxa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Maseni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protok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14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16B0F" w:rsidRPr="003E431F" w:rsidRDefault="00316B0F" w:rsidP="0036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1-brom-3-kloropropan</w:t>
            </w:r>
          </w:p>
        </w:tc>
        <w:tc>
          <w:tcPr>
            <w:tcW w:w="1135" w:type="dxa"/>
            <w:vMerge w:val="restart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145" w:type="dxa"/>
            <w:vMerge w:val="restart"/>
            <w:tcMar>
              <w:top w:w="96" w:type="dxa"/>
              <w:left w:w="96" w:type="dxa"/>
              <w:bottom w:w="120" w:type="dxa"/>
              <w:right w:w="96" w:type="dxa"/>
            </w:tcMar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16B0F" w:rsidRPr="003E431F" w:rsidRDefault="00316B0F" w:rsidP="0036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1,1-dikloroetan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16B0F" w:rsidRPr="003E431F" w:rsidRDefault="00316B0F" w:rsidP="0036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1,2-dikloroetilen,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cis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trans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lastRenderedPageBreak/>
              <w:t>octena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kiselina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lastRenderedPageBreak/>
              <w:t>metil-formiat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nitroetan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nitrometan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oktametilciklotetrasiloksan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1,1,1-trikloroetan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6B0F" w:rsidRPr="003E431F" w:rsidTr="00364F75">
        <w:trPr>
          <w:trHeight w:hRule="exact" w:val="311"/>
        </w:trPr>
        <w:tc>
          <w:tcPr>
            <w:tcW w:w="68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16B0F" w:rsidRPr="003E431F" w:rsidRDefault="00316B0F" w:rsidP="00364F75">
            <w:pPr>
              <w:pStyle w:val="box455522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1,3,5-trioksan</w:t>
            </w:r>
          </w:p>
        </w:tc>
        <w:tc>
          <w:tcPr>
            <w:tcW w:w="1135" w:type="dxa"/>
            <w:vMerge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45" w:type="dxa"/>
            <w:vMerge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EE7413" w:rsidRPr="003E431F" w:rsidRDefault="00EE7413" w:rsidP="008B3CC2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7B63AC" w:rsidP="006427F5">
      <w:pPr>
        <w:pStyle w:val="Naslov2"/>
        <w:jc w:val="left"/>
      </w:pPr>
      <w:r w:rsidRPr="003E431F">
        <w:t>D.</w:t>
      </w:r>
      <w:r w:rsidR="00642091" w:rsidRPr="003E431F">
        <w:t xml:space="preserve"> </w:t>
      </w:r>
      <w:r w:rsidR="00316B0F" w:rsidRPr="003E431F">
        <w:t>Granične</w:t>
      </w:r>
      <w:r w:rsidR="00642091" w:rsidRPr="003E431F">
        <w:t xml:space="preserve"> </w:t>
      </w:r>
      <w:r w:rsidR="00316B0F" w:rsidRPr="003E431F">
        <w:t>vrijednosti</w:t>
      </w:r>
      <w:r w:rsidR="00642091" w:rsidRPr="003E431F">
        <w:t xml:space="preserve"> </w:t>
      </w:r>
      <w:r w:rsidR="00316B0F" w:rsidRPr="003E431F">
        <w:t>emisija</w:t>
      </w:r>
      <w:r w:rsidR="00642091" w:rsidRPr="003E431F">
        <w:t xml:space="preserve"> </w:t>
      </w:r>
      <w:r w:rsidR="00316B0F" w:rsidRPr="003E431F">
        <w:t>za</w:t>
      </w:r>
      <w:r w:rsidR="00642091" w:rsidRPr="003E431F">
        <w:t xml:space="preserve"> </w:t>
      </w:r>
      <w:r w:rsidR="00316B0F" w:rsidRPr="003E431F">
        <w:t>karcinogene</w:t>
      </w:r>
      <w:r w:rsidR="00642091" w:rsidRPr="003E431F">
        <w:t xml:space="preserve"> </w:t>
      </w:r>
      <w:r w:rsidR="00316B0F" w:rsidRPr="003E431F">
        <w:t>tvari</w:t>
      </w:r>
    </w:p>
    <w:p w:rsidR="00316B0F" w:rsidRPr="003E431F" w:rsidRDefault="00B34FD4" w:rsidP="00B34FD4">
      <w:pPr>
        <w:spacing w:before="120" w:after="120" w:line="240" w:lineRule="auto"/>
        <w:ind w:firstLine="567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 xml:space="preserve">(1) </w:t>
      </w:r>
      <w:r w:rsidR="00316B0F" w:rsidRPr="003E431F">
        <w:rPr>
          <w:rFonts w:ascii="Times New Roman" w:hAnsi="Times New Roman" w:cs="Times New Roman"/>
        </w:rPr>
        <w:t>Granične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vrijednosti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emisija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za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karcinogene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tvari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1134"/>
        <w:gridCol w:w="1129"/>
      </w:tblGrid>
      <w:tr w:rsidR="00316B0F" w:rsidRPr="003E431F" w:rsidTr="00BA1AC2">
        <w:trPr>
          <w:trHeight w:hRule="exact" w:val="624"/>
        </w:trPr>
        <w:tc>
          <w:tcPr>
            <w:tcW w:w="737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Razred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</w:p>
        </w:tc>
        <w:tc>
          <w:tcPr>
            <w:tcW w:w="737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73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73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arsen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njegovi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osim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arsina,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As</w:t>
            </w:r>
          </w:p>
        </w:tc>
        <w:tc>
          <w:tcPr>
            <w:tcW w:w="1134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0,15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129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0,05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benzo(a)piren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kadmij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njegovi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Cd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kobalt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topljiv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u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vodi,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Co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48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2F2A9A">
        <w:trPr>
          <w:trHeight w:hRule="exact" w:val="630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spojevi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kroma(VI)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osim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barijevog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olovnog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kromata,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Cr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akrilamid</w:t>
            </w:r>
          </w:p>
        </w:tc>
        <w:tc>
          <w:tcPr>
            <w:tcW w:w="1134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1,5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129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0,5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akrilonitril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dinitrotoluen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40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etilen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oksid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842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nikal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njegovi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spojevi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u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obliku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respirabilne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prašine/aerosoli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niklovog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sulfida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sulfidnih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ruda,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niklovog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karbonata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niklovog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tetrakarbonila,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izraženi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kao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Ni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4-vinil-1,2-cikloheksan-diepoksid</w:t>
            </w:r>
          </w:p>
        </w:tc>
        <w:tc>
          <w:tcPr>
            <w:tcW w:w="1134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</w:t>
            </w: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benzen</w:t>
            </w:r>
          </w:p>
        </w:tc>
        <w:tc>
          <w:tcPr>
            <w:tcW w:w="1134" w:type="dxa"/>
            <w:vMerge w:val="restart"/>
            <w:vAlign w:val="center"/>
          </w:tcPr>
          <w:p w:rsidR="00316B0F" w:rsidRPr="003E431F" w:rsidRDefault="00316B0F" w:rsidP="00316B0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≥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2,5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g/h</w:t>
            </w:r>
          </w:p>
        </w:tc>
        <w:tc>
          <w:tcPr>
            <w:tcW w:w="1129" w:type="dxa"/>
            <w:vMerge w:val="restart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before="120" w:beforeAutospacing="0" w:after="120" w:afterAutospacing="0"/>
              <w:jc w:val="center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1,0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bromoetan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1,3-butadien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1,2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dikloroetan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propilenoksid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(1,2-epoksipropan)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stirenoksid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o-toluidin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trikloroeten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vinil-klorid</w:t>
            </w:r>
            <w:r w:rsidR="00642091" w:rsidRPr="003E431F">
              <w:rPr>
                <w:color w:val="231F20"/>
                <w:sz w:val="22"/>
                <w:szCs w:val="22"/>
              </w:rPr>
              <w:t xml:space="preserve"> </w:t>
            </w:r>
            <w:r w:rsidRPr="003E431F">
              <w:rPr>
                <w:color w:val="231F20"/>
                <w:sz w:val="22"/>
                <w:szCs w:val="22"/>
              </w:rPr>
              <w:t>(kloroetilen)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  <w:tr w:rsidR="00316B0F" w:rsidRPr="003E431F" w:rsidTr="002F2A9A">
        <w:trPr>
          <w:trHeight w:hRule="exact" w:val="369"/>
        </w:trPr>
        <w:tc>
          <w:tcPr>
            <w:tcW w:w="1271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316B0F" w:rsidRPr="003E431F" w:rsidRDefault="00316B0F" w:rsidP="00316B0F">
            <w:pPr>
              <w:pStyle w:val="box455522"/>
              <w:shd w:val="clear" w:color="auto" w:fill="FFFFFF"/>
              <w:spacing w:after="48"/>
              <w:textAlignment w:val="baseline"/>
              <w:rPr>
                <w:color w:val="231F20"/>
                <w:sz w:val="22"/>
                <w:szCs w:val="22"/>
              </w:rPr>
            </w:pPr>
            <w:r w:rsidRPr="003E431F">
              <w:rPr>
                <w:color w:val="231F20"/>
                <w:sz w:val="22"/>
                <w:szCs w:val="22"/>
              </w:rPr>
              <w:t>benzen</w:t>
            </w:r>
          </w:p>
        </w:tc>
        <w:tc>
          <w:tcPr>
            <w:tcW w:w="1134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</w:tbl>
    <w:p w:rsidR="00FF4967" w:rsidRPr="003E431F" w:rsidRDefault="00FF4967" w:rsidP="00B34FD4">
      <w:pPr>
        <w:spacing w:before="120" w:after="120" w:line="240" w:lineRule="auto"/>
        <w:ind w:firstLine="567"/>
        <w:rPr>
          <w:rFonts w:ascii="Times New Roman" w:hAnsi="Times New Roman" w:cs="Times New Roman"/>
        </w:rPr>
      </w:pPr>
    </w:p>
    <w:p w:rsidR="00316B0F" w:rsidRPr="003E431F" w:rsidRDefault="00B34FD4" w:rsidP="00B34FD4">
      <w:pPr>
        <w:spacing w:before="120" w:after="120" w:line="240" w:lineRule="auto"/>
        <w:ind w:firstLine="567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lastRenderedPageBreak/>
        <w:t xml:space="preserve">(2) </w:t>
      </w:r>
      <w:r w:rsidR="00316B0F" w:rsidRPr="003E431F">
        <w:rPr>
          <w:rFonts w:ascii="Times New Roman" w:hAnsi="Times New Roman" w:cs="Times New Roman"/>
        </w:rPr>
        <w:t>Granične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vrijednost</w:t>
      </w:r>
      <w:r w:rsidR="007B63AC" w:rsidRPr="003E431F">
        <w:rPr>
          <w:rFonts w:ascii="Times New Roman" w:hAnsi="Times New Roman" w:cs="Times New Roman"/>
        </w:rPr>
        <w:t>i</w:t>
      </w:r>
      <w:r w:rsidR="00642091" w:rsidRPr="003E431F">
        <w:rPr>
          <w:rFonts w:ascii="Times New Roman" w:hAnsi="Times New Roman" w:cs="Times New Roman"/>
        </w:rPr>
        <w:t xml:space="preserve"> </w:t>
      </w:r>
      <w:r w:rsidR="007B63AC" w:rsidRPr="003E431F">
        <w:rPr>
          <w:rFonts w:ascii="Times New Roman" w:hAnsi="Times New Roman" w:cs="Times New Roman"/>
        </w:rPr>
        <w:t>emisija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za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više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karcinogenih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tvari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iz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različitih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razreda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štetnosti.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 w:rsidR="00316B0F" w:rsidRPr="003E431F" w:rsidTr="002F2A9A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Kombinacija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onečišćujućih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Ukupna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tvari)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1559" w:type="dxa"/>
            <w:vMerge w:val="restart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razreda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štetnosti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III.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</w:tr>
    </w:tbl>
    <w:p w:rsidR="006653A9" w:rsidRPr="003E431F" w:rsidRDefault="006653A9" w:rsidP="008B3CC2">
      <w:pPr>
        <w:spacing w:before="240" w:after="12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316B0F" w:rsidRPr="003E431F" w:rsidRDefault="007B63AC" w:rsidP="006427F5">
      <w:pPr>
        <w:pStyle w:val="Naslov2"/>
        <w:jc w:val="left"/>
      </w:pPr>
      <w:r w:rsidRPr="003E431F">
        <w:t>E.</w:t>
      </w:r>
      <w:r w:rsidR="00642091" w:rsidRPr="003E431F">
        <w:t xml:space="preserve"> </w:t>
      </w:r>
      <w:r w:rsidR="00316B0F" w:rsidRPr="003E431F">
        <w:t>Granične</w:t>
      </w:r>
      <w:r w:rsidR="00642091" w:rsidRPr="003E431F">
        <w:t xml:space="preserve"> </w:t>
      </w:r>
      <w:r w:rsidR="00316B0F" w:rsidRPr="003E431F">
        <w:t>vrijednosti</w:t>
      </w:r>
      <w:r w:rsidR="00642091" w:rsidRPr="003E431F">
        <w:t xml:space="preserve"> </w:t>
      </w:r>
      <w:r w:rsidRPr="003E431F">
        <w:t>emisija</w:t>
      </w:r>
      <w:r w:rsidR="00642091" w:rsidRPr="003E431F">
        <w:t xml:space="preserve"> </w:t>
      </w:r>
      <w:r w:rsidR="00316B0F" w:rsidRPr="003E431F">
        <w:t>vlaknastih</w:t>
      </w:r>
      <w:r w:rsidR="00642091" w:rsidRPr="003E431F">
        <w:t xml:space="preserve"> </w:t>
      </w:r>
      <w:r w:rsidR="00316B0F" w:rsidRPr="003E431F">
        <w:t>tvari</w:t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2551"/>
      </w:tblGrid>
      <w:tr w:rsidR="00316B0F" w:rsidRPr="003E431F" w:rsidTr="00E579E6">
        <w:trPr>
          <w:trHeight w:hRule="exact" w:val="397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vlaknaste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316B0F" w:rsidRPr="003E431F" w:rsidTr="00E579E6">
        <w:trPr>
          <w:trHeight w:hRule="exact" w:val="794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azbest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najsitnija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prašina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(vlaknasti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silikati: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aktinolit,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amozit-smeđi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azbest,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antofilit,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krizotil-bijeli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azbest,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krocidolit-plavi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azbest,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tremolit)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2F2A9A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odnosno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1x10</w:t>
            </w:r>
            <w:r w:rsidR="002F2A9A"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-4</w:t>
            </w:r>
            <w:r w:rsidR="00426253"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 xml:space="preserve"> </w:t>
            </w:r>
          </w:p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vlakana/m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16B0F" w:rsidRPr="003E431F" w:rsidTr="00E579E6">
        <w:trPr>
          <w:trHeight w:hRule="exact" w:val="624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biološko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nerazgradive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vlaknaste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sadrže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aluminijev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silikat,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aluminijev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oksid,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silicijev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karbid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kalijev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titanat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1,5x10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4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vlakana/m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316B0F" w:rsidRPr="003E431F" w:rsidTr="00E579E6">
        <w:trPr>
          <w:trHeight w:hRule="exact" w:val="369"/>
        </w:trPr>
        <w:tc>
          <w:tcPr>
            <w:tcW w:w="6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biološko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nerazgradiva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mineralna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vlakna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316B0F" w:rsidRPr="003E431F" w:rsidRDefault="00316B0F" w:rsidP="00316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5x10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4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vlakana/m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</w:tbl>
    <w:p w:rsidR="008B3CC2" w:rsidRPr="003E431F" w:rsidRDefault="008B3CC2" w:rsidP="008B3CC2">
      <w:pPr>
        <w:spacing w:before="240" w:after="0" w:line="240" w:lineRule="auto"/>
        <w:rPr>
          <w:rFonts w:ascii="Times New Roman" w:hAnsi="Times New Roman" w:cs="Times New Roman"/>
          <w:b/>
        </w:rPr>
      </w:pPr>
    </w:p>
    <w:p w:rsidR="00316B0F" w:rsidRPr="003E431F" w:rsidRDefault="007B63AC" w:rsidP="00325E4B">
      <w:pPr>
        <w:pStyle w:val="Naslov2"/>
        <w:jc w:val="left"/>
      </w:pPr>
      <w:r w:rsidRPr="003E431F">
        <w:t>F.</w:t>
      </w:r>
      <w:r w:rsidR="00642091" w:rsidRPr="003E431F">
        <w:t xml:space="preserve"> </w:t>
      </w:r>
      <w:r w:rsidR="00316B0F" w:rsidRPr="003E431F">
        <w:t>Granične</w:t>
      </w:r>
      <w:r w:rsidR="00642091" w:rsidRPr="003E431F">
        <w:t xml:space="preserve"> </w:t>
      </w:r>
      <w:r w:rsidR="00316B0F" w:rsidRPr="003E431F">
        <w:t>vrijednosti</w:t>
      </w:r>
      <w:r w:rsidR="00642091" w:rsidRPr="003E431F">
        <w:t xml:space="preserve"> </w:t>
      </w:r>
      <w:r w:rsidR="00316B0F" w:rsidRPr="003E431F">
        <w:t>emisija</w:t>
      </w:r>
      <w:r w:rsidR="00642091" w:rsidRPr="003E431F">
        <w:t xml:space="preserve"> </w:t>
      </w:r>
      <w:r w:rsidR="00316B0F" w:rsidRPr="003E431F">
        <w:t>za</w:t>
      </w:r>
      <w:r w:rsidR="00642091" w:rsidRPr="003E431F">
        <w:t xml:space="preserve"> </w:t>
      </w:r>
      <w:r w:rsidR="00316B0F" w:rsidRPr="003E431F">
        <w:t>postojane</w:t>
      </w:r>
      <w:r w:rsidR="00642091" w:rsidRPr="003E431F">
        <w:t xml:space="preserve"> </w:t>
      </w:r>
      <w:r w:rsidR="00316B0F" w:rsidRPr="003E431F">
        <w:t>organske</w:t>
      </w:r>
      <w:r w:rsidR="00642091" w:rsidRPr="003E431F">
        <w:t xml:space="preserve"> </w:t>
      </w:r>
      <w:r w:rsidR="00316B0F" w:rsidRPr="003E431F">
        <w:t>onečišćujuće</w:t>
      </w:r>
      <w:r w:rsidR="00642091" w:rsidRPr="003E431F">
        <w:t xml:space="preserve"> </w:t>
      </w:r>
      <w:r w:rsidR="00316B0F" w:rsidRPr="003E431F">
        <w:t>tvari,</w:t>
      </w:r>
      <w:r w:rsidR="00642091" w:rsidRPr="003E431F">
        <w:t xml:space="preserve"> </w:t>
      </w:r>
      <w:r w:rsidR="00316B0F" w:rsidRPr="003E431F">
        <w:t>koje</w:t>
      </w:r>
      <w:r w:rsidR="00642091" w:rsidRPr="003E431F">
        <w:t xml:space="preserve"> </w:t>
      </w:r>
      <w:r w:rsidR="00316B0F" w:rsidRPr="003E431F">
        <w:t>imaju</w:t>
      </w:r>
      <w:r w:rsidR="00642091" w:rsidRPr="003E431F">
        <w:t xml:space="preserve"> </w:t>
      </w:r>
      <w:r w:rsidR="00316B0F" w:rsidRPr="003E431F">
        <w:t>karakteristike</w:t>
      </w:r>
      <w:r w:rsidR="00642091" w:rsidRPr="003E431F">
        <w:t xml:space="preserve"> </w:t>
      </w:r>
      <w:r w:rsidR="00316B0F" w:rsidRPr="003E431F">
        <w:t>biološke</w:t>
      </w:r>
      <w:r w:rsidR="00642091" w:rsidRPr="003E431F">
        <w:t xml:space="preserve"> </w:t>
      </w:r>
      <w:r w:rsidR="00316B0F" w:rsidRPr="003E431F">
        <w:t>akumulacije</w:t>
      </w:r>
    </w:p>
    <w:p w:rsidR="00316B0F" w:rsidRPr="003E431F" w:rsidRDefault="00316B0F" w:rsidP="00316B0F">
      <w:pPr>
        <w:pStyle w:val="Odlomakpopisa"/>
        <w:spacing w:before="240" w:after="0" w:line="240" w:lineRule="auto"/>
        <w:ind w:left="499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</w:tblGrid>
      <w:tr w:rsidR="00316B0F" w:rsidRPr="003E431F" w:rsidTr="002F2A9A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ng/m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dioksini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furani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0,25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0,1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*</w:t>
            </w:r>
          </w:p>
        </w:tc>
      </w:tr>
    </w:tbl>
    <w:p w:rsidR="00316B0F" w:rsidRPr="003E431F" w:rsidRDefault="00316B0F" w:rsidP="00316B0F">
      <w:pPr>
        <w:spacing w:before="120" w:after="120" w:line="240" w:lineRule="auto"/>
        <w:ind w:left="142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>*izmjerenih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razdoblju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uzimanja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uzoraka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manjem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od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šest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sati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i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većem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od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osam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sati</w:t>
      </w:r>
    </w:p>
    <w:p w:rsidR="008B3CC2" w:rsidRPr="003E431F" w:rsidRDefault="008B3CC2" w:rsidP="00EE741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316B0F" w:rsidP="00325E4B">
      <w:pPr>
        <w:pStyle w:val="Naslov1"/>
      </w:pPr>
      <w:r w:rsidRPr="003E431F">
        <w:t>PRILOG</w:t>
      </w:r>
      <w:r w:rsidR="00642091" w:rsidRPr="003E431F">
        <w:t xml:space="preserve"> </w:t>
      </w:r>
      <w:r w:rsidR="004F09CB" w:rsidRPr="003E431F">
        <w:t>3</w:t>
      </w:r>
      <w:r w:rsidRPr="003E431F">
        <w:t>.</w:t>
      </w:r>
    </w:p>
    <w:p w:rsidR="00316B0F" w:rsidRPr="003E431F" w:rsidRDefault="00316B0F" w:rsidP="00316B0F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PROIZVODNJU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NEMETALNIH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MINERALNIH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SIROVINA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PRERADU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METALA</w:t>
      </w:r>
    </w:p>
    <w:p w:rsidR="00316B0F" w:rsidRPr="003E431F" w:rsidRDefault="006653A9" w:rsidP="00325E4B">
      <w:pPr>
        <w:pStyle w:val="Naslov2"/>
        <w:jc w:val="left"/>
      </w:pPr>
      <w:r w:rsidRPr="003E431F">
        <w:t xml:space="preserve">A. </w:t>
      </w:r>
      <w:r w:rsidR="00316B0F" w:rsidRPr="003E431F">
        <w:t>Postrojenja</w:t>
      </w:r>
      <w:r w:rsidR="00642091" w:rsidRPr="003E431F">
        <w:t xml:space="preserve"> </w:t>
      </w:r>
      <w:r w:rsidR="00316B0F" w:rsidRPr="003E431F">
        <w:t>za</w:t>
      </w:r>
      <w:r w:rsidR="00642091" w:rsidRPr="003E431F">
        <w:t xml:space="preserve"> </w:t>
      </w:r>
      <w:r w:rsidR="00316B0F" w:rsidRPr="003E431F">
        <w:t>proizvodnju</w:t>
      </w:r>
      <w:r w:rsidR="00642091" w:rsidRPr="003E431F">
        <w:t xml:space="preserve"> </w:t>
      </w:r>
      <w:r w:rsidR="00316B0F" w:rsidRPr="003E431F">
        <w:t>nemetalnih</w:t>
      </w:r>
      <w:r w:rsidR="00642091" w:rsidRPr="003E431F">
        <w:t xml:space="preserve"> </w:t>
      </w:r>
      <w:r w:rsidR="00316B0F" w:rsidRPr="003E431F">
        <w:t>mineralnih</w:t>
      </w:r>
      <w:r w:rsidR="00642091" w:rsidRPr="003E431F">
        <w:t xml:space="preserve"> </w:t>
      </w:r>
      <w:r w:rsidR="00316B0F" w:rsidRPr="003E431F">
        <w:t>sirovina</w:t>
      </w:r>
    </w:p>
    <w:p w:rsidR="00316B0F" w:rsidRPr="003E431F" w:rsidRDefault="006653A9" w:rsidP="006653A9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(1)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cementa</w:t>
      </w:r>
    </w:p>
    <w:p w:rsidR="00316B0F" w:rsidRPr="003E431F" w:rsidRDefault="006653A9" w:rsidP="006653A9">
      <w:pPr>
        <w:tabs>
          <w:tab w:val="left" w:pos="993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1. </w:t>
      </w:r>
      <w:r w:rsidR="00316B0F" w:rsidRPr="003E431F">
        <w:rPr>
          <w:rFonts w:ascii="Times New Roman" w:hAnsi="Times New Roman" w:cs="Times New Roman"/>
          <w:sz w:val="24"/>
          <w:szCs w:val="24"/>
        </w:rPr>
        <w:t>Novo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postrojenje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cementa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rotacijskim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pećima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suhim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mokrim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postupkom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 w:rsidR="00316B0F" w:rsidRPr="003E431F" w:rsidTr="002F2A9A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500</w:t>
            </w:r>
          </w:p>
        </w:tc>
      </w:tr>
    </w:tbl>
    <w:p w:rsidR="00FF4967" w:rsidRPr="003E431F" w:rsidRDefault="00FF4967" w:rsidP="006653A9">
      <w:pPr>
        <w:spacing w:before="120" w:after="120" w:line="240" w:lineRule="auto"/>
        <w:ind w:left="142"/>
        <w:jc w:val="both"/>
        <w:rPr>
          <w:rFonts w:ascii="Times New Roman" w:hAnsi="Times New Roman" w:cs="Times New Roman"/>
        </w:rPr>
      </w:pPr>
    </w:p>
    <w:p w:rsidR="00316B0F" w:rsidRPr="003E431F" w:rsidRDefault="006653A9" w:rsidP="006653A9">
      <w:pPr>
        <w:spacing w:before="120" w:after="120" w:line="240" w:lineRule="auto"/>
        <w:ind w:left="142"/>
        <w:jc w:val="both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 xml:space="preserve">2. </w:t>
      </w:r>
      <w:r w:rsidR="00316B0F" w:rsidRPr="003E431F">
        <w:rPr>
          <w:rFonts w:ascii="Times New Roman" w:hAnsi="Times New Roman" w:cs="Times New Roman"/>
        </w:rPr>
        <w:t>Postojeće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postrojenje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za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proizvodnju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cementa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u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rotacijskim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pećima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suhim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ili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mokrim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postupkom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</w:tblGrid>
      <w:tr w:rsidR="00316B0F" w:rsidRPr="003E431F" w:rsidTr="002F2A9A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</w:tbl>
    <w:p w:rsidR="00FF4967" w:rsidRPr="003E431F" w:rsidRDefault="00FF4967" w:rsidP="006653A9">
      <w:pPr>
        <w:spacing w:before="120" w:after="120" w:line="240" w:lineRule="auto"/>
        <w:ind w:left="142"/>
        <w:rPr>
          <w:rFonts w:ascii="Times New Roman" w:hAnsi="Times New Roman" w:cs="Times New Roman"/>
        </w:rPr>
      </w:pPr>
    </w:p>
    <w:p w:rsidR="00316B0F" w:rsidRPr="003E431F" w:rsidRDefault="006653A9" w:rsidP="006653A9">
      <w:pPr>
        <w:spacing w:before="120" w:after="120" w:line="240" w:lineRule="auto"/>
        <w:ind w:left="142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 xml:space="preserve">3. </w:t>
      </w:r>
      <w:r w:rsidR="00316B0F" w:rsidRPr="003E431F">
        <w:rPr>
          <w:rFonts w:ascii="Times New Roman" w:hAnsi="Times New Roman" w:cs="Times New Roman"/>
        </w:rPr>
        <w:t>Postojeće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postrojenje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za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proizvodnju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cementa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u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kupolnim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pećima</w:t>
      </w:r>
      <w:r w:rsidR="00642091" w:rsidRPr="003E431F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93"/>
      </w:tblGrid>
      <w:tr w:rsidR="00316B0F" w:rsidRPr="003E431F" w:rsidTr="002F2A9A">
        <w:trPr>
          <w:trHeight w:hRule="exact" w:val="507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00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2F2A9A">
        <w:trPr>
          <w:trHeight w:hRule="exact" w:val="300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1200</w:t>
            </w:r>
          </w:p>
        </w:tc>
      </w:tr>
      <w:tr w:rsidR="00316B0F" w:rsidRPr="003E431F" w:rsidTr="002F2A9A">
        <w:trPr>
          <w:trHeight w:hRule="exact" w:val="300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1200</w:t>
            </w:r>
          </w:p>
        </w:tc>
      </w:tr>
    </w:tbl>
    <w:p w:rsidR="006653A9" w:rsidRPr="003E431F" w:rsidRDefault="006653A9" w:rsidP="006653A9">
      <w:pPr>
        <w:tabs>
          <w:tab w:val="left" w:pos="426"/>
        </w:tabs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6653A9" w:rsidP="006653A9">
      <w:pPr>
        <w:tabs>
          <w:tab w:val="left" w:pos="426"/>
        </w:tabs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(2)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proces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žarenja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boksita,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dolomita,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magnezita,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vapnenca,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gipsa,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diatomejske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zemlje,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kvarcita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šamota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5"/>
        <w:gridCol w:w="2127"/>
      </w:tblGrid>
      <w:tr w:rsidR="00316B0F" w:rsidRPr="003E431F" w:rsidTr="00316B0F">
        <w:trPr>
          <w:trHeight w:hRule="exact" w:val="567"/>
        </w:trPr>
        <w:tc>
          <w:tcPr>
            <w:tcW w:w="5665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665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316B0F">
        <w:trPr>
          <w:trHeight w:hRule="exact" w:val="885"/>
        </w:trPr>
        <w:tc>
          <w:tcPr>
            <w:tcW w:w="5665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krom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njegovi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C27B1D" w:rsidRPr="003E431F">
              <w:rPr>
                <w:rFonts w:ascii="Times New Roman" w:hAnsi="Times New Roman" w:cs="Times New Roman"/>
              </w:rPr>
              <w:t>spojevi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praškastom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obliku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izraženih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</w:t>
            </w:r>
          </w:p>
          <w:p w:rsidR="00316B0F" w:rsidRPr="003E431F" w:rsidRDefault="00316B0F" w:rsidP="009250AB">
            <w:pPr>
              <w:pStyle w:val="Odlomakpopisa"/>
              <w:numPr>
                <w:ilvl w:val="0"/>
                <w:numId w:val="35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pečenju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kromitne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rude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316B0F">
        <w:trPr>
          <w:trHeight w:hRule="exact" w:val="837"/>
        </w:trPr>
        <w:tc>
          <w:tcPr>
            <w:tcW w:w="5665" w:type="dxa"/>
          </w:tcPr>
          <w:p w:rsidR="00316B0F" w:rsidRPr="003E431F" w:rsidRDefault="00C27B1D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ostalih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peći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-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kod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žarenja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vapnenca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u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rotacijskim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pećima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1500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</w:rPr>
              <w:t>1800</w:t>
            </w:r>
          </w:p>
        </w:tc>
      </w:tr>
      <w:tr w:rsidR="00316B0F" w:rsidRPr="003E431F" w:rsidTr="00316B0F">
        <w:trPr>
          <w:trHeight w:hRule="exact" w:val="1012"/>
        </w:trPr>
        <w:tc>
          <w:tcPr>
            <w:tcW w:w="5665" w:type="dxa"/>
            <w:vAlign w:val="center"/>
          </w:tcPr>
          <w:p w:rsidR="00316B0F" w:rsidRPr="003E431F" w:rsidRDefault="00316B0F" w:rsidP="00316B0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fluor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C27B1D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izraženih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HF</w:t>
            </w:r>
          </w:p>
          <w:p w:rsidR="00316B0F" w:rsidRPr="003E431F" w:rsidRDefault="00316B0F" w:rsidP="009250AB">
            <w:pPr>
              <w:pStyle w:val="Odlomakpopisa"/>
              <w:numPr>
                <w:ilvl w:val="0"/>
                <w:numId w:val="34"/>
              </w:numPr>
              <w:shd w:val="clear" w:color="auto" w:fill="FFFFFF"/>
              <w:ind w:left="164" w:hanging="164"/>
              <w:textAlignment w:val="baseline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pečenje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kvarcita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  <w:tr w:rsidR="00316B0F" w:rsidRPr="003E431F" w:rsidTr="00316B0F">
        <w:trPr>
          <w:trHeight w:hRule="exact" w:val="573"/>
        </w:trPr>
        <w:tc>
          <w:tcPr>
            <w:tcW w:w="5665" w:type="dxa"/>
          </w:tcPr>
          <w:p w:rsidR="00316B0F" w:rsidRPr="003E431F" w:rsidRDefault="00C27B1D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pečenje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magnezita</w:t>
            </w:r>
          </w:p>
        </w:tc>
        <w:tc>
          <w:tcPr>
            <w:tcW w:w="2127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</w:tbl>
    <w:p w:rsidR="006653A9" w:rsidRPr="003E431F" w:rsidRDefault="006653A9" w:rsidP="006653A9">
      <w:pPr>
        <w:tabs>
          <w:tab w:val="left" w:pos="426"/>
        </w:tabs>
        <w:spacing w:before="120"/>
        <w:ind w:firstLine="567"/>
        <w:rPr>
          <w:rFonts w:ascii="Times New Roman" w:hAnsi="Times New Roman" w:cs="Times New Roman"/>
        </w:rPr>
      </w:pPr>
    </w:p>
    <w:p w:rsidR="00316B0F" w:rsidRPr="003E431F" w:rsidRDefault="006653A9" w:rsidP="006653A9">
      <w:pPr>
        <w:tabs>
          <w:tab w:val="left" w:pos="426"/>
        </w:tabs>
        <w:spacing w:before="120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hAnsi="Times New Roman" w:cs="Times New Roman"/>
        </w:rPr>
        <w:t xml:space="preserve">(3) </w:t>
      </w:r>
      <w:r w:rsidR="00316B0F" w:rsidRPr="003E431F">
        <w:rPr>
          <w:rFonts w:ascii="Times New Roman" w:hAnsi="Times New Roman" w:cs="Times New Roman"/>
        </w:rPr>
        <w:t>GVE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kod</w:t>
      </w:r>
      <w:r w:rsidR="00642091" w:rsidRPr="003E431F">
        <w:rPr>
          <w:rFonts w:ascii="Times New Roman" w:hAnsi="Times New Roman" w:cs="Times New Roman"/>
        </w:rPr>
        <w:t xml:space="preserve"> </w:t>
      </w:r>
      <w:r w:rsidR="00316B0F" w:rsidRPr="003E431F">
        <w:rPr>
          <w:rFonts w:ascii="Times New Roman" w:hAnsi="Times New Roman" w:cs="Times New Roman"/>
        </w:rPr>
        <w:t>t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tretiranja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perlita,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škriljaca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</w:tblGrid>
      <w:tr w:rsidR="00316B0F" w:rsidRPr="003E431F" w:rsidTr="00BC0531">
        <w:trPr>
          <w:trHeight w:hRule="exact" w:val="624"/>
        </w:trPr>
        <w:tc>
          <w:tcPr>
            <w:tcW w:w="4390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58788B">
        <w:trPr>
          <w:trHeight w:hRule="exact" w:val="631"/>
        </w:trPr>
        <w:tc>
          <w:tcPr>
            <w:tcW w:w="4390" w:type="dxa"/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155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1000</w:t>
            </w:r>
          </w:p>
        </w:tc>
      </w:tr>
    </w:tbl>
    <w:p w:rsidR="006653A9" w:rsidRPr="003E431F" w:rsidRDefault="006653A9" w:rsidP="006653A9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6653A9" w:rsidP="006653A9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(4)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vlakana</w:t>
      </w:r>
    </w:p>
    <w:tbl>
      <w:tblPr>
        <w:tblStyle w:val="Reetkatablice"/>
        <w:tblpPr w:leftFromText="180" w:rightFromText="180" w:vertAnchor="text" w:tblpY="1"/>
        <w:tblOverlap w:val="never"/>
        <w:tblW w:w="9094" w:type="dxa"/>
        <w:tblLook w:val="04A0" w:firstRow="1" w:lastRow="0" w:firstColumn="1" w:lastColumn="0" w:noHBand="0" w:noVBand="1"/>
      </w:tblPr>
      <w:tblGrid>
        <w:gridCol w:w="6658"/>
        <w:gridCol w:w="1275"/>
        <w:gridCol w:w="1161"/>
      </w:tblGrid>
      <w:tr w:rsidR="00316B0F" w:rsidRPr="003E431F" w:rsidTr="00BC0531">
        <w:trPr>
          <w:trHeight w:hRule="exact" w:val="624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lastRenderedPageBreak/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klor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300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30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fluor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masenih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koncentracija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Cd,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As,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Ni,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</w:t>
            </w:r>
          </w:p>
        </w:tc>
      </w:tr>
      <w:tr w:rsidR="00316B0F" w:rsidRPr="003E431F" w:rsidTr="00BC0531">
        <w:trPr>
          <w:trHeight w:hRule="exact" w:val="624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masenih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koncentracija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Cd,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As,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Ni,</w:t>
            </w:r>
            <w:r w:rsidRPr="003E431F">
              <w:rPr>
                <w:rFonts w:ascii="Times New Roman" w:hAnsi="Times New Roman" w:cs="Times New Roman"/>
              </w:rPr>
              <w:br/>
              <w:t>Se,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Sb,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Pb,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Mn</w:t>
            </w:r>
          </w:p>
        </w:tc>
        <w:tc>
          <w:tcPr>
            <w:tcW w:w="127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25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1161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kadmij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0,1</w:t>
            </w:r>
          </w:p>
        </w:tc>
      </w:tr>
      <w:tr w:rsidR="00316B0F" w:rsidRPr="003E431F" w:rsidTr="00BC0531">
        <w:trPr>
          <w:trHeight w:hRule="exact" w:val="340"/>
        </w:trPr>
        <w:tc>
          <w:tcPr>
            <w:tcW w:w="6658" w:type="dxa"/>
            <w:tcBorders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arsen: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316B0F" w:rsidRPr="003E431F" w:rsidTr="00BC0531">
        <w:trPr>
          <w:trHeight w:hRule="exact" w:val="340"/>
        </w:trPr>
        <w:tc>
          <w:tcPr>
            <w:tcW w:w="6658" w:type="dxa"/>
            <w:tcBorders>
              <w:top w:val="nil"/>
              <w:bottom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4"/>
              </w:numPr>
              <w:ind w:left="164" w:hanging="16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proizvodnja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kristalnog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stakla</w:t>
            </w:r>
          </w:p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0,5</w:t>
            </w:r>
          </w:p>
        </w:tc>
      </w:tr>
      <w:tr w:rsidR="00316B0F" w:rsidRPr="003E431F" w:rsidTr="00BC0531">
        <w:trPr>
          <w:trHeight w:hRule="exact" w:val="340"/>
        </w:trPr>
        <w:tc>
          <w:tcPr>
            <w:tcW w:w="6658" w:type="dxa"/>
            <w:tcBorders>
              <w:top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4"/>
              </w:numPr>
              <w:ind w:left="164" w:hanging="142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ostala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postrojenja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proizvodnju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stakla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0,1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C27B1D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500</w:t>
            </w:r>
          </w:p>
        </w:tc>
      </w:tr>
      <w:tr w:rsidR="00316B0F" w:rsidRPr="003E431F" w:rsidTr="00BC0531">
        <w:trPr>
          <w:trHeight w:hRule="exact" w:val="346"/>
        </w:trPr>
        <w:tc>
          <w:tcPr>
            <w:tcW w:w="6658" w:type="dxa"/>
            <w:tcBorders>
              <w:bottom w:val="nil"/>
              <w:right w:val="nil"/>
            </w:tcBorders>
            <w:vAlign w:val="center"/>
          </w:tcPr>
          <w:p w:rsidR="00316B0F" w:rsidRPr="003E431F" w:rsidRDefault="00C27B1D" w:rsidP="00C27B1D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  <w:t>2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</w:tr>
      <w:tr w:rsidR="00316B0F" w:rsidRPr="003E431F" w:rsidTr="00BC0531">
        <w:trPr>
          <w:trHeight w:hRule="exact" w:val="550"/>
        </w:trPr>
        <w:tc>
          <w:tcPr>
            <w:tcW w:w="6658" w:type="dxa"/>
            <w:tcBorders>
              <w:top w:val="nil"/>
              <w:bottom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6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U-plamenom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regenerativnim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ili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keramičkim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rekuperativnim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predgrijavanjem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zraka</w:t>
            </w:r>
          </w:p>
          <w:p w:rsidR="00316B0F" w:rsidRPr="003E431F" w:rsidRDefault="00316B0F" w:rsidP="00316B0F">
            <w:pPr>
              <w:ind w:left="306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  <w:tr w:rsidR="00316B0F" w:rsidRPr="003E431F" w:rsidTr="00BC0531">
        <w:trPr>
          <w:trHeight w:hRule="exact" w:val="567"/>
        </w:trPr>
        <w:tc>
          <w:tcPr>
            <w:tcW w:w="6658" w:type="dxa"/>
            <w:tcBorders>
              <w:top w:val="nil"/>
              <w:bottom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6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Q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(poprečnim)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plamenom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regenerativnim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ili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rekuperativnim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predgrijavanjem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zraka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1500</w:t>
            </w:r>
          </w:p>
        </w:tc>
      </w:tr>
      <w:tr w:rsidR="00316B0F" w:rsidRPr="003E431F" w:rsidTr="00BC0531">
        <w:trPr>
          <w:trHeight w:hRule="exact" w:val="322"/>
        </w:trPr>
        <w:tc>
          <w:tcPr>
            <w:tcW w:w="6658" w:type="dxa"/>
            <w:tcBorders>
              <w:top w:val="nil"/>
              <w:bottom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6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ostalim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rekuperativnim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predgrijavanjem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zraka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900</w:t>
            </w:r>
          </w:p>
        </w:tc>
      </w:tr>
      <w:tr w:rsidR="00316B0F" w:rsidRPr="003E431F" w:rsidTr="00BC0531">
        <w:trPr>
          <w:trHeight w:hRule="exact" w:val="322"/>
        </w:trPr>
        <w:tc>
          <w:tcPr>
            <w:tcW w:w="6658" w:type="dxa"/>
            <w:tcBorders>
              <w:top w:val="nil"/>
              <w:bottom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6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kadnih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dnevnih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peći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  <w:tr w:rsidR="00316B0F" w:rsidRPr="003E431F" w:rsidTr="00BC0531">
        <w:trPr>
          <w:trHeight w:hRule="exact" w:val="349"/>
        </w:trPr>
        <w:tc>
          <w:tcPr>
            <w:tcW w:w="6658" w:type="dxa"/>
            <w:tcBorders>
              <w:top w:val="nil"/>
              <w:right w:val="nil"/>
            </w:tcBorders>
            <w:vAlign w:val="center"/>
          </w:tcPr>
          <w:p w:rsidR="00316B0F" w:rsidRPr="003E431F" w:rsidRDefault="00316B0F" w:rsidP="009250AB">
            <w:pPr>
              <w:pStyle w:val="Odlomakpopisa"/>
              <w:numPr>
                <w:ilvl w:val="0"/>
                <w:numId w:val="36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postrojenja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taljenje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stakla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koje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pripadaju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točke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a)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do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1161" w:type="dxa"/>
            <w:tcBorders>
              <w:top w:val="nil"/>
              <w:left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</w:tbl>
    <w:p w:rsidR="006653A9" w:rsidRPr="003E431F" w:rsidRDefault="006653A9" w:rsidP="006653A9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6653A9" w:rsidP="006653A9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(5)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mineralne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(kamene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staklene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vune)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keramičkih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vlakana</w:t>
      </w:r>
    </w:p>
    <w:tbl>
      <w:tblPr>
        <w:tblStyle w:val="Reetkatablice"/>
        <w:tblpPr w:leftFromText="180" w:rightFromText="180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6658"/>
        <w:gridCol w:w="1984"/>
      </w:tblGrid>
      <w:tr w:rsidR="00316B0F" w:rsidRPr="003E431F" w:rsidTr="00905E04">
        <w:trPr>
          <w:trHeight w:hRule="exact" w:val="624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formaldehid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fenol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15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C37CE9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</w:t>
            </w:r>
            <w:r w:rsidR="00C27B1D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C27B1D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amonijak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58788B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klorid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fluorid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sulfid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ugljikov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monoksid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(CO)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masenih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koncentracija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Cd,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As,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Ni,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Se,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Cr(VI)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</w:t>
            </w:r>
          </w:p>
        </w:tc>
      </w:tr>
      <w:tr w:rsidR="00316B0F" w:rsidRPr="003E431F" w:rsidTr="00905E04">
        <w:trPr>
          <w:trHeight w:hRule="exact" w:val="624"/>
        </w:trPr>
        <w:tc>
          <w:tcPr>
            <w:tcW w:w="6658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zbroj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masenih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koncentracija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Cd,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As,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Ni,</w:t>
            </w:r>
            <w:r w:rsidRPr="003E431F">
              <w:rPr>
                <w:rFonts w:ascii="Times New Roman" w:hAnsi="Times New Roman" w:cs="Times New Roman"/>
              </w:rPr>
              <w:br/>
              <w:t>Se,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Cr(VI),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Sb,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Pb,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Cr(III),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V,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Cu,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Mn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Sn</w:t>
            </w:r>
          </w:p>
        </w:tc>
        <w:tc>
          <w:tcPr>
            <w:tcW w:w="1984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kadmij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0,2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SO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1800</w:t>
            </w:r>
          </w:p>
        </w:tc>
      </w:tr>
      <w:tr w:rsidR="00316B0F" w:rsidRPr="003E431F" w:rsidTr="00905E04">
        <w:trPr>
          <w:trHeight w:hRule="exact" w:val="369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6B0F" w:rsidRPr="003E431F" w:rsidRDefault="00F111D2" w:rsidP="00F111D2">
            <w:pP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500</w:t>
            </w:r>
          </w:p>
        </w:tc>
      </w:tr>
    </w:tbl>
    <w:p w:rsidR="00926F73" w:rsidRPr="003E431F" w:rsidRDefault="00926F73" w:rsidP="006653A9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316B0F" w:rsidP="006653A9">
      <w:pPr>
        <w:tabs>
          <w:tab w:val="left" w:pos="426"/>
        </w:tabs>
        <w:spacing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pečenja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keramičkih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1295"/>
        <w:gridCol w:w="988"/>
      </w:tblGrid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udjelu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sirovini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0,12%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1000</w:t>
            </w:r>
          </w:p>
        </w:tc>
      </w:tr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Pr="003E431F">
              <w:rPr>
                <w:rFonts w:ascii="Times New Roman" w:hAnsi="Times New Roman" w:cs="Times New Roman"/>
              </w:rPr>
              <w:t>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udjelu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sirovini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0,12%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više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1500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benzen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25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</w:p>
        </w:tc>
      </w:tr>
    </w:tbl>
    <w:p w:rsidR="00FF4967" w:rsidRPr="003E431F" w:rsidRDefault="00FF4967" w:rsidP="006653A9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6B0F" w:rsidRPr="003E431F" w:rsidRDefault="006653A9" w:rsidP="00325E4B">
      <w:pPr>
        <w:pStyle w:val="Naslov2"/>
        <w:jc w:val="left"/>
      </w:pPr>
      <w:r w:rsidRPr="003E431F">
        <w:t xml:space="preserve">B. </w:t>
      </w:r>
      <w:r w:rsidR="00316B0F" w:rsidRPr="003E431F">
        <w:t>Postrojenja</w:t>
      </w:r>
      <w:r w:rsidR="00642091" w:rsidRPr="003E431F">
        <w:t xml:space="preserve"> </w:t>
      </w:r>
      <w:r w:rsidR="00316B0F" w:rsidRPr="003E431F">
        <w:t>za</w:t>
      </w:r>
      <w:r w:rsidR="00642091" w:rsidRPr="003E431F">
        <w:t xml:space="preserve"> </w:t>
      </w:r>
      <w:r w:rsidR="00316B0F" w:rsidRPr="003E431F">
        <w:t>proizvodnju,</w:t>
      </w:r>
      <w:r w:rsidR="00642091" w:rsidRPr="003E431F">
        <w:t xml:space="preserve"> </w:t>
      </w:r>
      <w:r w:rsidR="00316B0F" w:rsidRPr="003E431F">
        <w:t>preradu</w:t>
      </w:r>
      <w:r w:rsidR="00642091" w:rsidRPr="003E431F">
        <w:t xml:space="preserve"> </w:t>
      </w:r>
      <w:r w:rsidR="00316B0F" w:rsidRPr="003E431F">
        <w:t>i</w:t>
      </w:r>
      <w:r w:rsidR="00642091" w:rsidRPr="003E431F">
        <w:t xml:space="preserve"> </w:t>
      </w:r>
      <w:r w:rsidR="00316B0F" w:rsidRPr="003E431F">
        <w:t>obradu</w:t>
      </w:r>
      <w:r w:rsidR="00642091" w:rsidRPr="003E431F">
        <w:t xml:space="preserve"> </w:t>
      </w:r>
      <w:r w:rsidR="00316B0F" w:rsidRPr="003E431F">
        <w:t>metala</w:t>
      </w:r>
    </w:p>
    <w:p w:rsidR="00316B0F" w:rsidRPr="003E431F" w:rsidRDefault="00316B0F" w:rsidP="006653A9">
      <w:pPr>
        <w:tabs>
          <w:tab w:val="left" w:pos="284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lijevanog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316B0F">
        <w:trPr>
          <w:trHeight w:hRule="exact" w:val="550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(CO)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1000</w:t>
            </w:r>
          </w:p>
        </w:tc>
      </w:tr>
      <w:tr w:rsidR="00316B0F" w:rsidRPr="003E431F" w:rsidTr="0058788B">
        <w:trPr>
          <w:trHeight w:hRule="exact" w:val="528"/>
        </w:trPr>
        <w:tc>
          <w:tcPr>
            <w:tcW w:w="5949" w:type="dxa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kupolne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kapaciteta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taljenja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  <w:tr w:rsidR="00316B0F" w:rsidRPr="003E431F" w:rsidTr="0058788B">
        <w:trPr>
          <w:trHeight w:hRule="exact" w:val="564"/>
        </w:trPr>
        <w:tc>
          <w:tcPr>
            <w:tcW w:w="5949" w:type="dxa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kupolne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peći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kapaciteta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taljenja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10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75</w:t>
            </w:r>
          </w:p>
        </w:tc>
      </w:tr>
      <w:tr w:rsidR="00316B0F" w:rsidRPr="003E431F" w:rsidTr="0058788B">
        <w:trPr>
          <w:trHeight w:hRule="exact" w:val="430"/>
        </w:trPr>
        <w:tc>
          <w:tcPr>
            <w:tcW w:w="5949" w:type="dxa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tvari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kod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transporta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obrade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šarže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</w:tbl>
    <w:p w:rsidR="00FF4967" w:rsidRPr="003E431F" w:rsidRDefault="00FF4967" w:rsidP="006653A9">
      <w:pPr>
        <w:pStyle w:val="Odlomakpopisa"/>
        <w:tabs>
          <w:tab w:val="left" w:pos="426"/>
        </w:tabs>
        <w:spacing w:before="120" w:after="12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6653A9">
      <w:pPr>
        <w:pStyle w:val="Odlomakpopisa"/>
        <w:tabs>
          <w:tab w:val="left" w:pos="426"/>
        </w:tabs>
        <w:spacing w:before="120" w:after="12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(2)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dobivanja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čelika</w:t>
      </w:r>
    </w:p>
    <w:p w:rsidR="00316B0F" w:rsidRPr="003E431F" w:rsidRDefault="006653A9" w:rsidP="006653A9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1. </w:t>
      </w:r>
      <w:r w:rsidR="00316B0F" w:rsidRPr="003E431F">
        <w:rPr>
          <w:rFonts w:ascii="Times New Roman" w:hAnsi="Times New Roman" w:cs="Times New Roman"/>
          <w:sz w:val="24"/>
          <w:szCs w:val="24"/>
        </w:rPr>
        <w:t>Konvertor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kisikom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316B0F">
        <w:trPr>
          <w:trHeight w:hRule="exact" w:val="550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</w:tbl>
    <w:p w:rsidR="00FF4967" w:rsidRPr="003E431F" w:rsidRDefault="00FF4967" w:rsidP="006653A9">
      <w:pPr>
        <w:tabs>
          <w:tab w:val="left" w:pos="284"/>
        </w:tabs>
        <w:spacing w:before="120" w:after="120" w:line="240" w:lineRule="auto"/>
        <w:ind w:left="142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6653A9" w:rsidP="006653A9">
      <w:pPr>
        <w:tabs>
          <w:tab w:val="left" w:pos="284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Indukcijske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elektrolučne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vakuum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t/šarži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316B0F">
        <w:trPr>
          <w:trHeight w:hRule="exact" w:val="550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75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(CO)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</w:tbl>
    <w:p w:rsidR="00FF4967" w:rsidRPr="003E431F" w:rsidRDefault="00FF4967" w:rsidP="006653A9">
      <w:pPr>
        <w:tabs>
          <w:tab w:val="left" w:pos="284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6653A9" w:rsidP="006653A9">
      <w:pPr>
        <w:tabs>
          <w:tab w:val="left" w:pos="284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3. </w:t>
      </w:r>
      <w:r w:rsidR="00316B0F" w:rsidRPr="003E431F">
        <w:rPr>
          <w:rFonts w:ascii="Times New Roman" w:hAnsi="Times New Roman" w:cs="Times New Roman"/>
          <w:sz w:val="24"/>
          <w:szCs w:val="24"/>
        </w:rPr>
        <w:t>Indukcijske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elektrolučne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peći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vakuum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20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t/šarži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više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316B0F">
        <w:trPr>
          <w:trHeight w:hRule="exact" w:val="550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(CO)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NO</w:t>
            </w:r>
            <w:r w:rsidR="00316B0F"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</w:tbl>
    <w:p w:rsidR="00FF4967" w:rsidRPr="003E431F" w:rsidRDefault="00FF4967" w:rsidP="006653A9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6653A9" w:rsidP="006653A9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4. </w:t>
      </w:r>
      <w:r w:rsidR="00316B0F" w:rsidRPr="003E431F">
        <w:rPr>
          <w:rFonts w:ascii="Times New Roman" w:hAnsi="Times New Roman" w:cs="Times New Roman"/>
          <w:sz w:val="24"/>
          <w:szCs w:val="24"/>
        </w:rPr>
        <w:t>Transport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obrada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šarže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4C28CC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</w:tbl>
    <w:p w:rsidR="00FF4967" w:rsidRPr="003E431F" w:rsidRDefault="00FF4967" w:rsidP="00FF6CB1">
      <w:pPr>
        <w:tabs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FF6CB1" w:rsidP="00FF6CB1">
      <w:pPr>
        <w:tabs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(3)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dobivanja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obrade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obojenih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metala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njihovih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legura</w:t>
      </w:r>
    </w:p>
    <w:p w:rsidR="00316B0F" w:rsidRPr="003E431F" w:rsidRDefault="00316B0F" w:rsidP="00FF6CB1">
      <w:pPr>
        <w:tabs>
          <w:tab w:val="left" w:pos="426"/>
        </w:tabs>
        <w:spacing w:before="240" w:after="120" w:line="240" w:lineRule="auto"/>
        <w:ind w:left="142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hAnsi="Times New Roman" w:cs="Times New Roman"/>
          <w:sz w:val="24"/>
          <w:szCs w:val="24"/>
        </w:rPr>
        <w:t>1.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ehnološki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obojenih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legura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ferolegura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1295"/>
        <w:gridCol w:w="988"/>
      </w:tblGrid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sumpora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Pr="003E431F">
              <w:rPr>
                <w:rFonts w:ascii="Times New Roman" w:hAnsi="Times New Roman" w:cs="Times New Roman"/>
              </w:rPr>
              <w:t>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</w:tbl>
    <w:p w:rsidR="00FF4967" w:rsidRPr="003E431F" w:rsidRDefault="00FF4967" w:rsidP="00FF6CB1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FF6CB1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2.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taljenja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rafinacije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obojenih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metala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njihovih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legura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1295"/>
        <w:gridCol w:w="988"/>
      </w:tblGrid>
      <w:tr w:rsidR="00316B0F" w:rsidRPr="003E431F" w:rsidTr="004C28CC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0,2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organski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spojevi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ukupni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ugljik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</w:tbl>
    <w:p w:rsidR="00FF4967" w:rsidRPr="003E431F" w:rsidRDefault="00FF4967" w:rsidP="00FF6CB1">
      <w:pPr>
        <w:tabs>
          <w:tab w:val="left" w:pos="284"/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FF6CB1">
      <w:pPr>
        <w:tabs>
          <w:tab w:val="left" w:pos="284"/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3.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T</w:t>
      </w:r>
      <w:r w:rsidRPr="003E431F">
        <w:rPr>
          <w:rFonts w:ascii="Times New Roman" w:hAnsi="Times New Roman" w:cs="Times New Roman"/>
          <w:sz w:val="24"/>
          <w:szCs w:val="24"/>
        </w:rPr>
        <w:t>ehnološki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valjanja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metala,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peći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zavarivanje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termičku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obradu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65"/>
        <w:gridCol w:w="1579"/>
        <w:gridCol w:w="988"/>
      </w:tblGrid>
      <w:tr w:rsidR="00316B0F" w:rsidRPr="003E431F" w:rsidTr="004C28CC">
        <w:trPr>
          <w:trHeight w:hRule="exact" w:val="624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Temperatura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300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515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600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800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600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1100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665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650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1300</w:t>
            </w:r>
          </w:p>
        </w:tc>
      </w:tr>
    </w:tbl>
    <w:p w:rsidR="00316B0F" w:rsidRPr="003E431F" w:rsidRDefault="00316B0F" w:rsidP="00316B0F">
      <w:pPr>
        <w:tabs>
          <w:tab w:val="left" w:pos="284"/>
          <w:tab w:val="left" w:pos="426"/>
        </w:tabs>
        <w:spacing w:before="120" w:after="120" w:line="240" w:lineRule="auto"/>
        <w:rPr>
          <w:rFonts w:ascii="Times New Roman" w:hAnsi="Times New Roman" w:cs="Times New Roman"/>
          <w:sz w:val="20"/>
        </w:rPr>
      </w:pPr>
      <w:r w:rsidRPr="003E431F">
        <w:rPr>
          <w:rFonts w:ascii="Times New Roman" w:hAnsi="Times New Roman" w:cs="Times New Roman"/>
          <w:sz w:val="24"/>
          <w:szCs w:val="24"/>
        </w:rPr>
        <w:t>*</w:t>
      </w:r>
      <w:r w:rsidRPr="003E431F">
        <w:rPr>
          <w:rFonts w:ascii="Times New Roman" w:hAnsi="Times New Roman" w:cs="Times New Roman"/>
          <w:szCs w:val="24"/>
        </w:rPr>
        <w:t>GVE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iskazane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su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u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ovisnosti</w:t>
      </w:r>
      <w:r w:rsidR="00426253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o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temperaturi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procesa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uz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 w:val="20"/>
        </w:rPr>
        <w:t>volumni</w:t>
      </w:r>
      <w:r w:rsidR="00642091" w:rsidRPr="003E431F">
        <w:rPr>
          <w:rFonts w:ascii="Times New Roman" w:hAnsi="Times New Roman" w:cs="Times New Roman"/>
          <w:sz w:val="20"/>
        </w:rPr>
        <w:t xml:space="preserve"> </w:t>
      </w:r>
      <w:r w:rsidRPr="003E431F">
        <w:rPr>
          <w:rFonts w:ascii="Times New Roman" w:hAnsi="Times New Roman" w:cs="Times New Roman"/>
          <w:sz w:val="20"/>
        </w:rPr>
        <w:t>udio</w:t>
      </w:r>
      <w:r w:rsidR="00642091" w:rsidRPr="003E431F">
        <w:rPr>
          <w:rFonts w:ascii="Times New Roman" w:hAnsi="Times New Roman" w:cs="Times New Roman"/>
          <w:sz w:val="20"/>
        </w:rPr>
        <w:t xml:space="preserve"> </w:t>
      </w:r>
      <w:r w:rsidRPr="003E431F">
        <w:rPr>
          <w:rFonts w:ascii="Times New Roman" w:hAnsi="Times New Roman" w:cs="Times New Roman"/>
          <w:sz w:val="20"/>
        </w:rPr>
        <w:t>kisika</w:t>
      </w:r>
      <w:r w:rsidR="00642091" w:rsidRPr="003E431F">
        <w:rPr>
          <w:rFonts w:ascii="Times New Roman" w:hAnsi="Times New Roman" w:cs="Times New Roman"/>
          <w:sz w:val="20"/>
        </w:rPr>
        <w:t xml:space="preserve"> </w:t>
      </w:r>
      <w:r w:rsidRPr="003E431F">
        <w:rPr>
          <w:rFonts w:ascii="Times New Roman" w:hAnsi="Times New Roman" w:cs="Times New Roman"/>
          <w:sz w:val="20"/>
        </w:rPr>
        <w:t>5%</w:t>
      </w:r>
    </w:p>
    <w:p w:rsidR="00FF4967" w:rsidRPr="003E431F" w:rsidRDefault="00FF4967" w:rsidP="00FF6CB1">
      <w:pPr>
        <w:tabs>
          <w:tab w:val="left" w:pos="284"/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FF6CB1">
      <w:pPr>
        <w:tabs>
          <w:tab w:val="left" w:pos="284"/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4.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toplog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pocinčavanja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2F2A9A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  <w:tr w:rsidR="00316B0F" w:rsidRPr="003E431F" w:rsidTr="002F2A9A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plinoviti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anorganski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F111D2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klora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HCl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</w:tbl>
    <w:p w:rsidR="00316B0F" w:rsidRPr="003E431F" w:rsidRDefault="00FF4967" w:rsidP="00FF4967">
      <w:pPr>
        <w:tabs>
          <w:tab w:val="left" w:pos="284"/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(4)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taljenja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legiranja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bakra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cinka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</w:tbl>
    <w:p w:rsidR="004C28CC" w:rsidRPr="003E431F" w:rsidRDefault="004C28CC" w:rsidP="004C28CC">
      <w:pPr>
        <w:pStyle w:val="Odlomakpopisa"/>
        <w:tabs>
          <w:tab w:val="left" w:pos="284"/>
          <w:tab w:val="left" w:pos="42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FF4967" w:rsidP="00FF4967">
      <w:pPr>
        <w:tabs>
          <w:tab w:val="left" w:pos="284"/>
          <w:tab w:val="left" w:pos="426"/>
        </w:tabs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(5)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olova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BC0531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BC0531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</w:tbl>
    <w:p w:rsidR="00FF4967" w:rsidRPr="003E431F" w:rsidRDefault="00FF4967" w:rsidP="00FF4967">
      <w:pPr>
        <w:tabs>
          <w:tab w:val="left" w:pos="284"/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FF4967" w:rsidP="00FF4967">
      <w:pPr>
        <w:tabs>
          <w:tab w:val="left" w:pos="284"/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(6)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proizvodnje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sačme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obradu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površine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6B0F" w:rsidRPr="003E431F">
        <w:rPr>
          <w:rFonts w:ascii="Times New Roman" w:hAnsi="Times New Roman" w:cs="Times New Roman"/>
          <w:sz w:val="24"/>
          <w:szCs w:val="24"/>
        </w:rPr>
        <w:t>sačmarenjem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1267"/>
      </w:tblGrid>
      <w:tr w:rsidR="004C28CC" w:rsidRPr="003E431F" w:rsidTr="004C28CC">
        <w:trPr>
          <w:trHeight w:hRule="exact" w:val="624"/>
        </w:trPr>
        <w:tc>
          <w:tcPr>
            <w:tcW w:w="3256" w:type="dxa"/>
            <w:vAlign w:val="center"/>
          </w:tcPr>
          <w:p w:rsidR="004C28CC" w:rsidRPr="003E431F" w:rsidRDefault="004C28CC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Proces</w:t>
            </w:r>
          </w:p>
        </w:tc>
        <w:tc>
          <w:tcPr>
            <w:tcW w:w="1267" w:type="dxa"/>
            <w:vAlign w:val="center"/>
          </w:tcPr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4C28CC" w:rsidRPr="003E431F" w:rsidTr="004C28CC">
        <w:trPr>
          <w:trHeight w:hRule="exact" w:val="369"/>
        </w:trPr>
        <w:tc>
          <w:tcPr>
            <w:tcW w:w="3256" w:type="dxa"/>
            <w:vMerge w:val="restart"/>
            <w:vAlign w:val="center"/>
          </w:tcPr>
          <w:p w:rsidR="004C28CC" w:rsidRPr="003E431F" w:rsidRDefault="004C28CC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3402" w:type="dxa"/>
            <w:vAlign w:val="center"/>
          </w:tcPr>
          <w:p w:rsidR="004C28CC" w:rsidRPr="003E431F" w:rsidRDefault="004C28CC" w:rsidP="009250AB">
            <w:pPr>
              <w:pStyle w:val="Odlomakpopisa"/>
              <w:numPr>
                <w:ilvl w:val="0"/>
                <w:numId w:val="34"/>
              </w:numPr>
              <w:ind w:left="174" w:hanging="174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</w:rPr>
              <w:t>postupak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mljevenja,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sušenja</w:t>
            </w:r>
            <w:r w:rsidR="00426253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4C28CC" w:rsidRPr="003E431F" w:rsidRDefault="004C28CC" w:rsidP="004C28CC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25</w:t>
            </w:r>
          </w:p>
        </w:tc>
      </w:tr>
      <w:tr w:rsidR="004C28CC" w:rsidRPr="003E431F" w:rsidTr="004C28CC">
        <w:trPr>
          <w:trHeight w:hRule="exact" w:val="369"/>
        </w:trPr>
        <w:tc>
          <w:tcPr>
            <w:tcW w:w="3256" w:type="dxa"/>
            <w:vMerge/>
            <w:vAlign w:val="center"/>
          </w:tcPr>
          <w:p w:rsidR="004C28CC" w:rsidRPr="003E431F" w:rsidRDefault="004C28CC" w:rsidP="009250AB">
            <w:pPr>
              <w:pStyle w:val="Odlomakpopisa"/>
              <w:numPr>
                <w:ilvl w:val="0"/>
                <w:numId w:val="34"/>
              </w:numPr>
              <w:ind w:left="164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4C28CC" w:rsidRPr="003E431F" w:rsidRDefault="004C28CC" w:rsidP="009250AB">
            <w:pPr>
              <w:pStyle w:val="Odlomakpopisa"/>
              <w:numPr>
                <w:ilvl w:val="0"/>
                <w:numId w:val="34"/>
              </w:numPr>
              <w:ind w:left="174" w:hanging="174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</w:rPr>
              <w:t>oblikovanje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kuglica</w:t>
            </w:r>
          </w:p>
        </w:tc>
        <w:tc>
          <w:tcPr>
            <w:tcW w:w="1267" w:type="dxa"/>
            <w:vAlign w:val="center"/>
          </w:tcPr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25</w:t>
            </w:r>
          </w:p>
        </w:tc>
      </w:tr>
      <w:tr w:rsidR="004C28CC" w:rsidRPr="003E431F" w:rsidTr="0058788B">
        <w:trPr>
          <w:trHeight w:hRule="exact" w:val="600"/>
        </w:trPr>
        <w:tc>
          <w:tcPr>
            <w:tcW w:w="3256" w:type="dxa"/>
            <w:vAlign w:val="center"/>
          </w:tcPr>
          <w:p w:rsidR="004C28CC" w:rsidRPr="003E431F" w:rsidRDefault="004C28CC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ili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ukupne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3402" w:type="dxa"/>
            <w:vAlign w:val="center"/>
          </w:tcPr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67" w:type="dxa"/>
            <w:vAlign w:val="center"/>
          </w:tcPr>
          <w:p w:rsidR="004C28CC" w:rsidRPr="003E431F" w:rsidRDefault="004C28CC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g/t*</w:t>
            </w:r>
          </w:p>
        </w:tc>
      </w:tr>
    </w:tbl>
    <w:p w:rsidR="00316B0F" w:rsidRPr="003E431F" w:rsidRDefault="00316B0F" w:rsidP="00316B0F">
      <w:pPr>
        <w:tabs>
          <w:tab w:val="left" w:pos="284"/>
          <w:tab w:val="left" w:pos="426"/>
        </w:tabs>
        <w:spacing w:before="120" w:after="120" w:line="240" w:lineRule="auto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>*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GVE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propisana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po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ukupno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proizvedenoj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količini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kuglica</w:t>
      </w:r>
      <w:r w:rsidR="00642091" w:rsidRPr="003E431F">
        <w:rPr>
          <w:rFonts w:ascii="Times New Roman" w:hAnsi="Times New Roman" w:cs="Times New Roman"/>
        </w:rPr>
        <w:t xml:space="preserve"> </w:t>
      </w:r>
    </w:p>
    <w:p w:rsidR="00FF4967" w:rsidRPr="003E431F" w:rsidRDefault="00FF4967" w:rsidP="00316B0F">
      <w:pPr>
        <w:tabs>
          <w:tab w:val="left" w:pos="284"/>
          <w:tab w:val="left" w:pos="426"/>
        </w:tabs>
        <w:spacing w:before="120" w:after="120" w:line="240" w:lineRule="auto"/>
        <w:rPr>
          <w:rFonts w:ascii="Times New Roman" w:hAnsi="Times New Roman" w:cs="Times New Roman"/>
        </w:rPr>
      </w:pPr>
    </w:p>
    <w:p w:rsidR="00316B0F" w:rsidRPr="003E431F" w:rsidRDefault="00316B0F" w:rsidP="00FF4967">
      <w:pPr>
        <w:tabs>
          <w:tab w:val="left" w:pos="426"/>
        </w:tabs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(7)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dobivanja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aluminijevog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oksida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ugljikovih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materijala</w:t>
      </w:r>
    </w:p>
    <w:p w:rsidR="00316B0F" w:rsidRPr="003E431F" w:rsidRDefault="00316B0F" w:rsidP="00FF4967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1.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Rotacijske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peći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ciklonskim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predgrijačem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povratom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topline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316B0F">
        <w:trPr>
          <w:trHeight w:hRule="exact" w:val="550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316B0F">
        <w:trPr>
          <w:trHeight w:hRule="exact" w:val="340"/>
        </w:trPr>
        <w:tc>
          <w:tcPr>
            <w:tcW w:w="5949" w:type="dxa"/>
          </w:tcPr>
          <w:p w:rsidR="00316B0F" w:rsidRPr="003E431F" w:rsidRDefault="00316B0F" w:rsidP="004C28CC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</w:t>
            </w:r>
            <w:r w:rsidR="004C28CC"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4C28CC"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4C28CC"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1300</w:t>
            </w:r>
          </w:p>
        </w:tc>
      </w:tr>
    </w:tbl>
    <w:p w:rsidR="00FF4967" w:rsidRPr="003E431F" w:rsidRDefault="00FF4967" w:rsidP="00316B0F">
      <w:pPr>
        <w:tabs>
          <w:tab w:val="left" w:pos="42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FF4967">
      <w:pPr>
        <w:tabs>
          <w:tab w:val="left" w:pos="426"/>
        </w:tabs>
        <w:spacing w:before="120" w:after="12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2.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Rotacijske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peći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ciklonskim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predgrijačem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bez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povrata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topline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4C28CC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4C28CC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oksid</w:t>
            </w:r>
            <w:r w:rsidR="004C28CC"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dušika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1800</w:t>
            </w:r>
          </w:p>
        </w:tc>
      </w:tr>
      <w:tr w:rsidR="00316B0F" w:rsidRPr="003E431F" w:rsidTr="004C28CC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4C28CC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oksid</w:t>
            </w:r>
            <w:r w:rsidR="004C28CC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bscript"/>
                <w:lang w:eastAsia="hr-HR"/>
              </w:rPr>
              <w:t>2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400</w:t>
            </w:r>
          </w:p>
        </w:tc>
      </w:tr>
    </w:tbl>
    <w:p w:rsidR="00316B0F" w:rsidRPr="003E431F" w:rsidRDefault="00316B0F" w:rsidP="00FF4967">
      <w:pPr>
        <w:tabs>
          <w:tab w:val="left" w:pos="426"/>
        </w:tabs>
        <w:spacing w:before="24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hAnsi="Times New Roman" w:cs="Times New Roman"/>
          <w:sz w:val="24"/>
          <w:szCs w:val="24"/>
        </w:rPr>
        <w:t>(8)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titan-dioksida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(TiO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92"/>
      </w:tblGrid>
      <w:tr w:rsidR="0086287E" w:rsidRPr="003E431F" w:rsidTr="0086287E">
        <w:tc>
          <w:tcPr>
            <w:tcW w:w="5949" w:type="dxa"/>
          </w:tcPr>
          <w:p w:rsidR="0086287E" w:rsidRPr="003E431F" w:rsidRDefault="0086287E" w:rsidP="00FF4967">
            <w:pPr>
              <w:tabs>
                <w:tab w:val="left" w:pos="426"/>
              </w:tabs>
              <w:spacing w:before="24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Onečišćujuća tvar</w:t>
            </w:r>
          </w:p>
        </w:tc>
        <w:tc>
          <w:tcPr>
            <w:tcW w:w="992" w:type="dxa"/>
          </w:tcPr>
          <w:p w:rsidR="0086287E" w:rsidRPr="003E431F" w:rsidRDefault="0086287E" w:rsidP="008628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240" w:after="120"/>
              <w:contextualSpacing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86287E" w:rsidRPr="003E431F" w:rsidTr="0086287E">
        <w:tc>
          <w:tcPr>
            <w:tcW w:w="5949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praškaste tvari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>veliki izvori (satni prosjek)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>ostali izvori (satni prosjek)</w:t>
            </w:r>
          </w:p>
        </w:tc>
        <w:tc>
          <w:tcPr>
            <w:tcW w:w="992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50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150</w:t>
            </w:r>
          </w:p>
        </w:tc>
      </w:tr>
      <w:tr w:rsidR="0086287E" w:rsidRPr="003E431F" w:rsidTr="0086287E">
        <w:tc>
          <w:tcPr>
            <w:tcW w:w="5949" w:type="dxa"/>
          </w:tcPr>
          <w:p w:rsidR="0086287E" w:rsidRPr="003E431F" w:rsidRDefault="0086287E" w:rsidP="00FF4967">
            <w:pPr>
              <w:tabs>
                <w:tab w:val="left" w:pos="426"/>
              </w:tabs>
              <w:spacing w:before="24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oksidi dušika izraženi kao NO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vertAlign w:val="subscript"/>
                <w:lang w:eastAsia="hr-HR"/>
              </w:rPr>
              <w:t>2</w:t>
            </w:r>
          </w:p>
        </w:tc>
        <w:tc>
          <w:tcPr>
            <w:tcW w:w="992" w:type="dxa"/>
          </w:tcPr>
          <w:p w:rsidR="0086287E" w:rsidRPr="003E431F" w:rsidRDefault="0086287E" w:rsidP="00FF4967">
            <w:pPr>
              <w:tabs>
                <w:tab w:val="left" w:pos="426"/>
              </w:tabs>
              <w:spacing w:before="24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1300</w:t>
            </w:r>
          </w:p>
        </w:tc>
      </w:tr>
      <w:tr w:rsidR="0086287E" w:rsidRPr="003E431F" w:rsidTr="0086287E">
        <w:tc>
          <w:tcPr>
            <w:tcW w:w="5949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plinoviti sumporov dioksid i trioksid ispušten iz procesa digestije i ovapnjivanja uključujući kapljice kiseline izražene kao ekvivalent SO2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 xml:space="preserve">godišnji prosjek 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>satni prosjek za postrojenja za koncentraciju otpadne kiseline</w:t>
            </w:r>
          </w:p>
        </w:tc>
        <w:tc>
          <w:tcPr>
            <w:tcW w:w="992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24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6 kg/t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500</w:t>
            </w:r>
          </w:p>
        </w:tc>
      </w:tr>
      <w:tr w:rsidR="0086287E" w:rsidRPr="003E431F" w:rsidTr="0086287E">
        <w:tc>
          <w:tcPr>
            <w:tcW w:w="5949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klor (postrojenja koja koriste kloridni postupak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 xml:space="preserve">dnevni prosjek 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ab/>
              <w:t>bilo koje razdoblje</w:t>
            </w:r>
          </w:p>
        </w:tc>
        <w:tc>
          <w:tcPr>
            <w:tcW w:w="992" w:type="dxa"/>
          </w:tcPr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5</w:t>
            </w:r>
          </w:p>
          <w:p w:rsidR="0086287E" w:rsidRPr="003E431F" w:rsidRDefault="0086287E" w:rsidP="0086287E">
            <w:pPr>
              <w:tabs>
                <w:tab w:val="left" w:pos="426"/>
              </w:tabs>
              <w:spacing w:before="120" w:after="120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40</w:t>
            </w:r>
          </w:p>
        </w:tc>
      </w:tr>
    </w:tbl>
    <w:p w:rsidR="00DE2D5B" w:rsidRPr="003E431F" w:rsidRDefault="00DE2D5B" w:rsidP="00316B0F">
      <w:pPr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5A44C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(9)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proizvodnje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akumulatora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992"/>
      </w:tblGrid>
      <w:tr w:rsidR="00316B0F" w:rsidRPr="003E431F" w:rsidTr="0086287E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86287E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kg/h</w:t>
            </w: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0,5</w:t>
            </w:r>
          </w:p>
        </w:tc>
      </w:tr>
      <w:tr w:rsidR="00316B0F" w:rsidRPr="003E431F" w:rsidTr="0086287E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para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sumporne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kiseline</w:t>
            </w: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992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</w:t>
            </w:r>
          </w:p>
        </w:tc>
      </w:tr>
    </w:tbl>
    <w:p w:rsidR="00FF4967" w:rsidRPr="003E431F" w:rsidRDefault="00FF4967" w:rsidP="00316B0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5A44C1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(10)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tehnološkog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procesa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površinske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obrade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metala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dušičnom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kiselinom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NO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vertAlign w:val="subscript"/>
                <w:lang w:eastAsia="hr-HR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1500*</w:t>
            </w:r>
          </w:p>
        </w:tc>
      </w:tr>
    </w:tbl>
    <w:p w:rsidR="00316B0F" w:rsidRPr="003E431F" w:rsidRDefault="00316B0F" w:rsidP="00316B0F">
      <w:pPr>
        <w:rPr>
          <w:rFonts w:ascii="Times New Roman" w:hAnsi="Times New Roman" w:cs="Times New Roman"/>
          <w:szCs w:val="24"/>
        </w:rPr>
      </w:pPr>
      <w:r w:rsidRPr="003E431F">
        <w:rPr>
          <w:rFonts w:ascii="Times New Roman" w:hAnsi="Times New Roman" w:cs="Times New Roman"/>
          <w:szCs w:val="24"/>
        </w:rPr>
        <w:t>*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za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procese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s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kontinuiranim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  <w:r w:rsidRPr="003E431F">
        <w:rPr>
          <w:rFonts w:ascii="Times New Roman" w:hAnsi="Times New Roman" w:cs="Times New Roman"/>
          <w:szCs w:val="24"/>
        </w:rPr>
        <w:t>nagrizanjem</w:t>
      </w:r>
      <w:r w:rsidR="00642091" w:rsidRPr="003E431F">
        <w:rPr>
          <w:rFonts w:ascii="Times New Roman" w:hAnsi="Times New Roman" w:cs="Times New Roman"/>
          <w:szCs w:val="24"/>
        </w:rPr>
        <w:t xml:space="preserve"> </w:t>
      </w:r>
    </w:p>
    <w:p w:rsidR="00DE2D5B" w:rsidRPr="003E431F" w:rsidRDefault="00DE2D5B" w:rsidP="00316B0F">
      <w:pPr>
        <w:rPr>
          <w:rFonts w:ascii="Times New Roman" w:hAnsi="Times New Roman" w:cs="Times New Roman"/>
          <w:sz w:val="24"/>
          <w:szCs w:val="24"/>
        </w:rPr>
      </w:pPr>
    </w:p>
    <w:p w:rsidR="00316B0F" w:rsidRPr="003E431F" w:rsidRDefault="00316B0F" w:rsidP="00325E4B">
      <w:pPr>
        <w:pStyle w:val="Naslov1"/>
      </w:pPr>
      <w:r w:rsidRPr="003E431F">
        <w:t>PRILOG</w:t>
      </w:r>
      <w:r w:rsidR="00642091" w:rsidRPr="003E431F">
        <w:t xml:space="preserve"> </w:t>
      </w:r>
      <w:r w:rsidR="004F09CB" w:rsidRPr="003E431F">
        <w:t>4</w:t>
      </w:r>
      <w:r w:rsidRPr="003E431F">
        <w:t>.</w:t>
      </w:r>
    </w:p>
    <w:p w:rsidR="00316B0F" w:rsidRPr="003E431F" w:rsidRDefault="00316B0F" w:rsidP="00316B0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KEMIJSKU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PREHRAMBENU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INDUSTRIJU</w:t>
      </w:r>
    </w:p>
    <w:p w:rsidR="00316B0F" w:rsidRPr="003E431F" w:rsidRDefault="00C63C9F" w:rsidP="00325E4B">
      <w:pPr>
        <w:pStyle w:val="Naslov2"/>
        <w:jc w:val="left"/>
      </w:pPr>
      <w:r w:rsidRPr="003E431F">
        <w:t xml:space="preserve">A. </w:t>
      </w:r>
      <w:r w:rsidR="00316B0F" w:rsidRPr="003E431F">
        <w:t>Kemijska</w:t>
      </w:r>
      <w:r w:rsidR="00642091" w:rsidRPr="003E431F">
        <w:t xml:space="preserve"> </w:t>
      </w:r>
      <w:r w:rsidR="00316B0F" w:rsidRPr="003E431F">
        <w:t>industrija</w:t>
      </w:r>
      <w:r w:rsidR="00642091" w:rsidRPr="003E431F">
        <w:t xml:space="preserve"> </w:t>
      </w: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(1)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(Clausovo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713"/>
        <w:gridCol w:w="988"/>
      </w:tblGrid>
      <w:tr w:rsidR="00316B0F" w:rsidRPr="003E431F" w:rsidTr="00DE2D5B">
        <w:trPr>
          <w:trHeight w:hRule="exact" w:val="624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Kapacitet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postrojenja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40"/>
        </w:trPr>
        <w:tc>
          <w:tcPr>
            <w:tcW w:w="4531" w:type="dxa"/>
            <w:tcBorders>
              <w:bottom w:val="nil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sumpor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13" w:type="dxa"/>
            <w:tcBorders>
              <w:bottom w:val="nil"/>
            </w:tcBorders>
            <w:vAlign w:val="center"/>
          </w:tcPr>
          <w:p w:rsidR="00316B0F" w:rsidRPr="003E431F" w:rsidRDefault="00426253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A**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≤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20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  <w:color w:val="231F20"/>
              </w:rPr>
              <w:t>t/dan</w:t>
            </w:r>
          </w:p>
        </w:tc>
        <w:tc>
          <w:tcPr>
            <w:tcW w:w="988" w:type="dxa"/>
            <w:tcBorders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%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*</w:t>
            </w:r>
          </w:p>
        </w:tc>
      </w:tr>
      <w:tr w:rsidR="00316B0F" w:rsidRPr="003E431F" w:rsidTr="00DE2D5B">
        <w:trPr>
          <w:trHeight w:hRule="exact" w:val="340"/>
        </w:trPr>
        <w:tc>
          <w:tcPr>
            <w:tcW w:w="4531" w:type="dxa"/>
            <w:tcBorders>
              <w:top w:val="nil"/>
              <w:bottom w:val="nil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t/dan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&lt;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≤50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t/dan</w:t>
            </w:r>
          </w:p>
        </w:tc>
        <w:tc>
          <w:tcPr>
            <w:tcW w:w="988" w:type="dxa"/>
            <w:tcBorders>
              <w:top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%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*</w:t>
            </w:r>
          </w:p>
        </w:tc>
      </w:tr>
      <w:tr w:rsidR="00316B0F" w:rsidRPr="003E431F" w:rsidTr="00DE2D5B">
        <w:trPr>
          <w:trHeight w:hRule="exact" w:val="340"/>
        </w:trPr>
        <w:tc>
          <w:tcPr>
            <w:tcW w:w="4531" w:type="dxa"/>
            <w:tcBorders>
              <w:top w:val="nil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3" w:type="dxa"/>
            <w:tcBorders>
              <w:top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t/dan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&lt;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A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</w:p>
        </w:tc>
        <w:tc>
          <w:tcPr>
            <w:tcW w:w="988" w:type="dxa"/>
            <w:tcBorders>
              <w:top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0,5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%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*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4531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sulfid</w:t>
            </w:r>
          </w:p>
        </w:tc>
        <w:tc>
          <w:tcPr>
            <w:tcW w:w="2713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</w:t>
            </w:r>
          </w:p>
        </w:tc>
      </w:tr>
    </w:tbl>
    <w:p w:rsidR="00316B0F" w:rsidRPr="003E431F" w:rsidRDefault="00316B0F" w:rsidP="00C63C9F">
      <w:pPr>
        <w:spacing w:before="60" w:after="60" w:line="240" w:lineRule="auto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>*GVE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se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iskazuje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postotku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ukupne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dnevne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proizvodnje</w:t>
      </w:r>
      <w:r w:rsidR="00642091" w:rsidRPr="003E431F">
        <w:rPr>
          <w:rFonts w:ascii="Times New Roman" w:hAnsi="Times New Roman" w:cs="Times New Roman"/>
        </w:rPr>
        <w:t xml:space="preserve"> </w:t>
      </w:r>
    </w:p>
    <w:p w:rsidR="00316B0F" w:rsidRPr="003E431F" w:rsidRDefault="00316B0F" w:rsidP="00C63C9F">
      <w:pPr>
        <w:spacing w:before="60" w:after="60" w:line="240" w:lineRule="auto"/>
        <w:rPr>
          <w:rFonts w:ascii="Times New Roman" w:hAnsi="Times New Roman" w:cs="Times New Roman"/>
        </w:rPr>
      </w:pPr>
      <w:r w:rsidRPr="003E431F">
        <w:rPr>
          <w:rFonts w:ascii="Times New Roman" w:hAnsi="Times New Roman" w:cs="Times New Roman"/>
        </w:rPr>
        <w:t>**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kapacitet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hAnsi="Times New Roman" w:cs="Times New Roman"/>
        </w:rPr>
        <w:t>postrojenja</w:t>
      </w:r>
    </w:p>
    <w:p w:rsidR="00C63C9F" w:rsidRPr="003E431F" w:rsidRDefault="00C63C9F" w:rsidP="00C63C9F">
      <w:pPr>
        <w:spacing w:before="60" w:after="60" w:line="240" w:lineRule="auto"/>
        <w:rPr>
          <w:rFonts w:ascii="Times New Roman" w:hAnsi="Times New Roman" w:cs="Times New Roman"/>
        </w:rPr>
      </w:pP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hAnsi="Times New Roman" w:cs="Times New Roman"/>
          <w:sz w:val="24"/>
          <w:szCs w:val="24"/>
        </w:rPr>
        <w:t>(2)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1295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Maseni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protok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sulfid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(H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  <w:r w:rsidRPr="003E431F">
              <w:rPr>
                <w:rFonts w:ascii="Times New Roman" w:hAnsi="Times New Roman" w:cs="Times New Roman"/>
              </w:rPr>
              <w:t>S)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300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30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F111D2" w:rsidP="00F111D2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merkaptani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="00316B0F" w:rsidRPr="003E431F">
              <w:rPr>
                <w:rFonts w:ascii="Times New Roman" w:hAnsi="Times New Roman" w:cs="Times New Roman"/>
              </w:rPr>
              <w:t>(</w:t>
            </w:r>
            <w:r w:rsidRPr="003E431F">
              <w:rPr>
                <w:rFonts w:ascii="Times New Roman" w:hAnsi="Times New Roman" w:cs="Times New Roman"/>
              </w:rPr>
              <w:t>tioalkoholi</w:t>
            </w:r>
            <w:r w:rsidR="00316B0F" w:rsidRPr="003E43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95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≥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2000</w:t>
            </w:r>
            <w:r w:rsidR="00642091" w:rsidRPr="003E431F"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</w:rPr>
              <w:t>g/h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</w:tbl>
    <w:p w:rsidR="00C63C9F" w:rsidRPr="003E431F" w:rsidRDefault="00C63C9F" w:rsidP="00E17218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čađe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sulfid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b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vertAlign w:val="subscript"/>
                <w:lang w:eastAsia="hr-HR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500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F111D2" w:rsidP="00F111D2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SO</w:t>
            </w:r>
            <w:r w:rsidR="00316B0F" w:rsidRPr="003E431F">
              <w:rPr>
                <w:rFonts w:ascii="Times New Roman" w:eastAsia="Times New Roman" w:hAnsi="Times New Roman" w:cs="Times New Roman"/>
                <w:color w:val="231F20"/>
                <w:vertAlign w:val="sub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1700</w:t>
            </w:r>
          </w:p>
        </w:tc>
      </w:tr>
    </w:tbl>
    <w:p w:rsidR="00C63C9F" w:rsidRPr="003E431F" w:rsidRDefault="00C63C9F" w:rsidP="00E17218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DE2D5B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316B0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elektrografita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12"/>
        <w:gridCol w:w="4554"/>
        <w:gridCol w:w="1215"/>
      </w:tblGrid>
      <w:tr w:rsidR="00316B0F" w:rsidRPr="003E431F" w:rsidTr="00DE2D5B">
        <w:trPr>
          <w:trHeight w:hRule="exact" w:val="620"/>
        </w:trPr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Opis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procesa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38"/>
        </w:trPr>
        <w:tc>
          <w:tcPr>
            <w:tcW w:w="2812" w:type="dxa"/>
            <w:vMerge w:val="restart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plinoviti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organski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spojevi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br/>
              <w:t>izraženi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kao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ukupni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ugljik</w:t>
            </w:r>
          </w:p>
        </w:tc>
        <w:tc>
          <w:tcPr>
            <w:tcW w:w="4554" w:type="dxa"/>
            <w:tcBorders>
              <w:bottom w:val="single" w:sz="4" w:space="0" w:color="auto"/>
            </w:tcBorders>
            <w:vAlign w:val="center"/>
          </w:tcPr>
          <w:p w:rsidR="00316B0F" w:rsidRPr="003E431F" w:rsidRDefault="00316B0F" w:rsidP="00DE2D5B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miješanje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oblikovanje</w:t>
            </w: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100</w:t>
            </w:r>
          </w:p>
        </w:tc>
      </w:tr>
      <w:tr w:rsidR="00316B0F" w:rsidRPr="003E431F" w:rsidTr="00DE2D5B">
        <w:trPr>
          <w:trHeight w:hRule="exact" w:val="335"/>
        </w:trPr>
        <w:tc>
          <w:tcPr>
            <w:tcW w:w="2812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B0F" w:rsidRPr="003E431F" w:rsidRDefault="00316B0F" w:rsidP="00DE2D5B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žarenje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komornim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tunelskim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pećima</w:t>
            </w: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  <w:tr w:rsidR="00316B0F" w:rsidRPr="003E431F" w:rsidTr="00DE2D5B">
        <w:trPr>
          <w:trHeight w:hRule="exact" w:val="620"/>
        </w:trPr>
        <w:tc>
          <w:tcPr>
            <w:tcW w:w="2812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B0F" w:rsidRPr="003E431F" w:rsidRDefault="00316B0F" w:rsidP="00DE2D5B">
            <w:pPr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žarenje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kružnim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pećima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grafitne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elektrode,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ugljene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elektrode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kamen)</w:t>
            </w:r>
          </w:p>
        </w:tc>
        <w:tc>
          <w:tcPr>
            <w:tcW w:w="1215" w:type="dxa"/>
            <w:tcBorders>
              <w:top w:val="nil"/>
              <w:bottom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200</w:t>
            </w:r>
          </w:p>
        </w:tc>
      </w:tr>
      <w:tr w:rsidR="00316B0F" w:rsidRPr="003E431F" w:rsidTr="00DE2D5B">
        <w:trPr>
          <w:trHeight w:hRule="exact" w:val="335"/>
        </w:trPr>
        <w:tc>
          <w:tcPr>
            <w:tcW w:w="2812" w:type="dxa"/>
            <w:vMerge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vAlign w:val="center"/>
          </w:tcPr>
          <w:p w:rsidR="00316B0F" w:rsidRPr="003E431F" w:rsidRDefault="00316B0F" w:rsidP="00DE2D5B">
            <w:pPr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impregnacija</w:t>
            </w:r>
          </w:p>
          <w:p w:rsidR="00316B0F" w:rsidRPr="003E431F" w:rsidRDefault="00316B0F" w:rsidP="00DE2D5B">
            <w:pPr>
              <w:rPr>
                <w:rFonts w:ascii="Times New Roman" w:hAnsi="Times New Roman" w:cs="Times New Roman"/>
                <w:color w:val="231F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  <w:color w:val="231F20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50</w:t>
            </w:r>
          </w:p>
        </w:tc>
      </w:tr>
    </w:tbl>
    <w:p w:rsidR="00DE2D5B" w:rsidRPr="003E431F" w:rsidRDefault="00DE2D5B" w:rsidP="00316B0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316B0F" w:rsidRPr="003E431F" w:rsidRDefault="00316B0F" w:rsidP="00325E4B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B.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Prehrambena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industrija</w:t>
      </w: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rezanaca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šećerne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šećera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75</w:t>
            </w:r>
          </w:p>
        </w:tc>
      </w:tr>
    </w:tbl>
    <w:p w:rsidR="00E17218" w:rsidRPr="003E431F" w:rsidRDefault="00E17218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DE2D5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lastRenderedPageBreak/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</w:tr>
    </w:tbl>
    <w:p w:rsidR="00E17218" w:rsidRPr="003E431F" w:rsidRDefault="00E17218" w:rsidP="00E17218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316B0F" w:rsidRPr="003E431F" w:rsidRDefault="00316B0F" w:rsidP="00E1721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tehnološkog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prženja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nadomjestaka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kavu,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žita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kakaa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988"/>
      </w:tblGrid>
      <w:tr w:rsidR="00316B0F" w:rsidRPr="003E431F" w:rsidTr="00DE2D5B">
        <w:trPr>
          <w:trHeight w:hRule="exact" w:val="624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GVE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</w:p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</w:rPr>
              <w:t>mg/m</w:t>
            </w:r>
            <w:r w:rsidRPr="003E431F">
              <w:rPr>
                <w:rFonts w:ascii="Times New Roman" w:hAnsi="Times New Roman" w:cs="Times New Roman"/>
                <w:color w:val="231F20"/>
                <w:vertAlign w:val="superscript"/>
              </w:rPr>
              <w:t>3</w:t>
            </w:r>
          </w:p>
        </w:tc>
      </w:tr>
      <w:tr w:rsidR="00316B0F" w:rsidRPr="003E431F" w:rsidTr="009250AB">
        <w:trPr>
          <w:trHeight w:hRule="exact" w:val="369"/>
        </w:trPr>
        <w:tc>
          <w:tcPr>
            <w:tcW w:w="5949" w:type="dxa"/>
            <w:vAlign w:val="center"/>
          </w:tcPr>
          <w:p w:rsidR="00316B0F" w:rsidRPr="003E431F" w:rsidRDefault="00316B0F" w:rsidP="00316B0F">
            <w:pPr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praškaste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tvari</w:t>
            </w:r>
          </w:p>
        </w:tc>
        <w:tc>
          <w:tcPr>
            <w:tcW w:w="988" w:type="dxa"/>
            <w:vAlign w:val="center"/>
          </w:tcPr>
          <w:p w:rsidR="00316B0F" w:rsidRPr="003E431F" w:rsidRDefault="00316B0F" w:rsidP="00316B0F">
            <w:pPr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</w:p>
        </w:tc>
      </w:tr>
    </w:tbl>
    <w:p w:rsidR="00ED1C95" w:rsidRPr="003E431F" w:rsidRDefault="00ED1C95" w:rsidP="00ED1C95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PRILOG</w:t>
      </w:r>
      <w:r w:rsidR="00642091" w:rsidRPr="003E431F">
        <w:rPr>
          <w:rFonts w:eastAsia="Times New Roman"/>
          <w:lang w:eastAsia="hr-HR"/>
        </w:rPr>
        <w:t xml:space="preserve"> </w:t>
      </w:r>
      <w:r w:rsidR="004F09CB" w:rsidRPr="003E431F">
        <w:rPr>
          <w:rFonts w:eastAsia="Times New Roman"/>
          <w:lang w:eastAsia="hr-HR"/>
        </w:rPr>
        <w:t>5</w:t>
      </w:r>
      <w:r w:rsidRPr="003E431F">
        <w:rPr>
          <w:rFonts w:eastAsia="Times New Roman"/>
          <w:lang w:eastAsia="hr-HR"/>
        </w:rPr>
        <w:t>.</w:t>
      </w:r>
    </w:p>
    <w:p w:rsidR="00E579E6" w:rsidRPr="003E431F" w:rsidRDefault="00E579E6" w:rsidP="00E579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HLAPIVIH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ORGANSKIH</w:t>
      </w:r>
      <w:r w:rsidR="00642091"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SPOJEVA</w:t>
      </w:r>
    </w:p>
    <w:p w:rsidR="00E579E6" w:rsidRPr="003E431F" w:rsidRDefault="00ED1C95" w:rsidP="00325E4B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 xml:space="preserve">A. </w:t>
      </w:r>
      <w:r w:rsidR="00E579E6" w:rsidRPr="003E431F">
        <w:rPr>
          <w:rFonts w:eastAsia="Times New Roman"/>
          <w:lang w:eastAsia="hr-HR"/>
        </w:rPr>
        <w:t>GVE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hlapivih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organskih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spojeva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u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ovisnosti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o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aktivnostima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na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postrojenjima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radnim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površinama</w:t>
      </w: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Nanošenje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ljepila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(adheziva)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992"/>
        <w:gridCol w:w="1276"/>
        <w:gridCol w:w="1701"/>
        <w:gridCol w:w="1417"/>
      </w:tblGrid>
      <w:tr w:rsidR="00803194" w:rsidRPr="003E431F" w:rsidTr="00803194">
        <w:trPr>
          <w:trHeight w:hRule="exact" w:val="1943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03194" w:rsidRPr="003E431F" w:rsidRDefault="00E579E6" w:rsidP="00F43302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F43302">
            <w:pPr>
              <w:spacing w:after="0" w:line="240" w:lineRule="auto"/>
              <w:ind w:hanging="25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90082B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803194" w:rsidRPr="003E431F" w:rsidTr="00803194">
        <w:trPr>
          <w:trHeight w:hRule="exact" w:val="34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(adheziva)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-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803194" w:rsidRPr="003E431F" w:rsidTr="00803194">
        <w:trPr>
          <w:trHeight w:hRule="exact" w:val="624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(adheziva)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upotreba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-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803194" w:rsidRPr="003E431F" w:rsidTr="00803194">
        <w:trPr>
          <w:trHeight w:hRule="exact" w:val="34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(adheziva)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803194" w:rsidRPr="003E431F" w:rsidTr="00803194">
        <w:trPr>
          <w:trHeight w:hRule="exact" w:val="60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(adheziva)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upotreba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</w:tbl>
    <w:p w:rsidR="00ED1C95" w:rsidRPr="003E431F" w:rsidRDefault="00ED1C95" w:rsidP="00ED1C9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2.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drvenih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plastičnih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laminata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276"/>
        <w:gridCol w:w="1842"/>
        <w:gridCol w:w="1701"/>
      </w:tblGrid>
      <w:tr w:rsidR="00E579E6" w:rsidRPr="003E431F" w:rsidTr="00803194">
        <w:trPr>
          <w:trHeight w:hRule="exact" w:val="137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B43CF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B43CF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</w:p>
          <w:p w:rsidR="00E579E6" w:rsidRPr="003E431F" w:rsidRDefault="00CB43CF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(odnosi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površinu)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plastičnih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laminata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</w:tr>
    </w:tbl>
    <w:p w:rsidR="00ED1C95" w:rsidRPr="003E431F" w:rsidRDefault="00ED1C95" w:rsidP="00ED1C9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3.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Procesi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premazivanja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različitim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industrijskim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djelatnostima</w:t>
      </w:r>
    </w:p>
    <w:p w:rsidR="00E579E6" w:rsidRPr="003E431F" w:rsidRDefault="001852A9" w:rsidP="001852A9">
      <w:pPr>
        <w:tabs>
          <w:tab w:val="left" w:pos="993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vozila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(procesi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ciljem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automobilskoj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industriji)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418"/>
        <w:gridCol w:w="1842"/>
        <w:gridCol w:w="1701"/>
      </w:tblGrid>
      <w:tr w:rsidR="00E579E6" w:rsidRPr="003E431F" w:rsidTr="00803194">
        <w:trPr>
          <w:trHeight w:hRule="exact" w:val="879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B43CF" w:rsidRPr="003E431F" w:rsidRDefault="00E579E6" w:rsidP="00CB43CF">
            <w:pPr>
              <w:spacing w:after="0" w:line="240" w:lineRule="auto"/>
              <w:ind w:left="-94" w:right="-92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CB43CF">
            <w:pPr>
              <w:spacing w:after="0" w:line="240" w:lineRule="auto"/>
              <w:ind w:left="-94" w:right="-92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F2022" w:rsidRPr="003E431F" w:rsidRDefault="00E579E6" w:rsidP="00CB43CF">
            <w:pPr>
              <w:spacing w:after="0" w:line="240" w:lineRule="auto"/>
              <w:ind w:left="-93" w:right="-94" w:hanging="1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CB43CF">
            <w:pPr>
              <w:spacing w:after="0" w:line="240" w:lineRule="auto"/>
              <w:ind w:left="-93" w:right="-94" w:hanging="1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(broj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predmeta/god)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ind w:hanging="94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HOS-eva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automobila</w:t>
            </w:r>
          </w:p>
        </w:tc>
      </w:tr>
      <w:tr w:rsidR="00E579E6" w:rsidRPr="003E431F" w:rsidTr="00803194">
        <w:trPr>
          <w:trHeight w:hRule="exact" w:val="110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automobila,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1,3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kg/automobilu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33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110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automobila,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1,9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kg/automobilu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110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automobila,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jedno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(mono)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volumenskih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okvira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kg/automobilu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110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automobila,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šasije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kg/automobilu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</w:p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kabina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F42AE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kabina,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kabina,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F42AE" w:rsidRPr="003E431F" w:rsidRDefault="00E579E6" w:rsidP="00F4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3.7.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kabina,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F4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3.8.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kabina,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kombija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kamiona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3.9.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kombija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3.10.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kombija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kombija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595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F43302">
            <w:pPr>
              <w:spacing w:after="0" w:line="240" w:lineRule="auto"/>
              <w:ind w:right="-98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kombija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kamiona,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autobusa</w:t>
            </w:r>
          </w:p>
        </w:tc>
      </w:tr>
      <w:tr w:rsidR="00E579E6" w:rsidRPr="003E431F" w:rsidTr="00803194">
        <w:trPr>
          <w:trHeight w:hRule="exact" w:val="60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3.13.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autobusa,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210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60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autobusa,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≤2000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290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60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autobusa,</w:t>
            </w:r>
          </w:p>
          <w:p w:rsidR="00E579E6" w:rsidRPr="003E431F" w:rsidRDefault="00642091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  <w:tr w:rsidR="00E579E6" w:rsidRPr="003E431F" w:rsidTr="00803194">
        <w:trPr>
          <w:trHeight w:hRule="exact" w:val="607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43302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autobusa,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F42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CB4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225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</w:p>
        </w:tc>
      </w:tr>
    </w:tbl>
    <w:p w:rsidR="00E579E6" w:rsidRPr="003E431F" w:rsidRDefault="00E579E6" w:rsidP="00F041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potrošnju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≤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(premazivanje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automobila)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aktivnost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vršna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obrada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vozila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(lakiranje)</w:t>
      </w:r>
    </w:p>
    <w:p w:rsidR="006A0433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(g)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emitirana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kilogramima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karoseriju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automobila.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DD4C37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elektroforetski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stupnjevima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E579E6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elektroforetski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područja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formuli: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težina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ljuske):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(prosječna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debljina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ploče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gustoća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ploče).</w:t>
      </w:r>
      <w:r w:rsidR="00642091" w:rsidRPr="003E431F">
        <w:rPr>
          <w:rFonts w:ascii="Times New Roman" w:hAnsi="Times New Roman" w:cs="Times New Roman"/>
        </w:rPr>
        <w:t xml:space="preserve"> </w:t>
      </w:r>
    </w:p>
    <w:p w:rsidR="00E579E6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:rsidR="00E579E6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potpomognuti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dizajn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jednakovrijedna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metoda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postrojenju.</w:t>
      </w:r>
    </w:p>
    <w:p w:rsidR="00E579E6" w:rsidRPr="003E431F" w:rsidRDefault="00E579E6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faze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elektroforezom,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postupka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konačnog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poliranja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gornjeg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sloja,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čišćenju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raspršivanje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fiksnu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opremu,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tijekom,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procesa.</w:t>
      </w:r>
    </w:p>
    <w:p w:rsidR="00470511" w:rsidRPr="003E431F" w:rsidRDefault="00470511" w:rsidP="0047051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470511" w:rsidP="00470511">
      <w:pPr>
        <w:tabs>
          <w:tab w:val="left" w:pos="993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tekstila,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tkanina,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filma,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papirnih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plastičnih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zrakoplove,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brodove,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vlakove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drugo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992"/>
        <w:gridCol w:w="994"/>
        <w:gridCol w:w="1559"/>
        <w:gridCol w:w="1701"/>
      </w:tblGrid>
      <w:tr w:rsidR="002D4DC4" w:rsidRPr="003E431F" w:rsidTr="00803194">
        <w:trPr>
          <w:trHeight w:hRule="exact" w:val="1871"/>
        </w:trPr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E5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6A04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9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6A04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DC4" w:rsidRPr="003E431F" w:rsidRDefault="00E579E6" w:rsidP="006A0433">
            <w:pPr>
              <w:spacing w:after="0" w:line="240" w:lineRule="auto"/>
              <w:ind w:left="-102" w:right="-102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2D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c/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4DC4" w:rsidRPr="003E431F" w:rsidRDefault="00E579E6" w:rsidP="002D4DC4">
            <w:pPr>
              <w:spacing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2D4DC4">
            <w:pPr>
              <w:spacing w:after="0" w:line="240" w:lineRule="auto"/>
              <w:ind w:right="-113" w:hanging="96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9064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2D4DC4" w:rsidRPr="003E431F" w:rsidTr="00803194">
        <w:trPr>
          <w:trHeight w:hRule="exact" w:val="907"/>
        </w:trPr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3.17.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metala,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plastike,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b/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folije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valjaka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tkanine)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9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2D4DC4" w:rsidRPr="003E431F" w:rsidTr="00803194">
        <w:trPr>
          <w:trHeight w:hRule="exact" w:val="1106"/>
        </w:trPr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3.18.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metala,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plastike,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b/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folije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valjaka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tkanine)</w:t>
            </w:r>
          </w:p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sušenja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9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b/</w:t>
            </w:r>
          </w:p>
        </w:tc>
      </w:tr>
      <w:tr w:rsidR="002D4DC4" w:rsidRPr="003E431F" w:rsidTr="00803194">
        <w:trPr>
          <w:trHeight w:hRule="exact" w:val="1106"/>
        </w:trPr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3.19.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metala,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plastike,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b/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folije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papirnih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valjaka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tkanine)</w:t>
            </w:r>
          </w:p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premaza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9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2D4DC4" w:rsidRPr="003E431F" w:rsidTr="00803194">
        <w:trPr>
          <w:trHeight w:hRule="exact" w:val="907"/>
        </w:trPr>
        <w:tc>
          <w:tcPr>
            <w:tcW w:w="38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3.20.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b/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upotrebom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otapala,</w:t>
            </w:r>
          </w:p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sušenje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zajedno</w:t>
            </w: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&gt;5</w:t>
            </w:r>
          </w:p>
        </w:tc>
        <w:tc>
          <w:tcPr>
            <w:tcW w:w="9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</w:tbl>
    <w:p w:rsidR="00E579E6" w:rsidRPr="003E431F" w:rsidRDefault="00E579E6" w:rsidP="00F041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postići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kontrolirane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(izgradnja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brodova,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zrakoplova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itd.),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aktivnost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odvija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istoj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lokaciji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dijelom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kontroliranim,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dijelom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nekontroliranim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postupa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Shemi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smanjivanja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F0414F" w:rsidRPr="003E431F">
        <w:rPr>
          <w:rFonts w:ascii="Times New Roman" w:eastAsia="Times New Roman" w:hAnsi="Times New Roman" w:cs="Times New Roman"/>
          <w:color w:val="231F20"/>
          <w:lang w:eastAsia="hr-HR"/>
        </w:rPr>
        <w:t>6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Uredbe</w:t>
      </w:r>
    </w:p>
    <w:p w:rsidR="00E579E6" w:rsidRPr="003E431F" w:rsidRDefault="00E579E6" w:rsidP="00F041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b/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Tiskanje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rotacijskim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zaslonom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tekstil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obuhvaće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»tiskanje«</w:t>
      </w:r>
    </w:p>
    <w:p w:rsidR="00E579E6" w:rsidRPr="003E431F" w:rsidRDefault="00E579E6" w:rsidP="00F0414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c/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nanošenje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ušenje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kontroliranim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</w:p>
    <w:p w:rsidR="00470511" w:rsidRPr="003E431F" w:rsidRDefault="00470511" w:rsidP="00470511">
      <w:pPr>
        <w:tabs>
          <w:tab w:val="left" w:pos="993"/>
        </w:tabs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470511" w:rsidP="00470511">
      <w:pPr>
        <w:tabs>
          <w:tab w:val="left" w:pos="993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1030"/>
        <w:gridCol w:w="1285"/>
        <w:gridCol w:w="2170"/>
        <w:gridCol w:w="1925"/>
      </w:tblGrid>
      <w:tr w:rsidR="00E579E6" w:rsidRPr="003E431F" w:rsidTr="00803194"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803194"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-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803194">
        <w:trPr>
          <w:trHeight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drvo</w:t>
            </w:r>
          </w:p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sušenja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803194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drvo</w:t>
            </w:r>
          </w:p>
          <w:p w:rsidR="00E579E6" w:rsidRPr="003E431F" w:rsidRDefault="00E579E6" w:rsidP="002D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nanošenja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</w:tbl>
    <w:p w:rsidR="00E579E6" w:rsidRPr="003E431F" w:rsidRDefault="00E579E6" w:rsidP="00AC6F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otpadnim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nanošenje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sušenje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kontroliranim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uvjetima.</w:t>
      </w:r>
    </w:p>
    <w:p w:rsidR="00470511" w:rsidRPr="003E431F" w:rsidRDefault="00470511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470511" w:rsidP="00470511">
      <w:pPr>
        <w:tabs>
          <w:tab w:val="left" w:pos="993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kože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1588"/>
        <w:gridCol w:w="2061"/>
        <w:gridCol w:w="3045"/>
      </w:tblGrid>
      <w:tr w:rsidR="00E579E6" w:rsidRPr="003E431F" w:rsidTr="00803194">
        <w:tc>
          <w:tcPr>
            <w:tcW w:w="23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E579E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</w:t>
            </w:r>
          </w:p>
        </w:tc>
        <w:tc>
          <w:tcPr>
            <w:tcW w:w="1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F2022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06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(t/god)</w:t>
            </w:r>
          </w:p>
        </w:tc>
        <w:tc>
          <w:tcPr>
            <w:tcW w:w="30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softHyphen/>
              <w:t>vedenog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proizvoda)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kože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-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30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85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kože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30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3.26.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kože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30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</w:tbl>
    <w:p w:rsidR="00E579E6" w:rsidRPr="003E431F" w:rsidRDefault="00E579E6" w:rsidP="00AC6F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lastRenderedPageBreak/>
        <w:t>a</w:t>
      </w:r>
      <w:r w:rsidR="00AC6FAA" w:rsidRPr="003E431F">
        <w:rPr>
          <w:rFonts w:ascii="Times New Roman" w:eastAsia="Times New Roman" w:hAnsi="Times New Roman" w:cs="Times New Roman"/>
          <w:color w:val="231F20"/>
          <w:lang w:eastAsia="hr-HR"/>
        </w:rPr>
        <w:t>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kože,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proizvodnji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namještaja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malih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kožnih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proizvoda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široke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potrošnje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torbice,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pojasevi,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novčanici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drugo</w:t>
      </w:r>
    </w:p>
    <w:p w:rsidR="00470511" w:rsidRPr="003E431F" w:rsidRDefault="00470511" w:rsidP="00470511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4.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Premazivanje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zavojnica</w:t>
      </w: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1324"/>
        <w:gridCol w:w="1182"/>
        <w:gridCol w:w="1463"/>
        <w:gridCol w:w="1275"/>
      </w:tblGrid>
      <w:tr w:rsidR="00E579E6" w:rsidRPr="003E431F" w:rsidTr="00803194">
        <w:trPr>
          <w:trHeight w:val="1819"/>
        </w:trPr>
        <w:tc>
          <w:tcPr>
            <w:tcW w:w="38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</w:t>
            </w:r>
          </w:p>
        </w:tc>
        <w:tc>
          <w:tcPr>
            <w:tcW w:w="13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4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90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38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zavojnica</w:t>
            </w:r>
          </w:p>
        </w:tc>
        <w:tc>
          <w:tcPr>
            <w:tcW w:w="13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4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E579E6" w:rsidRPr="003E431F" w:rsidTr="00803194">
        <w:trPr>
          <w:trHeight w:val="595"/>
        </w:trPr>
        <w:tc>
          <w:tcPr>
            <w:tcW w:w="38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zavojnica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  <w:tc>
          <w:tcPr>
            <w:tcW w:w="13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4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9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38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zavojnica</w:t>
            </w:r>
          </w:p>
        </w:tc>
        <w:tc>
          <w:tcPr>
            <w:tcW w:w="13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4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E579E6" w:rsidRPr="003E431F" w:rsidTr="00803194">
        <w:trPr>
          <w:trHeight w:hRule="exact" w:val="624"/>
        </w:trPr>
        <w:tc>
          <w:tcPr>
            <w:tcW w:w="382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zavojnica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  <w:tc>
          <w:tcPr>
            <w:tcW w:w="132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4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</w:tbl>
    <w:p w:rsidR="00470511" w:rsidRPr="003E431F" w:rsidRDefault="00470511" w:rsidP="00470511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5.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Kemijsko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čišćenje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1818"/>
        <w:gridCol w:w="2158"/>
        <w:gridCol w:w="2240"/>
      </w:tblGrid>
      <w:tr w:rsidR="00E579E6" w:rsidRPr="003E431F" w:rsidTr="00803194">
        <w:trPr>
          <w:trHeight w:hRule="exact" w:val="851"/>
        </w:trPr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otapala/kg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očišćenih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osušenih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predmeta)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kemijsko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čišćenje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</w:tbl>
    <w:p w:rsidR="00E579E6" w:rsidRPr="003E431F" w:rsidRDefault="00E579E6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58.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(za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kemijske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čistionice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otvorenog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tipa)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aktivnost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kemijskog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čišćenja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Priloga</w:t>
      </w:r>
    </w:p>
    <w:p w:rsidR="00470511" w:rsidRPr="003E431F" w:rsidRDefault="00470511" w:rsidP="00470511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6.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obuće</w:t>
      </w:r>
    </w:p>
    <w:tbl>
      <w:tblPr>
        <w:tblW w:w="9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1430"/>
        <w:gridCol w:w="2121"/>
        <w:gridCol w:w="2390"/>
      </w:tblGrid>
      <w:tr w:rsidR="00E579E6" w:rsidRPr="003E431F" w:rsidTr="00803194">
        <w:trPr>
          <w:trHeight w:hRule="exact" w:val="851"/>
        </w:trPr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(t/god)</w:t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otapala/paru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kompletno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proizvedene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obuće)</w:t>
            </w:r>
          </w:p>
        </w:tc>
      </w:tr>
      <w:tr w:rsidR="00E579E6" w:rsidRPr="003E431F" w:rsidTr="00803194">
        <w:trPr>
          <w:trHeight w:hRule="exact" w:val="369"/>
        </w:trPr>
        <w:tc>
          <w:tcPr>
            <w:tcW w:w="906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80319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4F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6.1.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obuće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</w:tbl>
    <w:p w:rsidR="00470511" w:rsidRPr="003E431F" w:rsidRDefault="00470511" w:rsidP="00470511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7.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premaza,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lakova,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tinte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ljepila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1134"/>
        <w:gridCol w:w="1701"/>
        <w:gridCol w:w="1417"/>
        <w:gridCol w:w="1134"/>
      </w:tblGrid>
      <w:tr w:rsidR="00E579E6" w:rsidRPr="003E431F" w:rsidTr="00224C9C">
        <w:trPr>
          <w:trHeight w:hRule="exact" w:val="170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lakova,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tinte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-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lakova,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tinte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ljepila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</w:t>
            </w:r>
          </w:p>
        </w:tc>
      </w:tr>
    </w:tbl>
    <w:p w:rsidR="00E579E6" w:rsidRPr="003E431F" w:rsidRDefault="00E579E6" w:rsidP="008B577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fugitivnih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pakiraju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(prodaju)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pripravka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zapečaćenom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spremniku</w:t>
      </w:r>
    </w:p>
    <w:p w:rsidR="00540F3B" w:rsidRPr="003E431F" w:rsidRDefault="00540F3B" w:rsidP="00540F3B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8.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farmaceutskih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proizvoda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1134"/>
        <w:gridCol w:w="1701"/>
        <w:gridCol w:w="1417"/>
        <w:gridCol w:w="1134"/>
      </w:tblGrid>
      <w:tr w:rsidR="00224C9C" w:rsidRPr="003E431F" w:rsidTr="00786B75">
        <w:trPr>
          <w:trHeight w:hRule="exact" w:val="165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8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</w:p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224C9C" w:rsidRPr="003E431F" w:rsidTr="00224C9C">
        <w:trPr>
          <w:trHeight w:hRule="exact" w:val="6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farmaceutskih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224C9C" w:rsidRPr="003E431F" w:rsidTr="00224C9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farmaceutskih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</w:p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224C9C" w:rsidRPr="003E431F" w:rsidTr="00224C9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farmaceutskih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</w:tr>
      <w:tr w:rsidR="00224C9C" w:rsidRPr="003E431F" w:rsidTr="00224C9C"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farmaceutskih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</w:p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</w:tr>
    </w:tbl>
    <w:p w:rsidR="00E579E6" w:rsidRPr="003E431F" w:rsidRDefault="00E579E6" w:rsidP="00264A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fugitivnih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uključuje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prodaju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ipravka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zapečaćenom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spremniku</w:t>
      </w:r>
    </w:p>
    <w:p w:rsidR="003E546C" w:rsidRPr="003E431F" w:rsidRDefault="003E546C" w:rsidP="003E546C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9.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Tiskanje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134"/>
        <w:gridCol w:w="1276"/>
        <w:gridCol w:w="1701"/>
        <w:gridCol w:w="1559"/>
      </w:tblGrid>
      <w:tr w:rsidR="00E579E6" w:rsidRPr="003E431F" w:rsidTr="00224C9C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Fleksografija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Fleksografija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Toplinski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podešeni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otisak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Toplinski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podešeni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otisak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Rotogravura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izdavaštvu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Rotogravura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izdavaštvu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9.7.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rotogravura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9.8.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rotogravura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9.9.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rotacijskim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zaslonom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9.10.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rotacijskim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zaslonom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59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rotacijskim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zaslonom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tekstil/karton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59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rotacijskim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zaslonom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tekstil/karton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59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laminata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vezana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laminata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vezana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tiskanja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Lakiranje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2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426253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A21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9.16.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Lakiranje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</w:tr>
    </w:tbl>
    <w:p w:rsidR="00E579E6" w:rsidRPr="003E431F" w:rsidRDefault="00E579E6" w:rsidP="00264AD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Ostaci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gotovim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proizvodima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smatraju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dij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elom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fugitivnih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HOS-eva</w:t>
      </w:r>
    </w:p>
    <w:p w:rsidR="00A03F2D" w:rsidRPr="003E431F" w:rsidRDefault="00A03F2D" w:rsidP="00A03F2D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10.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gumenih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smjesa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proizvoda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od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gume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999"/>
        <w:gridCol w:w="1134"/>
        <w:gridCol w:w="1559"/>
        <w:gridCol w:w="1276"/>
        <w:gridCol w:w="1275"/>
      </w:tblGrid>
      <w:tr w:rsidR="00224C9C" w:rsidRPr="003E431F" w:rsidTr="00224C9C"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10.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3DC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</w:p>
          <w:p w:rsidR="00E579E6" w:rsidRPr="003E431F" w:rsidRDefault="00642091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="00E579E6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43DC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224C9C" w:rsidRPr="003E431F" w:rsidTr="00224C9C">
        <w:trPr>
          <w:trHeight w:hRule="exact" w:val="595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10.1.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gumenih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smjesa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gume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  <w:tr w:rsidR="00224C9C" w:rsidRPr="003E431F" w:rsidTr="00224C9C">
        <w:trPr>
          <w:trHeight w:hRule="exact" w:val="1077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gumenih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smjesa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gume</w:t>
            </w:r>
          </w:p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ponovna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oporabljenih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</w:tbl>
    <w:p w:rsidR="00E579E6" w:rsidRPr="003E431F" w:rsidRDefault="00E579E6" w:rsidP="00E739D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fugitivnih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uključuje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prodaju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ipravka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zapečaćenom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spremniku</w:t>
      </w:r>
    </w:p>
    <w:p w:rsidR="0054769E" w:rsidRPr="003E431F" w:rsidRDefault="0054769E" w:rsidP="0054769E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11.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Površinsko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čišćenje</w:t>
      </w:r>
    </w:p>
    <w:p w:rsidR="00E579E6" w:rsidRPr="003E431F" w:rsidRDefault="0054769E" w:rsidP="0054769E">
      <w:pPr>
        <w:tabs>
          <w:tab w:val="left" w:pos="993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čišćenje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59.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992"/>
        <w:gridCol w:w="1276"/>
        <w:gridCol w:w="1417"/>
        <w:gridCol w:w="1701"/>
      </w:tblGrid>
      <w:tr w:rsidR="00E579E6" w:rsidRPr="003E431F" w:rsidTr="00224C9C">
        <w:trPr>
          <w:trHeight w:hRule="exact" w:val="1361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(t/god)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4C9C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59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čišćenje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članka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</w:tr>
      <w:tr w:rsidR="00E579E6" w:rsidRPr="003E431F" w:rsidTr="00224C9C">
        <w:trPr>
          <w:trHeight w:hRule="exact" w:val="595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čišćenje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članka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58.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</w:tbl>
    <w:p w:rsidR="004E7B17" w:rsidRPr="003E431F" w:rsidRDefault="004E7B17" w:rsidP="004E7B17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4E7B17" w:rsidP="004E7B17">
      <w:pPr>
        <w:tabs>
          <w:tab w:val="left" w:pos="993"/>
        </w:tabs>
        <w:spacing w:before="120" w:after="120" w:line="240" w:lineRule="auto"/>
        <w:ind w:firstLine="567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površinsko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čišćenje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579E6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1701"/>
        <w:gridCol w:w="1418"/>
        <w:gridCol w:w="1984"/>
      </w:tblGrid>
      <w:tr w:rsidR="00E579E6" w:rsidRPr="003E431F" w:rsidTr="0090082B">
        <w:trPr>
          <w:trHeight w:hRule="exact" w:val="1186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9122C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24C9C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9122C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579E6" w:rsidRPr="003E431F" w:rsidRDefault="00E579E6" w:rsidP="00043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567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čišćenje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čišćenje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uporabom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75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</w:tbl>
    <w:p w:rsidR="00E579E6" w:rsidRPr="003E431F" w:rsidRDefault="00E579E6" w:rsidP="00B0105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izvršnom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tijelu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dokažu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prosječni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organskog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svih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uporabljenih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sredstava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čišćenje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težine,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izuzeta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primjene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ovih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</w:t>
      </w:r>
      <w:r w:rsidR="005755DE" w:rsidRPr="003E431F">
        <w:rPr>
          <w:rFonts w:ascii="Times New Roman" w:eastAsia="Times New Roman" w:hAnsi="Times New Roman" w:cs="Times New Roman"/>
          <w:color w:val="231F20"/>
          <w:lang w:eastAsia="hr-HR"/>
        </w:rPr>
        <w:t>.</w:t>
      </w:r>
    </w:p>
    <w:p w:rsidR="004D0496" w:rsidRPr="003E431F" w:rsidRDefault="004D0496" w:rsidP="004D0496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12.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Ekstrakcija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biljnog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ulja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životinjske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masti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rafinacija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biljnog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ulja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1985"/>
        <w:gridCol w:w="1984"/>
      </w:tblGrid>
      <w:tr w:rsidR="00E579E6" w:rsidRPr="003E431F" w:rsidTr="00224C9C">
        <w:trPr>
          <w:trHeight w:hRule="exact" w:val="68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(kg/t)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12.1.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životinjske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masti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1,5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ricinusa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3,0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sjemena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uljane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repice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sjemena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suncokreta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1,0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12.5.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zrna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soje</w:t>
            </w:r>
          </w:p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(krupno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mljeveno)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0,8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12.6.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zrna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soje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(listići)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1,2</w:t>
            </w:r>
          </w:p>
        </w:tc>
      </w:tr>
      <w:tr w:rsidR="00E579E6" w:rsidRPr="003E431F" w:rsidTr="00224C9C">
        <w:trPr>
          <w:trHeight w:hRule="exact" w:val="34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12.7.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Ekstrakcija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ostalog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sjemenja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biljnog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materijala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3,0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12.8.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frakcioniranja,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uklanjanja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smole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1,5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12.9.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procesi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frakcioniranja,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uklanjanjem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smole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ulja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4,0</w:t>
            </w:r>
          </w:p>
        </w:tc>
      </w:tr>
    </w:tbl>
    <w:p w:rsidR="00E579E6" w:rsidRPr="003E431F" w:rsidRDefault="00E579E6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HOS-eva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prerađuju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pojedinačne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šarže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sjemena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biljne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treba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odrediti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izvršno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tijelo,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slučaja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slučaja,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primjenjujući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najbolje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raspoložive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tehnike.</w:t>
      </w:r>
    </w:p>
    <w:p w:rsidR="004D0496" w:rsidRPr="003E431F" w:rsidRDefault="004D0496" w:rsidP="004D04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13.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Premazivanje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vozila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(procesi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premazivanja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ciljem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površinske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zaštite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automobilskoj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industriji)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godišnjom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potrošnjom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otapala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&lt;15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tona/godinu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završne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obrade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vozila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(lakiranje)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potrošnjom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otapala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&gt;0,5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tona/godinu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134"/>
        <w:gridCol w:w="1134"/>
        <w:gridCol w:w="1559"/>
        <w:gridCol w:w="1134"/>
      </w:tblGrid>
      <w:tr w:rsidR="00E579E6" w:rsidRPr="003E431F" w:rsidTr="00224C9C">
        <w:trPr>
          <w:trHeight w:hRule="exact" w:val="1871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13.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9122C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851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13.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Premazivanja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vozila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godišnjom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&lt;15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tona/godinu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završne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obrade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vozila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(lakiranje)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&gt;0,5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tona/godinu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0,5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79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</w:tr>
    </w:tbl>
    <w:p w:rsidR="00E579E6" w:rsidRPr="003E431F" w:rsidRDefault="00E579E6" w:rsidP="002A2DA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a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Pridržavanje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kontinuiranog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mjerenja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treba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dokazati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mjerenjem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15-minutnoga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prosjeka</w:t>
      </w:r>
    </w:p>
    <w:p w:rsidR="004D0496" w:rsidRPr="003E431F" w:rsidRDefault="004D0496" w:rsidP="004D0496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14.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Impregnacija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drvenih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površina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992"/>
        <w:gridCol w:w="1134"/>
        <w:gridCol w:w="1701"/>
        <w:gridCol w:w="1417"/>
        <w:gridCol w:w="1134"/>
      </w:tblGrid>
      <w:tr w:rsidR="00224C9C" w:rsidRPr="003E431F" w:rsidTr="00224C9C">
        <w:trPr>
          <w:trHeight w:hRule="exact" w:val="164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(C)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Granična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fugitivnih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br/>
              <w:t>(kg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224C9C" w:rsidRPr="003E431F" w:rsidTr="00224C9C">
        <w:trPr>
          <w:trHeight w:hRule="exact" w:val="6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14.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Impregnacija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drvenih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a/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5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11</w:t>
            </w:r>
          </w:p>
        </w:tc>
      </w:tr>
    </w:tbl>
    <w:p w:rsidR="00E579E6" w:rsidRPr="003E431F" w:rsidRDefault="00E579E6" w:rsidP="00613B8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a/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impregnaciju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567414" w:rsidRPr="003E431F">
        <w:rPr>
          <w:rFonts w:ascii="Times New Roman" w:eastAsia="Times New Roman" w:hAnsi="Times New Roman" w:cs="Times New Roman"/>
          <w:color w:val="231F20"/>
          <w:lang w:eastAsia="hr-HR"/>
        </w:rPr>
        <w:t>kreozotom</w:t>
      </w:r>
    </w:p>
    <w:p w:rsidR="00F8300F" w:rsidRPr="003E431F" w:rsidRDefault="00F8300F" w:rsidP="00F8300F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:rsidR="00E579E6" w:rsidRPr="003E431F" w:rsidRDefault="00E579E6" w:rsidP="00282F7C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Aktivnost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15.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Površinska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zaštita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(premazivanje)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žičanih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navoja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276"/>
        <w:gridCol w:w="1417"/>
        <w:gridCol w:w="2126"/>
      </w:tblGrid>
      <w:tr w:rsidR="00E579E6" w:rsidRPr="003E431F" w:rsidTr="00224C9C">
        <w:trPr>
          <w:trHeight w:hRule="exact" w:val="119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(t/god)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otapala/kg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proizvedenog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proizvoda)</w:t>
            </w:r>
          </w:p>
        </w:tc>
      </w:tr>
      <w:tr w:rsidR="00E579E6" w:rsidRPr="003E431F" w:rsidTr="00224C9C">
        <w:trPr>
          <w:trHeight w:hRule="exact" w:val="369"/>
        </w:trPr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15.1.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zaštita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srednji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promjer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žice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&lt;0,1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15.2.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Površinska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zaštita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koja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primjenjuje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postrojenja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</w:tbl>
    <w:p w:rsidR="00E579E6" w:rsidRPr="003E431F" w:rsidRDefault="00E579E6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579E6" w:rsidRPr="003E431F" w:rsidRDefault="00C73BC2" w:rsidP="00325E4B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 xml:space="preserve">B. </w:t>
      </w:r>
      <w:r w:rsidR="00E579E6" w:rsidRPr="003E431F">
        <w:rPr>
          <w:rFonts w:eastAsia="Times New Roman"/>
          <w:lang w:eastAsia="hr-HR"/>
        </w:rPr>
        <w:t>GVE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hlapivih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organskih</w:t>
      </w:r>
      <w:r w:rsidR="00642091" w:rsidRPr="003E431F">
        <w:rPr>
          <w:rFonts w:eastAsia="Times New Roman"/>
          <w:lang w:eastAsia="hr-HR"/>
        </w:rPr>
        <w:t xml:space="preserve"> </w:t>
      </w:r>
      <w:r w:rsidR="00E579E6" w:rsidRPr="003E431F">
        <w:rPr>
          <w:rFonts w:eastAsia="Times New Roman"/>
          <w:lang w:eastAsia="hr-HR"/>
        </w:rPr>
        <w:t>spojeva</w:t>
      </w:r>
      <w:r w:rsidR="00642091" w:rsidRPr="003E431F">
        <w:rPr>
          <w:rFonts w:eastAsia="Times New Roman"/>
          <w:lang w:eastAsia="hr-HR"/>
        </w:rPr>
        <w:t xml:space="preserve"> 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835"/>
        <w:gridCol w:w="1842"/>
      </w:tblGrid>
      <w:tr w:rsidR="00E579E6" w:rsidRPr="003E431F" w:rsidTr="00224C9C">
        <w:trPr>
          <w:trHeight w:hRule="exact" w:val="986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pripravci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sadržaju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C37CE9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D4C37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Maseni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protok</w:t>
            </w:r>
            <w:r w:rsidR="00426253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zbroja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spojeva</w:t>
            </w:r>
          </w:p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(g/h)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DD4C37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E579E6" w:rsidRPr="003E431F" w:rsidTr="00224C9C">
        <w:trPr>
          <w:trHeight w:hRule="exact" w:val="624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halogenirane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="00C37CE9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HOS-ev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oznakom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upozorenja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H341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H351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*</w:t>
            </w:r>
          </w:p>
        </w:tc>
      </w:tr>
      <w:tr w:rsidR="00E579E6" w:rsidRPr="003E431F" w:rsidTr="00224C9C">
        <w:trPr>
          <w:trHeight w:hRule="exact" w:val="907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D4C37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karcinogene,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mutagene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toksične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reprodukciju,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nose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oznaku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upozorenja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</w:p>
          <w:p w:rsidR="00E579E6" w:rsidRPr="003E431F" w:rsidRDefault="00E579E6" w:rsidP="00DD4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H340,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H350,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H350i,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H360D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H360F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579E6" w:rsidRPr="003E431F" w:rsidRDefault="00E579E6" w:rsidP="00DD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*</w:t>
            </w:r>
          </w:p>
        </w:tc>
      </w:tr>
    </w:tbl>
    <w:p w:rsidR="00E579E6" w:rsidRPr="003E431F" w:rsidRDefault="00E579E6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*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maseni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zbroj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pojedinačnih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komponenti</w:t>
      </w:r>
    </w:p>
    <w:p w:rsidR="00206223" w:rsidRPr="003E431F" w:rsidRDefault="00206223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06223" w:rsidRPr="003E431F" w:rsidRDefault="00206223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="004F09CB" w:rsidRPr="003E431F">
        <w:rPr>
          <w:rFonts w:eastAsia="Times New Roman"/>
          <w:bdr w:val="none" w:sz="0" w:space="0" w:color="auto" w:frame="1"/>
          <w:lang w:eastAsia="hr-HR"/>
        </w:rPr>
        <w:t>6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206223" w:rsidRPr="003E431F" w:rsidRDefault="00206223" w:rsidP="009541E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SHEMA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SMANJIVANJA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</w:p>
    <w:p w:rsidR="00206223" w:rsidRPr="003E431F" w:rsidRDefault="00940718" w:rsidP="00400610">
      <w:pPr>
        <w:shd w:val="clear" w:color="auto" w:fill="FFFFFF"/>
        <w:spacing w:before="120" w:after="120" w:line="240" w:lineRule="auto"/>
        <w:ind w:left="14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Načela</w:t>
      </w:r>
    </w:p>
    <w:p w:rsidR="00206223" w:rsidRPr="003E431F" w:rsidRDefault="00206223" w:rsidP="0040061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Svrha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Sheme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omogućiti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sredstvima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postigne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jednakovrijedno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postignutom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Shemu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izrađenu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postigne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emisija.</w:t>
      </w:r>
    </w:p>
    <w:p w:rsidR="00206223" w:rsidRPr="003E431F" w:rsidRDefault="00940718" w:rsidP="00FF0F55">
      <w:pPr>
        <w:shd w:val="clear" w:color="auto" w:fill="FFFFFF"/>
        <w:spacing w:before="120" w:after="120" w:line="240" w:lineRule="auto"/>
        <w:ind w:left="142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Praksa</w:t>
      </w:r>
    </w:p>
    <w:p w:rsidR="00206223" w:rsidRPr="003E431F" w:rsidRDefault="00206223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nanošenja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lakova,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ljepila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tiskarskih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Shema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nastavku.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Prilikom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Sheme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činjenicama:</w:t>
      </w:r>
    </w:p>
    <w:p w:rsidR="00206223" w:rsidRPr="003E431F" w:rsidRDefault="00FF0F55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zamjenski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još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uvijek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razvoja,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produžuje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rok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provedbu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njegovih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planova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emisija;</w:t>
      </w:r>
    </w:p>
    <w:p w:rsidR="00206223" w:rsidRPr="003E431F" w:rsidRDefault="00FF0F55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što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bliža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postigle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poduzele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nikakve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aktivnosti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njihovo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smanjivanje.</w:t>
      </w:r>
    </w:p>
    <w:p w:rsidR="00206223" w:rsidRPr="003E431F" w:rsidRDefault="00940718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pretpostaviti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stalan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definiranje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smanjivanje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emisija:</w:t>
      </w:r>
    </w:p>
    <w:p w:rsidR="00206223" w:rsidRPr="003E431F" w:rsidRDefault="00FF0F55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način:</w:t>
      </w:r>
    </w:p>
    <w:p w:rsidR="00206223" w:rsidRPr="003E431F" w:rsidRDefault="00940718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tiskarske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ljepila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tiskarskim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bojama,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lakovima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ljepilima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skrutnjavaju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isparavanja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C37CE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HOS-ev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</w:p>
    <w:p w:rsidR="00206223" w:rsidRPr="003E431F" w:rsidRDefault="00940718" w:rsidP="00FF0F55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množenjem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odgovarajućim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faktorom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tablici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nastavku: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275"/>
      </w:tblGrid>
      <w:tr w:rsidR="00206223" w:rsidRPr="003E431F" w:rsidTr="009541E0">
        <w:trPr>
          <w:trHeight w:val="244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Faktor</w:t>
            </w:r>
          </w:p>
        </w:tc>
      </w:tr>
      <w:tr w:rsidR="00206223" w:rsidRPr="003E431F" w:rsidTr="009541E0">
        <w:trPr>
          <w:trHeight w:val="490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Rotogravura;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fleksografija;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laminata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vezana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proces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tiskanja,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lakiranje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aktivnosti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tiskanja,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drveta,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tekstila,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tkanine,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filma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papira;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nanošenje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ljepila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(adheziva)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</w:tr>
      <w:tr w:rsidR="00206223" w:rsidRPr="003E431F" w:rsidTr="009541E0">
        <w:trPr>
          <w:trHeight w:val="236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Premazivanje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zavojnica,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završna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obrada/lakiranje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vozila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</w:tr>
      <w:tr w:rsidR="00206223" w:rsidRPr="003E431F" w:rsidTr="009541E0">
        <w:trPr>
          <w:trHeight w:val="244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Zaštita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dodiru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hranom,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zaštita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zrakoplovnoj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industriji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2,33</w:t>
            </w:r>
          </w:p>
        </w:tc>
      </w:tr>
      <w:tr w:rsidR="00206223" w:rsidRPr="003E431F" w:rsidTr="009541E0">
        <w:trPr>
          <w:trHeight w:val="244"/>
        </w:trPr>
        <w:tc>
          <w:tcPr>
            <w:tcW w:w="7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zaštita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tiskanje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rotacijskim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zaslonom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06223" w:rsidRPr="003E431F" w:rsidRDefault="00206223" w:rsidP="0020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1,5</w:t>
            </w:r>
          </w:p>
        </w:tc>
      </w:tr>
    </w:tbl>
    <w:p w:rsidR="00206223" w:rsidRPr="003E431F" w:rsidRDefault="00206223" w:rsidP="0020622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06223" w:rsidRPr="003E431F" w:rsidRDefault="007573C4" w:rsidP="007573C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Ciljna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umnošku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referentne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postotka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jednak:</w:t>
      </w:r>
    </w:p>
    <w:p w:rsidR="00206223" w:rsidRPr="003E431F" w:rsidRDefault="007573C4" w:rsidP="007573C4">
      <w:pPr>
        <w:shd w:val="clear" w:color="auto" w:fill="FFFFFF"/>
        <w:tabs>
          <w:tab w:val="left" w:pos="993"/>
        </w:tabs>
        <w:spacing w:before="120" w:after="120" w:line="240" w:lineRule="auto"/>
        <w:ind w:left="408"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fugitivne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+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završne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vozila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(lakiranje)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nižih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pragova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premazivanja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206223" w:rsidRPr="003E431F" w:rsidRDefault="007573C4" w:rsidP="007573C4">
      <w:pPr>
        <w:shd w:val="clear" w:color="auto" w:fill="FFFFFF"/>
        <w:tabs>
          <w:tab w:val="left" w:pos="993"/>
        </w:tabs>
        <w:spacing w:before="120" w:after="120" w:line="240" w:lineRule="auto"/>
        <w:ind w:left="408"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fugitivne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+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druga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206223" w:rsidRPr="003E431F" w:rsidRDefault="00940718" w:rsidP="007573C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stvarna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otapala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E1EBE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ciljne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jednaka.</w:t>
      </w:r>
    </w:p>
    <w:p w:rsidR="00206223" w:rsidRPr="003E431F" w:rsidRDefault="00940718" w:rsidP="007573C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faktori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navedeni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primjenjivi,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prilagoditi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pokazao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dokumentirani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porast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učinkovitosti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korištenju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čvrstih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0622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tvari.</w:t>
      </w:r>
    </w:p>
    <w:p w:rsidR="007534DE" w:rsidRPr="003E431F" w:rsidRDefault="007534DE" w:rsidP="00E579E6">
      <w:pPr>
        <w:spacing w:before="120" w:after="12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541E0" w:rsidRPr="003E431F" w:rsidRDefault="009541E0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="004F09CB" w:rsidRPr="003E431F">
        <w:rPr>
          <w:rFonts w:eastAsia="Times New Roman"/>
          <w:bdr w:val="none" w:sz="0" w:space="0" w:color="auto" w:frame="1"/>
          <w:lang w:eastAsia="hr-HR"/>
        </w:rPr>
        <w:t>7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9541E0" w:rsidRPr="003E431F" w:rsidRDefault="009541E0" w:rsidP="00325E4B">
      <w:pPr>
        <w:pStyle w:val="Naslov2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IZVJEŠĆE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EMISIJAMA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HLAPIVIH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ORGANSKIH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SPOJEVA</w:t>
      </w:r>
    </w:p>
    <w:p w:rsidR="009541E0" w:rsidRPr="003E431F" w:rsidRDefault="009541E0" w:rsidP="003201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537"/>
        <w:gridCol w:w="1843"/>
        <w:gridCol w:w="1842"/>
      </w:tblGrid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320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graničnim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zrak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nepokretnih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izvora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IZVJEŠĆE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GODINU: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Operater: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(grad,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ulica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broj):</w:t>
            </w:r>
          </w:p>
        </w:tc>
      </w:tr>
      <w:tr w:rsidR="009541E0" w:rsidRPr="003E431F" w:rsidTr="009541E0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Telefon: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Telefaks: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e-pošta: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Matični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subjekta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(MBS),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matični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obrta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(MBO)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i/ili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OIB: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Registarski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(REGVOC):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naziv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postrojenja:</w:t>
            </w:r>
          </w:p>
          <w:p w:rsidR="009541E0" w:rsidRPr="003E431F" w:rsidRDefault="009541E0" w:rsidP="008E1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članka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E1EBE" w:rsidRPr="003E431F">
              <w:rPr>
                <w:rFonts w:ascii="Times New Roman" w:eastAsia="Times New Roman" w:hAnsi="Times New Roman" w:cs="Times New Roman"/>
                <w:lang w:eastAsia="hr-HR"/>
              </w:rPr>
              <w:t>56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(npr.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procesi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premazivanja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različitim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industrijskim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djelatnostima):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4.1.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Podbroj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tablica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Priloga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E1EBE" w:rsidRPr="003E431F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E7413" w:rsidRPr="003E431F">
              <w:rPr>
                <w:rFonts w:ascii="Times New Roman" w:eastAsia="Times New Roman" w:hAnsi="Times New Roman" w:cs="Times New Roman"/>
                <w:lang w:eastAsia="hr-HR"/>
              </w:rPr>
              <w:t>točke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E7413" w:rsidRPr="003E431F">
              <w:rPr>
                <w:rFonts w:ascii="Times New Roman" w:eastAsia="Times New Roman" w:hAnsi="Times New Roman" w:cs="Times New Roman"/>
                <w:lang w:eastAsia="hr-HR"/>
              </w:rPr>
              <w:t>A.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(npr.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3.18.):</w:t>
            </w:r>
          </w:p>
          <w:p w:rsidR="009541E0" w:rsidRPr="003E431F" w:rsidRDefault="009541E0" w:rsidP="009541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4.2.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Lokacija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postrojenja/aktivnosti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(grad,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ulica,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broj),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telefon,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telefaks,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e-pošta:</w:t>
            </w:r>
          </w:p>
          <w:p w:rsidR="009541E0" w:rsidRPr="003E431F" w:rsidRDefault="009541E0" w:rsidP="009541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Prag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propisan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ovom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  <w:p w:rsidR="009541E0" w:rsidRPr="003E431F" w:rsidRDefault="009541E0" w:rsidP="009541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4.4.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Donja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potrošnje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propisana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ovom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</w:tr>
      <w:tr w:rsidR="009541E0" w:rsidRPr="003E431F" w:rsidTr="009541E0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IZRAČUN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BILANCE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korištenih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pojedinačnih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D: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godišnja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korištenih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njihova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pripravcima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oporabljeni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ponovo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koriste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sirovina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procesu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izgubljenih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proizvodima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ostaje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nečistoća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talog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i/ili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izgubljeni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uslijed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kemijskih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fizikalnih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reakcija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skupljenom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pripravcima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prodaju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namijenjena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prodaji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komercijalni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proizvodi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sadržana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pripravcima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regeneriraju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ponovnu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upotrebu,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sirovina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procesu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REZULTATI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MJERENJA/RAČUNANJA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9541E0" w:rsidRPr="003E431F" w:rsidRDefault="009541E0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(propisane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Uredbom)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Izmjerene/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br/>
              <w:t>izračunate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vrijednosti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otpadnim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plinovima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(GVE)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Fugitivne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Fugitivne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(masa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otapala/jedinici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(%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unosa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(masa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otapala/jedinici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aktivnosti):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HOS-eva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(t/god):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Način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praćenja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emisija: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(b.1)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kontinuirano</w:t>
            </w:r>
          </w:p>
        </w:tc>
      </w:tr>
      <w:tr w:rsidR="009541E0" w:rsidRPr="003E431F" w:rsidTr="009541E0">
        <w:tc>
          <w:tcPr>
            <w:tcW w:w="5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(b.2)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povremeno</w:t>
            </w:r>
          </w:p>
        </w:tc>
      </w:tr>
      <w:tr w:rsidR="009541E0" w:rsidRPr="003E431F" w:rsidTr="009541E0">
        <w:tc>
          <w:tcPr>
            <w:tcW w:w="5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(b.3)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se</w:t>
            </w: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Tehnike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smanjivanja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emisija: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541E0" w:rsidRPr="003E431F" w:rsidTr="009541E0"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Osoba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odgovorna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točnost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podataka: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541E0" w:rsidRPr="003E431F" w:rsidRDefault="009541E0" w:rsidP="0095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9541E0" w:rsidRPr="003E431F" w:rsidRDefault="009541E0" w:rsidP="009541E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541E0" w:rsidRPr="003E431F" w:rsidRDefault="009541E0" w:rsidP="00325E4B">
      <w:pPr>
        <w:pStyle w:val="Naslov2"/>
      </w:pPr>
      <w:r w:rsidRPr="003E431F">
        <w:rPr>
          <w:rStyle w:val="bold"/>
        </w:rPr>
        <w:t>UPUTE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ZA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IZRADU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IZVJEŠĆA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O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EMISIJAMA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HLAPIVIH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ORGANSKIH</w:t>
      </w:r>
      <w:r w:rsidR="00642091" w:rsidRPr="003E431F">
        <w:rPr>
          <w:rStyle w:val="bold"/>
        </w:rPr>
        <w:t xml:space="preserve"> </w:t>
      </w:r>
      <w:r w:rsidRPr="003E431F">
        <w:rPr>
          <w:rStyle w:val="bold"/>
        </w:rPr>
        <w:t>SPOJEVA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dvije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aktivnosti.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posjeduje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lokacijama,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posebno.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posjeduje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dostavlja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prekoračen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otapala.</w:t>
      </w:r>
    </w:p>
    <w:p w:rsidR="009541E0" w:rsidRPr="003E431F" w:rsidRDefault="009541E0" w:rsidP="00F16AEF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t>Upisuje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se: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Godina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prethodnu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kalendarsku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godinu.</w:t>
      </w:r>
    </w:p>
    <w:p w:rsidR="009541E0" w:rsidRPr="003E431F" w:rsidRDefault="009541E0" w:rsidP="00F16AEF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t>Podaci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operateru: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naziv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adresa,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telefon,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telefaks,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e-pošta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matični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subjekta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(MBS),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matični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(MBO)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OIB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3.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registarski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dodijeljen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REGVOC-u</w:t>
      </w:r>
    </w:p>
    <w:p w:rsidR="009541E0" w:rsidRPr="003E431F" w:rsidRDefault="009541E0" w:rsidP="00F16AEF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t>Podaci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postrojenju/aktivnosti: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Postrojenje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naziv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lastRenderedPageBreak/>
        <w:t>Aktivnost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za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koju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se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izrađuje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izvješće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–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naziv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aktivnosti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sukladno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članku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55.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ove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Uredbe: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4.1.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podbroj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tablica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bavi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metala,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plastike,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tekstila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4.1.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3.18;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troši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između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15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3.17)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4.3.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4.4.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4.2.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adrese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posjeduje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više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različitim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lokacijama,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lokaciju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posebno.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4.3.</w:t>
      </w:r>
      <w:r w:rsidR="00F63EA3" w:rsidRPr="003E431F">
        <w:rPr>
          <w:color w:val="231F20"/>
        </w:rPr>
        <w:tab/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EE7413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4.4.</w:t>
      </w:r>
      <w:r w:rsidR="00F63EA3" w:rsidRPr="003E431F">
        <w:rPr>
          <w:color w:val="231F20"/>
        </w:rPr>
        <w:tab/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</w:p>
    <w:p w:rsidR="009541E0" w:rsidRPr="003E431F" w:rsidRDefault="009541E0" w:rsidP="00F16AEF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t>Podaci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koji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su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potrebni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za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izračun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bilance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organskih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otapala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(iz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Priloga</w:t>
      </w:r>
      <w:r w:rsidR="00642091" w:rsidRPr="003E431F">
        <w:rPr>
          <w:i/>
          <w:color w:val="231F20"/>
        </w:rPr>
        <w:t xml:space="preserve"> </w:t>
      </w:r>
      <w:r w:rsidR="00EE7413" w:rsidRPr="003E431F">
        <w:rPr>
          <w:i/>
          <w:color w:val="231F20"/>
        </w:rPr>
        <w:t>5</w:t>
      </w:r>
      <w:r w:rsidRPr="003E431F">
        <w:rPr>
          <w:i/>
          <w:color w:val="231F20"/>
        </w:rPr>
        <w:t>.</w:t>
      </w:r>
      <w:r w:rsidR="00642091" w:rsidRPr="003E431F">
        <w:rPr>
          <w:i/>
          <w:color w:val="231F20"/>
        </w:rPr>
        <w:t xml:space="preserve"> </w:t>
      </w:r>
      <w:r w:rsidR="00EE7413" w:rsidRPr="003E431F">
        <w:rPr>
          <w:i/>
          <w:color w:val="231F20"/>
        </w:rPr>
        <w:t>točke</w:t>
      </w:r>
      <w:r w:rsidR="00642091" w:rsidRPr="003E431F">
        <w:rPr>
          <w:i/>
          <w:color w:val="231F20"/>
        </w:rPr>
        <w:t xml:space="preserve"> </w:t>
      </w:r>
      <w:r w:rsidR="00EE7413" w:rsidRPr="003E431F">
        <w:rPr>
          <w:i/>
          <w:color w:val="231F20"/>
        </w:rPr>
        <w:t>A.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ove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Uredbe):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vrstama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korištenih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Sigurnosno-tehnički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list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dokument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iščitati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izvješće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sadržaja</w:t>
      </w:r>
      <w:r w:rsidR="00642091" w:rsidRPr="003E431F">
        <w:rPr>
          <w:color w:val="231F20"/>
        </w:rPr>
        <w:t xml:space="preserve"> </w:t>
      </w:r>
      <w:r w:rsidR="003201FF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posebnim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propisom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sadržaja</w:t>
      </w:r>
      <w:r w:rsidR="00642091" w:rsidRPr="003E431F">
        <w:rPr>
          <w:color w:val="231F20"/>
        </w:rPr>
        <w:t xml:space="preserve"> </w:t>
      </w:r>
      <w:r w:rsidR="00C37CE9" w:rsidRPr="003E431F">
        <w:rPr>
          <w:color w:val="231F20"/>
        </w:rPr>
        <w:t>HOS-ev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određenim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lakovima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završnu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vozila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6.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7.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pod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upisati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dobivenu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zbrojem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6.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ovoga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8.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njihova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oporabljeni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sirovina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9.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izgubljenih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10.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nečistoća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talog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11.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spojevi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izgubljeni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uslijed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kemijskih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fizikalnih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reakcija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12.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skupljenom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13.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prodaju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namijenjena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prodaji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komercijalni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14.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regeneriraju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upotrebu,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sirovina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</w:t>
      </w:r>
    </w:p>
    <w:p w:rsidR="009541E0" w:rsidRPr="003E431F" w:rsidRDefault="009541E0" w:rsidP="00F16AEF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jc w:val="both"/>
        <w:textAlignment w:val="baseline"/>
        <w:rPr>
          <w:i/>
          <w:color w:val="231F20"/>
        </w:rPr>
      </w:pPr>
      <w:r w:rsidRPr="003E431F">
        <w:rPr>
          <w:i/>
          <w:color w:val="231F20"/>
        </w:rPr>
        <w:t>Podaci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rezultatima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mjerenja/izračunavanja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(iz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Priloga</w:t>
      </w:r>
      <w:r w:rsidR="00642091" w:rsidRPr="003E431F">
        <w:rPr>
          <w:i/>
          <w:color w:val="231F20"/>
        </w:rPr>
        <w:t xml:space="preserve"> </w:t>
      </w:r>
      <w:r w:rsidR="00EE7413" w:rsidRPr="003E431F">
        <w:rPr>
          <w:i/>
          <w:color w:val="231F20"/>
        </w:rPr>
        <w:t>5</w:t>
      </w:r>
      <w:r w:rsidRPr="003E431F">
        <w:rPr>
          <w:i/>
          <w:color w:val="231F20"/>
        </w:rPr>
        <w:t>.</w:t>
      </w:r>
      <w:r w:rsidR="00642091" w:rsidRPr="003E431F">
        <w:rPr>
          <w:i/>
          <w:color w:val="231F20"/>
        </w:rPr>
        <w:t xml:space="preserve"> </w:t>
      </w:r>
      <w:r w:rsidR="00CF5132" w:rsidRPr="003E431F">
        <w:rPr>
          <w:i/>
          <w:color w:val="231F20"/>
        </w:rPr>
        <w:t>točke</w:t>
      </w:r>
      <w:r w:rsidR="00642091" w:rsidRPr="003E431F">
        <w:rPr>
          <w:i/>
          <w:color w:val="231F20"/>
        </w:rPr>
        <w:t xml:space="preserve"> </w:t>
      </w:r>
      <w:r w:rsidR="00CF5132" w:rsidRPr="003E431F">
        <w:rPr>
          <w:i/>
          <w:color w:val="231F20"/>
        </w:rPr>
        <w:t>A.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ove</w:t>
      </w:r>
      <w:r w:rsidR="00642091" w:rsidRPr="003E431F">
        <w:rPr>
          <w:i/>
          <w:color w:val="231F20"/>
        </w:rPr>
        <w:t xml:space="preserve"> </w:t>
      </w:r>
      <w:r w:rsidRPr="003E431F">
        <w:rPr>
          <w:i/>
          <w:color w:val="231F20"/>
        </w:rPr>
        <w:t>Uredbe):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15.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izmjerene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ugljik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C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(mg/m</w:t>
      </w:r>
      <w:r w:rsidRPr="003E431F">
        <w:rPr>
          <w:color w:val="231F20"/>
          <w:vertAlign w:val="superscript"/>
        </w:rPr>
        <w:t>3</w:t>
      </w:r>
      <w:r w:rsidRPr="003E431F">
        <w:rPr>
          <w:color w:val="231F20"/>
        </w:rPr>
        <w:t>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izmjerene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16.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izračunate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%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Uredbe)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>17.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izračunate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otapala/jedinici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Uredbe)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18.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izračunata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%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Uredbe)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19.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izračunata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otapala/jedinici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otapala/m</w:t>
      </w:r>
      <w:r w:rsidRPr="003E431F">
        <w:rPr>
          <w:color w:val="231F20"/>
          <w:vertAlign w:val="superscript"/>
        </w:rPr>
        <w:t>2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površine,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otapala/proizvodu,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predmeta,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proizvedenog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otapala/m</w:t>
      </w:r>
      <w:r w:rsidRPr="003E431F">
        <w:rPr>
          <w:color w:val="231F20"/>
          <w:vertAlign w:val="superscript"/>
        </w:rPr>
        <w:t>3</w:t>
      </w:r>
      <w:r w:rsidRPr="003E431F">
        <w:rPr>
          <w:color w:val="231F20"/>
        </w:rPr>
        <w:t>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otapala/paru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426253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Uredbe)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20.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izračunata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izražena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t/godini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sukladno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(primjena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6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8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operatere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kontroliranim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uvjetima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21.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načinu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praćenja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emisije:</w:t>
      </w:r>
    </w:p>
    <w:p w:rsidR="009541E0" w:rsidRPr="003E431F" w:rsidRDefault="00F63EA3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kontinuirano</w:t>
      </w:r>
    </w:p>
    <w:p w:rsidR="009541E0" w:rsidRPr="003E431F" w:rsidRDefault="00F63EA3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povremeno</w:t>
      </w:r>
    </w:p>
    <w:p w:rsidR="009541E0" w:rsidRPr="003E431F" w:rsidRDefault="00F63EA3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prati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22.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kratko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opisati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tehnika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</w:p>
    <w:p w:rsidR="009541E0" w:rsidRPr="003E431F" w:rsidRDefault="009541E0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23.</w:t>
      </w:r>
      <w:r w:rsidR="00642091" w:rsidRPr="003E431F">
        <w:rPr>
          <w:color w:val="231F20"/>
        </w:rPr>
        <w:t xml:space="preserve"> </w:t>
      </w:r>
      <w:r w:rsidR="00F63EA3" w:rsidRPr="003E431F">
        <w:rPr>
          <w:color w:val="231F20"/>
        </w:rPr>
        <w:tab/>
      </w:r>
      <w:r w:rsidRPr="003E431F">
        <w:rPr>
          <w:color w:val="231F20"/>
        </w:rPr>
        <w:t>upisuje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čitljivo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prezime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osobe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odgovorne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točnost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podataka.</w:t>
      </w:r>
    </w:p>
    <w:p w:rsidR="007534DE" w:rsidRPr="003E431F" w:rsidRDefault="007534DE" w:rsidP="00F63EA3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9541E0" w:rsidRPr="003E431F" w:rsidRDefault="009541E0" w:rsidP="00325E4B">
      <w:pPr>
        <w:pStyle w:val="Naslov1"/>
      </w:pPr>
      <w:r w:rsidRPr="003E431F">
        <w:rPr>
          <w:rStyle w:val="bold"/>
          <w:b w:val="0"/>
          <w:bCs/>
          <w:color w:val="231F20"/>
          <w:bdr w:val="none" w:sz="0" w:space="0" w:color="auto" w:frame="1"/>
        </w:rPr>
        <w:t>PRILOG</w:t>
      </w:r>
      <w:r w:rsidR="00642091" w:rsidRPr="003E431F">
        <w:rPr>
          <w:rStyle w:val="bold"/>
          <w:b w:val="0"/>
          <w:bCs/>
          <w:color w:val="231F20"/>
          <w:bdr w:val="none" w:sz="0" w:space="0" w:color="auto" w:frame="1"/>
        </w:rPr>
        <w:t xml:space="preserve"> </w:t>
      </w:r>
      <w:r w:rsidR="004F09CB" w:rsidRPr="003E431F">
        <w:rPr>
          <w:rStyle w:val="bold"/>
          <w:b w:val="0"/>
          <w:bCs/>
          <w:color w:val="231F20"/>
          <w:bdr w:val="none" w:sz="0" w:space="0" w:color="auto" w:frame="1"/>
        </w:rPr>
        <w:t>8</w:t>
      </w:r>
      <w:r w:rsidRPr="003E431F">
        <w:rPr>
          <w:rStyle w:val="bold"/>
          <w:b w:val="0"/>
          <w:bCs/>
          <w:color w:val="231F20"/>
          <w:bdr w:val="none" w:sz="0" w:space="0" w:color="auto" w:frame="1"/>
        </w:rPr>
        <w:t>.</w:t>
      </w:r>
    </w:p>
    <w:p w:rsidR="009541E0" w:rsidRPr="003E431F" w:rsidRDefault="009541E0" w:rsidP="009541E0">
      <w:pPr>
        <w:pStyle w:val="box455522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color w:val="000000"/>
        </w:rPr>
      </w:pPr>
      <w:r w:rsidRPr="003E431F">
        <w:rPr>
          <w:b/>
          <w:color w:val="000000"/>
        </w:rPr>
        <w:t>POSTUPAK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ZA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IZRADU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GODIŠNJE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BILANCE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ORGANSKIH</w:t>
      </w:r>
      <w:r w:rsidR="00642091" w:rsidRPr="003E431F">
        <w:rPr>
          <w:b/>
          <w:color w:val="000000"/>
        </w:rPr>
        <w:t xml:space="preserve"> </w:t>
      </w:r>
      <w:r w:rsidRPr="003E431F">
        <w:rPr>
          <w:b/>
          <w:color w:val="000000"/>
        </w:rPr>
        <w:t>OTAPALA</w:t>
      </w:r>
    </w:p>
    <w:p w:rsidR="009541E0" w:rsidRPr="003E431F" w:rsidRDefault="00325F5D" w:rsidP="00BE0CFB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textAlignment w:val="baseline"/>
        <w:rPr>
          <w:color w:val="231F20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(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1</w:t>
      </w:r>
      <w:r w:rsidRPr="003E431F">
        <w:rPr>
          <w:rStyle w:val="kurziv"/>
          <w:iCs/>
          <w:color w:val="231F20"/>
          <w:bdr w:val="none" w:sz="0" w:space="0" w:color="auto" w:frame="1"/>
        </w:rPr>
        <w:t>)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Načela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Godišnja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služi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za: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provjeru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ispunjavanja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skladu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člankom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65</w:t>
      </w:r>
      <w:r w:rsidR="009541E0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Uredbe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utvrđivanje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mogućnosti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budućnosti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omogućavanje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obavještavanja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javnosti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potrošnji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ispunjavanju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Uredbe.</w:t>
      </w:r>
    </w:p>
    <w:p w:rsidR="00325F5D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</w:p>
    <w:p w:rsidR="009541E0" w:rsidRPr="003E431F" w:rsidRDefault="00325F5D" w:rsidP="00BE0CFB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textAlignment w:val="baseline"/>
        <w:rPr>
          <w:color w:val="231F20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(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2</w:t>
      </w:r>
      <w:r w:rsidRPr="003E431F">
        <w:rPr>
          <w:rStyle w:val="kurziv"/>
          <w:iCs/>
          <w:color w:val="231F20"/>
          <w:bdr w:val="none" w:sz="0" w:space="0" w:color="auto" w:frame="1"/>
        </w:rPr>
        <w:t>)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Definicije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definicije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okvir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masene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bilance.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Unos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(I):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b/>
          <w:color w:val="231F20"/>
        </w:rPr>
        <w:t>I.1.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njihova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kupljenim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sirovina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procesu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vremenskom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okviru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masena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bilanca.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bojama,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dodacima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(razrjeđivač,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inhibitor),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dodacima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(agens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protiv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pjenjenja),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(pritisak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pare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&gt;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0,01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kPa)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lastRenderedPageBreak/>
        <w:tab/>
      </w:r>
      <w:r w:rsidR="009541E0" w:rsidRPr="003E431F">
        <w:rPr>
          <w:b/>
          <w:color w:val="231F20"/>
        </w:rPr>
        <w:t>I.2.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njihova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regenerirani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ponovno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sirovina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procesu.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(Reciklirano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obračunava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svaki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put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obavljanje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neke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aktivnosti.)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destilacije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kondenzacije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unutar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Obrađeno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njegovi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sastavni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dijelovi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Oporabljeno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ponovno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upotrijebljeno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razrjeđivač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I2.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24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(O):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O1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plinovima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plinovima.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b/>
          <w:color w:val="231F20"/>
        </w:rPr>
        <w:t>O1.1.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Čisti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obuhvaćenom,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pročišćenom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plinu)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plinovi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(uključujući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sobni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zrak)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izvode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hermetički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zatvorenog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stroja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radnog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sastavnog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opreme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smanjivanje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svrhu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obrade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termičkog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naknadnog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spaljivanja,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katalitičkog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naknadnog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spaljivanja,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biofiltra,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uporabom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O1.2.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(obuhvaćen)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bez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obuhvaćenom,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nepročišćenom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plinu)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plinovi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(uključujući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sobni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zrak)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izvode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hermetički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zatvorenog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stroja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radnog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sastavnog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dijela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opreme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smanjivanje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obrađuju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osobito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bave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O1.2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obično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emisijom.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O2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izgubljena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vodi,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čemu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potrebno,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prilikom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O.5.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uzima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obzir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pročišćavanje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takvih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izgubi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adsorpcijsku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odlažu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takvim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slučajevima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protok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O2,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dotična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O6.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O3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nečistoća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talog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organskog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krajnjem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obliku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onečišćujuće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ostatka,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tiskanim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proizvodima,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ljepilima.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O3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toplinski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podešeni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tisak.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O4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zadržavaju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radi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regeneracije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uključuju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prozračivanje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prostorija,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zrak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oslobađa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vanjski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okoliš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kroz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prozore,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vrata,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odzračne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slične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otvore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prozora,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vrata,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ventilacije,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klima-uređaja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O5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i/ili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spojevi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izgubljeni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uslijed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kemijskih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fizikalnih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reakcija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(uključujući,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primjerice,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uništavaju,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spaljivanjem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drugim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postupcima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voda,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zadržavaju,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apsorpcijom,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ukoliko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spadaju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pod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O6,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O7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O8)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uništena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uređaju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pročišćavanje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plina)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uništavanje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oksidacija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termičkom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naknadnom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spaljivanju,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oksidacija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katalitičkom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naknadnom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spaljivanju,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oksidacija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biofiltru,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apsorpcija+spaljivanja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filtru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ugljenom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obično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međufaza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vežu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fizikalne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reakcije,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gube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obradom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voda,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jer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obično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pronađu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druge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obično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O6,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O2.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Primjer: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adsorbira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ugljena.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označava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odlaganja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aktivnog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ugljena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sadržajem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prenosi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(O6).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vezano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putem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desorpcije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O7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ostane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zalihi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O8.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takvim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slučajevima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smatra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međufazom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uračunava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godišnjoj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bilanci.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Drugim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riječima,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obuhvaćen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GBO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prethodno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uvršten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O6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otpadu),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O7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krajnjem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proizvodu)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O8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(oporabljen).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O6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skupljenom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propisno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zbrinuta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otpad)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uništavanje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stare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onečišćeno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zatvorenim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spremnicima,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krpe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zatvorenim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spremnicima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b/>
          <w:color w:val="231F20"/>
        </w:rPr>
        <w:t>O7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prodaju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namijenjena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prodaji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komercijalni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komercijalnim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proizvodima)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skladištenje/prodaja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proizvod).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materijala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premazivanje,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lakova,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tiskarskih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boja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ljepila,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adsorpcijski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oporabljeni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toluen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tiskanje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b/>
          <w:color w:val="231F20"/>
        </w:rPr>
        <w:t>O8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sadržana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pripravcima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regeneriraju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ponovnu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upotrebu,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sirovina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procesu,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spadaju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pod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O7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(oporabljena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nisu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uporabi)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skladištenje/prodaja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destilacije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filtracije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sredstva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čišćenje,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interne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kondenzacije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oporablja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postupkom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adsorpcije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pomoćnom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loženja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(proces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naknadnog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sagorijevanja).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oporabljeno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upotrijebljeno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3007A" w:rsidRPr="003E431F">
        <w:rPr>
          <w:color w:val="231F20"/>
        </w:rPr>
        <w:t>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izlaz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O8,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unos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I2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što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procesu.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b/>
          <w:color w:val="231F20"/>
        </w:rPr>
        <w:tab/>
      </w:r>
      <w:r w:rsidR="009541E0" w:rsidRPr="003E431F">
        <w:rPr>
          <w:b/>
          <w:color w:val="231F20"/>
        </w:rPr>
        <w:t>O9</w:t>
      </w:r>
      <w:r w:rsidRPr="003E431F">
        <w:rPr>
          <w:b/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ispuštena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drugi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način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emisije.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npr.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ispuštanja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slučaju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smetnji,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prolijevanjem.</w:t>
      </w:r>
    </w:p>
    <w:p w:rsidR="00325F5D" w:rsidRPr="003E431F" w:rsidRDefault="00325F5D" w:rsidP="00325F5D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rStyle w:val="kurziv"/>
          <w:iCs/>
          <w:color w:val="231F20"/>
          <w:bdr w:val="none" w:sz="0" w:space="0" w:color="auto" w:frame="1"/>
        </w:rPr>
      </w:pPr>
    </w:p>
    <w:p w:rsidR="009541E0" w:rsidRPr="003E431F" w:rsidRDefault="00325F5D" w:rsidP="00BE0CFB">
      <w:pPr>
        <w:pStyle w:val="box455522"/>
        <w:shd w:val="clear" w:color="auto" w:fill="FFFFFF"/>
        <w:spacing w:before="120" w:beforeAutospacing="0" w:after="120" w:afterAutospacing="0"/>
        <w:textAlignment w:val="baseline"/>
        <w:rPr>
          <w:color w:val="231F20"/>
        </w:rPr>
      </w:pPr>
      <w:r w:rsidRPr="003E431F">
        <w:rPr>
          <w:rStyle w:val="kurziv"/>
          <w:iCs/>
          <w:color w:val="231F20"/>
          <w:bdr w:val="none" w:sz="0" w:space="0" w:color="auto" w:frame="1"/>
        </w:rPr>
        <w:t>(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3</w:t>
      </w:r>
      <w:r w:rsidRPr="003E431F">
        <w:rPr>
          <w:rStyle w:val="kurziv"/>
          <w:iCs/>
          <w:color w:val="231F20"/>
          <w:bdr w:val="none" w:sz="0" w:space="0" w:color="auto" w:frame="1"/>
        </w:rPr>
        <w:t>)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Smjernice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za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izradu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godišnje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bilance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organskih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otapala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za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provjeru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ispunjavanja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zahtjeva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propisanih</w:t>
      </w:r>
      <w:r w:rsidR="00642091" w:rsidRPr="003E431F">
        <w:rPr>
          <w:rStyle w:val="kurziv"/>
          <w:i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kurziv"/>
          <w:iCs/>
          <w:color w:val="231F20"/>
          <w:bdr w:val="none" w:sz="0" w:space="0" w:color="auto" w:frame="1"/>
        </w:rPr>
        <w:t>Uredbom</w:t>
      </w:r>
    </w:p>
    <w:p w:rsidR="009541E0" w:rsidRPr="003E431F" w:rsidRDefault="009541E0" w:rsidP="009541E0">
      <w:pPr>
        <w:pStyle w:val="box455522"/>
        <w:shd w:val="clear" w:color="auto" w:fill="FFFFFF"/>
        <w:spacing w:before="120" w:beforeAutospacing="0" w:after="120" w:afterAutospacing="0"/>
        <w:ind w:firstLine="408"/>
        <w:textAlignment w:val="baseline"/>
        <w:rPr>
          <w:color w:val="231F20"/>
        </w:rPr>
      </w:pPr>
      <w:r w:rsidRPr="003E431F">
        <w:rPr>
          <w:color w:val="231F20"/>
        </w:rPr>
        <w:t>Ovaj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koristi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ovisno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pojedinačnim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treba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sljedeći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način:</w:t>
      </w:r>
    </w:p>
    <w:p w:rsidR="009541E0" w:rsidRPr="003E431F" w:rsidRDefault="009541E0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Provjera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ispunjavanja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smanjivanja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skladu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Prilogom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točkom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jedinici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drukčije,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navedeno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ab/>
      </w:r>
      <w:r w:rsidR="009541E0" w:rsidRPr="003E431F">
        <w:rPr>
          <w:color w:val="231F20"/>
        </w:rPr>
        <w:t>a)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primjenjuje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ovaj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Prilog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potrošnja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(C)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može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jednadžbe:</w:t>
      </w:r>
    </w:p>
    <w:tbl>
      <w:tblPr>
        <w:tblStyle w:val="Reetkatablice"/>
        <w:tblW w:w="0" w:type="auto"/>
        <w:tblInd w:w="3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275"/>
      </w:tblGrid>
      <w:tr w:rsidR="0055648A" w:rsidRPr="003E431F" w:rsidTr="00FE5885">
        <w:trPr>
          <w:trHeight w:val="253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648A" w:rsidRPr="003E431F" w:rsidRDefault="0055648A" w:rsidP="0055648A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C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648A" w:rsidRPr="003E431F" w:rsidRDefault="00642091" w:rsidP="0055648A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 xml:space="preserve"> </w:t>
            </w:r>
            <w:r w:rsidR="0055648A" w:rsidRPr="003E431F">
              <w:rPr>
                <w:color w:val="231F20"/>
              </w:rPr>
              <w:t>I1</w:t>
            </w:r>
            <w:r w:rsidRPr="003E431F">
              <w:rPr>
                <w:color w:val="231F20"/>
              </w:rPr>
              <w:t xml:space="preserve"> </w:t>
            </w:r>
            <w:r w:rsidR="0055648A" w:rsidRPr="003E431F">
              <w:rPr>
                <w:color w:val="231F20"/>
              </w:rPr>
              <w:t>–</w:t>
            </w:r>
            <w:r w:rsidRPr="003E431F">
              <w:rPr>
                <w:color w:val="231F20"/>
              </w:rPr>
              <w:t xml:space="preserve"> </w:t>
            </w:r>
            <w:r w:rsidR="0055648A" w:rsidRPr="003E431F">
              <w:rPr>
                <w:color w:val="231F20"/>
              </w:rPr>
              <w:t>O3</w:t>
            </w:r>
          </w:p>
        </w:tc>
      </w:tr>
    </w:tbl>
    <w:p w:rsidR="009541E0" w:rsidRPr="003E431F" w:rsidRDefault="009541E0" w:rsidP="00325F5D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istovremeno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pokrenuti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krutih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tvari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upotrijebljenih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premazima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izvela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referentna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ciljna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svaku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godinu.</w:t>
      </w:r>
    </w:p>
    <w:p w:rsidR="009541E0" w:rsidRPr="003E431F" w:rsidRDefault="00325F5D" w:rsidP="00325F5D">
      <w:pPr>
        <w:pStyle w:val="box455522"/>
        <w:shd w:val="clear" w:color="auto" w:fill="FFFFFF"/>
        <w:tabs>
          <w:tab w:val="left" w:pos="993"/>
        </w:tabs>
        <w:spacing w:before="120" w:beforeAutospacing="0" w:after="0" w:afterAutospacing="0"/>
        <w:ind w:firstLine="708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b)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procjenu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ispunjavanja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ukupnu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iskazanu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jedinici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drugačije,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određeno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Prilogu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5</w:t>
      </w:r>
      <w:r w:rsidR="009541E0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točki</w:t>
      </w:r>
      <w:r w:rsidR="00642091" w:rsidRPr="003E431F">
        <w:rPr>
          <w:color w:val="231F20"/>
        </w:rPr>
        <w:t xml:space="preserve"> </w:t>
      </w:r>
      <w:r w:rsidR="00CF5132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Uredbe,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plan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postupanja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trebao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pripremati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utvrdile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(E).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jednadžbe:</w:t>
      </w:r>
    </w:p>
    <w:tbl>
      <w:tblPr>
        <w:tblStyle w:val="Reetkatablice"/>
        <w:tblW w:w="0" w:type="auto"/>
        <w:tblInd w:w="3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275"/>
      </w:tblGrid>
      <w:tr w:rsidR="00FE5885" w:rsidRPr="003E431F" w:rsidTr="00B30608">
        <w:trPr>
          <w:trHeight w:val="253"/>
        </w:trPr>
        <w:tc>
          <w:tcPr>
            <w:tcW w:w="42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FE5885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E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642091" w:rsidP="00A44373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 xml:space="preserve"> </w:t>
            </w:r>
            <w:r w:rsidR="00FE5885" w:rsidRPr="003E431F">
              <w:rPr>
                <w:color w:val="231F20"/>
              </w:rPr>
              <w:t>F</w:t>
            </w:r>
            <w:r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Pr="003E431F">
              <w:rPr>
                <w:color w:val="231F20"/>
              </w:rPr>
              <w:t xml:space="preserve"> </w:t>
            </w:r>
            <w:r w:rsidR="00FE5885" w:rsidRPr="003E431F">
              <w:rPr>
                <w:color w:val="231F20"/>
              </w:rPr>
              <w:t>O1</w:t>
            </w:r>
          </w:p>
        </w:tc>
      </w:tr>
    </w:tbl>
    <w:p w:rsidR="009541E0" w:rsidRPr="003E431F" w:rsidRDefault="009541E0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gdje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prema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definiciji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5.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Iznos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treba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zatim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podijeliti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odgovarajućim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parametrom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proizvoda.</w:t>
      </w:r>
    </w:p>
    <w:p w:rsidR="009541E0" w:rsidRPr="003E431F" w:rsidRDefault="0031060E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c)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procjenu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ispunjavanja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zahtjeva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članka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67</w:t>
      </w:r>
      <w:r w:rsidR="009541E0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Uredbe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godišnja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bilanca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organskih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priprema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utvrdile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svih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radi,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taj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iznos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potom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uspoređuje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ukupnim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emisijama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postigle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svaka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pojedinačna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aktivnost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ispunjavala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zahtjeve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5</w:t>
      </w:r>
      <w:r w:rsidR="009541E0"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Uredbe.</w:t>
      </w:r>
    </w:p>
    <w:p w:rsidR="0031060E" w:rsidRPr="003E431F" w:rsidRDefault="0031060E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</w:p>
    <w:p w:rsidR="009541E0" w:rsidRPr="003E431F" w:rsidRDefault="009541E0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2.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Utvrđivanje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uspoređuju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Priloga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5</w:t>
      </w:r>
      <w:r w:rsidRPr="003E431F">
        <w:rPr>
          <w:color w:val="231F20"/>
        </w:rPr>
        <w:t>.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točke</w:t>
      </w:r>
      <w:r w:rsidR="00642091" w:rsidRPr="003E431F">
        <w:rPr>
          <w:color w:val="231F20"/>
        </w:rPr>
        <w:t xml:space="preserve"> </w:t>
      </w:r>
      <w:r w:rsidR="00795EB9" w:rsidRPr="003E431F">
        <w:rPr>
          <w:color w:val="231F20"/>
        </w:rPr>
        <w:t>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ove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Uredbe:</w:t>
      </w:r>
    </w:p>
    <w:p w:rsidR="009541E0" w:rsidRPr="003E431F" w:rsidRDefault="0031060E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a)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Metodologija</w:t>
      </w:r>
    </w:p>
    <w:p w:rsidR="009541E0" w:rsidRPr="003E431F" w:rsidRDefault="0031060E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1)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postrojenja:</w:t>
      </w:r>
    </w:p>
    <w:p w:rsidR="009541E0" w:rsidRPr="003E431F" w:rsidRDefault="0031060E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toplinski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podešeni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tisak,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obavljaju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ostale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aktivnosti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tiskanja,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završnu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obradu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(lakiranje),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cestovnih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vozačkih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kabina,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komercijalnih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tračnih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(potrošnja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≤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15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t/god.),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zavojnica,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ostalih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metalnih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plastičnih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drveta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drvnih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materijala,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filmova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papirnih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nanošenje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ljepila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(adhezivi)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fugitivne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izračunavaju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način:</w:t>
      </w:r>
    </w:p>
    <w:p w:rsidR="009541E0" w:rsidRPr="003E431F" w:rsidRDefault="009541E0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Neizravna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</w:p>
    <w:p w:rsidR="009541E0" w:rsidRPr="003E431F" w:rsidRDefault="009541E0" w:rsidP="0031060E">
      <w:pPr>
        <w:pStyle w:val="box455522"/>
        <w:shd w:val="clear" w:color="auto" w:fill="FFFFFF"/>
        <w:tabs>
          <w:tab w:val="left" w:pos="993"/>
        </w:tabs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Uz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obuhvaćenih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nepročišćenih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</w:p>
    <w:tbl>
      <w:tblPr>
        <w:tblStyle w:val="Reetkatablice"/>
        <w:tblW w:w="0" w:type="auto"/>
        <w:tblInd w:w="2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3686"/>
      </w:tblGrid>
      <w:tr w:rsidR="00FE5885" w:rsidRPr="003E431F" w:rsidTr="00FE5885">
        <w:trPr>
          <w:trHeight w:val="239"/>
        </w:trPr>
        <w:tc>
          <w:tcPr>
            <w:tcW w:w="3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FE5885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FE5885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I1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O1.1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O8</w:t>
            </w:r>
          </w:p>
        </w:tc>
      </w:tr>
    </w:tbl>
    <w:p w:rsidR="009541E0" w:rsidRPr="003E431F" w:rsidRDefault="009541E0" w:rsidP="009541E0">
      <w:pPr>
        <w:pStyle w:val="box455522"/>
        <w:shd w:val="clear" w:color="auto" w:fill="FFFFFF"/>
        <w:spacing w:before="120" w:beforeAutospacing="0" w:after="120" w:afterAutospacing="0"/>
        <w:ind w:firstLine="408"/>
        <w:textAlignment w:val="baseline"/>
        <w:rPr>
          <w:color w:val="231F20"/>
        </w:rPr>
      </w:pPr>
      <w:r w:rsidRPr="003E431F">
        <w:rPr>
          <w:color w:val="231F20"/>
        </w:rPr>
        <w:t>Izravna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</w:p>
    <w:tbl>
      <w:tblPr>
        <w:tblStyle w:val="Reetkatablice"/>
        <w:tblW w:w="0" w:type="auto"/>
        <w:tblInd w:w="2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753"/>
      </w:tblGrid>
      <w:tr w:rsidR="00FE5885" w:rsidRPr="003E431F" w:rsidTr="00E0498E">
        <w:trPr>
          <w:trHeight w:val="237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B30608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3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FE5885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O1.2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O2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O3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O4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O9</w:t>
            </w:r>
          </w:p>
        </w:tc>
      </w:tr>
    </w:tbl>
    <w:p w:rsidR="009541E0" w:rsidRPr="003E431F" w:rsidRDefault="009541E0" w:rsidP="009541E0">
      <w:pPr>
        <w:pStyle w:val="box455522"/>
        <w:shd w:val="clear" w:color="auto" w:fill="FFFFFF"/>
        <w:spacing w:before="120" w:beforeAutospacing="0" w:after="120" w:afterAutospacing="0"/>
        <w:ind w:firstLine="408"/>
        <w:textAlignment w:val="baseline"/>
        <w:rPr>
          <w:color w:val="231F20"/>
        </w:rPr>
      </w:pP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(t/god)</w:t>
      </w:r>
    </w:p>
    <w:tbl>
      <w:tblPr>
        <w:tblStyle w:val="Reetkatablice"/>
        <w:tblW w:w="76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7229"/>
      </w:tblGrid>
      <w:tr w:rsidR="00FE5885" w:rsidRPr="003E431F" w:rsidTr="004D766C">
        <w:trPr>
          <w:trHeight w:val="178"/>
          <w:jc w:val="center"/>
        </w:trPr>
        <w:tc>
          <w:tcPr>
            <w:tcW w:w="4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B30608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722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E5885" w:rsidRPr="003E431F" w:rsidRDefault="00FE5885" w:rsidP="004D766C">
            <w:pPr>
              <w:pStyle w:val="box455522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O1.1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O1.1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</w:t>
            </w:r>
            <w:r w:rsidR="00A44373" w:rsidRPr="003E431F">
              <w:rPr>
                <w:color w:val="231F20"/>
              </w:rPr>
              <w:t>8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O</w:t>
            </w:r>
            <w:r w:rsidRPr="003E431F">
              <w:rPr>
                <w:color w:val="231F20"/>
              </w:rPr>
              <w:t>1.1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=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I1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A44373" w:rsidRPr="003E431F">
              <w:rPr>
                <w:color w:val="231F20"/>
              </w:rPr>
              <w:t>O8</w:t>
            </w:r>
          </w:p>
        </w:tc>
      </w:tr>
    </w:tbl>
    <w:p w:rsidR="0031060E" w:rsidRPr="003E431F" w:rsidRDefault="0031060E" w:rsidP="009541E0">
      <w:pPr>
        <w:pStyle w:val="box455522"/>
        <w:shd w:val="clear" w:color="auto" w:fill="FFFFFF"/>
        <w:spacing w:before="120" w:beforeAutospacing="0" w:after="120" w:afterAutospacing="0"/>
        <w:ind w:firstLine="408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9541E0" w:rsidRPr="003E431F" w:rsidRDefault="00E0498E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rStyle w:val="bold"/>
          <w:b/>
          <w:bCs/>
          <w:color w:val="231F20"/>
          <w:bdr w:val="none" w:sz="0" w:space="0" w:color="auto" w:frame="1"/>
        </w:rPr>
        <w:t>Bilanca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otapala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iz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Priloga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Pr="003E431F">
        <w:rPr>
          <w:rStyle w:val="bold"/>
          <w:b/>
          <w:bCs/>
          <w:color w:val="231F20"/>
          <w:bdr w:val="none" w:sz="0" w:space="0" w:color="auto" w:frame="1"/>
        </w:rPr>
        <w:t>8</w:t>
      </w:r>
      <w:r w:rsidR="009541E0" w:rsidRPr="003E431F">
        <w:rPr>
          <w:rStyle w:val="bold"/>
          <w:b/>
          <w:bCs/>
          <w:color w:val="231F20"/>
          <w:bdr w:val="none" w:sz="0" w:space="0" w:color="auto" w:frame="1"/>
        </w:rPr>
        <w:t>.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bold"/>
          <w:b/>
          <w:bCs/>
          <w:color w:val="231F20"/>
          <w:bdr w:val="none" w:sz="0" w:space="0" w:color="auto" w:frame="1"/>
        </w:rPr>
        <w:t>ove</w:t>
      </w:r>
      <w:r w:rsidR="00642091" w:rsidRPr="003E431F">
        <w:rPr>
          <w:rStyle w:val="bold"/>
          <w:b/>
          <w:bCs/>
          <w:color w:val="231F20"/>
          <w:bdr w:val="none" w:sz="0" w:space="0" w:color="auto" w:frame="1"/>
        </w:rPr>
        <w:t xml:space="preserve"> </w:t>
      </w:r>
      <w:r w:rsidR="009541E0" w:rsidRPr="003E431F">
        <w:rPr>
          <w:rStyle w:val="bold"/>
          <w:b/>
          <w:bCs/>
          <w:color w:val="231F20"/>
          <w:bdr w:val="none" w:sz="0" w:space="0" w:color="auto" w:frame="1"/>
        </w:rPr>
        <w:t>Uredbe</w:t>
      </w:r>
    </w:p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Izračun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godišnje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ispusta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(O1.1.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obuhvaćeni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pročišćeni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plin)</w:t>
      </w:r>
    </w:p>
    <w:tbl>
      <w:tblPr>
        <w:tblStyle w:val="Reetkatablice"/>
        <w:tblW w:w="8347" w:type="dxa"/>
        <w:tblInd w:w="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7115"/>
      </w:tblGrid>
      <w:tr w:rsidR="00E0498E" w:rsidRPr="003E431F" w:rsidTr="00E0498E">
        <w:trPr>
          <w:trHeight w:val="195"/>
        </w:trPr>
        <w:tc>
          <w:tcPr>
            <w:tcW w:w="6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31060E">
            <w:pPr>
              <w:pStyle w:val="box455522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O1.1=</w:t>
            </w:r>
          </w:p>
        </w:tc>
        <w:tc>
          <w:tcPr>
            <w:tcW w:w="7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31060E">
            <w:pPr>
              <w:pStyle w:val="box455522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Broj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pogonskih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sati/godinu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(24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sata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x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broj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dana/godini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rada)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x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emisijski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maseni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protok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(g/h)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x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faktor</w:t>
            </w:r>
            <w:r w:rsidR="00642091" w:rsidRPr="003E431F">
              <w:rPr>
                <w:color w:val="231F20"/>
              </w:rPr>
              <w:t xml:space="preserve"> </w:t>
            </w:r>
            <w:r w:rsidR="00BD7357" w:rsidRPr="003E431F">
              <w:rPr>
                <w:color w:val="231F20"/>
              </w:rPr>
              <w:t>preračunavanja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ukupnog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ugljika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C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na</w:t>
            </w:r>
            <w:r w:rsidR="00642091" w:rsidRPr="003E431F">
              <w:rPr>
                <w:color w:val="231F20"/>
              </w:rPr>
              <w:t xml:space="preserve"> </w:t>
            </w:r>
            <w:r w:rsidR="00BD7357" w:rsidRPr="003E431F">
              <w:rPr>
                <w:color w:val="231F20"/>
              </w:rPr>
              <w:t>molekularnu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težinu</w:t>
            </w:r>
          </w:p>
        </w:tc>
      </w:tr>
    </w:tbl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lastRenderedPageBreak/>
        <w:t>Izračun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O5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=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količina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HOS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uništena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pročišćavanjem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otpadnog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plina</w:t>
      </w:r>
    </w:p>
    <w:tbl>
      <w:tblPr>
        <w:tblStyle w:val="Reetkatablice"/>
        <w:tblW w:w="0" w:type="auto"/>
        <w:tblInd w:w="2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016"/>
      </w:tblGrid>
      <w:tr w:rsidR="00A44373" w:rsidRPr="003E431F" w:rsidTr="00E0498E">
        <w:trPr>
          <w:trHeight w:val="413"/>
        </w:trPr>
        <w:tc>
          <w:tcPr>
            <w:tcW w:w="48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373" w:rsidRPr="003E431F" w:rsidRDefault="00A44373" w:rsidP="00A44373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O5=</w:t>
            </w:r>
          </w:p>
        </w:tc>
        <w:tc>
          <w:tcPr>
            <w:tcW w:w="40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4373" w:rsidRPr="003E431F" w:rsidRDefault="00A44373" w:rsidP="00E0498E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│O1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÷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(1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stupanj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učinkovitosti)│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-</w:t>
            </w:r>
            <w:r w:rsidR="00642091" w:rsidRPr="003E431F">
              <w:rPr>
                <w:color w:val="231F20"/>
              </w:rPr>
              <w:t xml:space="preserve"> </w:t>
            </w:r>
            <w:r w:rsidR="00E0498E" w:rsidRPr="003E431F">
              <w:rPr>
                <w:color w:val="231F20"/>
              </w:rPr>
              <w:t>O1</w:t>
            </w:r>
          </w:p>
        </w:tc>
      </w:tr>
    </w:tbl>
    <w:p w:rsidR="009541E0" w:rsidRPr="003E431F" w:rsidRDefault="00AB196B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2)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postrojenja:</w:t>
      </w:r>
    </w:p>
    <w:p w:rsidR="009541E0" w:rsidRPr="003E431F" w:rsidRDefault="00AB196B" w:rsidP="0031060E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ab/>
      </w:r>
      <w:r w:rsidR="009541E0" w:rsidRPr="003E431F">
        <w:rPr>
          <w:color w:val="231F20"/>
        </w:rPr>
        <w:t>–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postrojenja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rotogravuru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izdavaštvu,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površinsko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čišćenje,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kemijsko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čišćenje,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cestovnih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vozačkih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kabina,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komercijalnih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tračnih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vozila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(potrošnja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15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t/god.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više),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površinsku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zaštitu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žičanih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navoja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fenol,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krezol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ksilenol,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površinsku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zaštitu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žičanih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navoja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druge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tiskanje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tekstila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kože,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premazivanje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kože,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impregnaciju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drvenih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površina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koriste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zaštitna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sredstva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koja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sadrže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otapalo,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drvenih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plastičnih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laminata,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obuće,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ljepila,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tinte,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boje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drugih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premaza,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zaštitnih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sredstava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drvo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ili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građevine,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gumenih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smjesa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od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gume,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ekstrakciju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biljnog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ulja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životinjske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masti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rafinaciju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biljnog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ulja,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za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proizvodnju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farmaceutskih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proizvoda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fugitivne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izračunavaju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sljedeći</w:t>
      </w:r>
      <w:r w:rsidR="00642091" w:rsidRPr="003E431F">
        <w:rPr>
          <w:color w:val="231F20"/>
        </w:rPr>
        <w:t xml:space="preserve"> </w:t>
      </w:r>
      <w:r w:rsidR="009541E0" w:rsidRPr="003E431F">
        <w:rPr>
          <w:color w:val="231F20"/>
        </w:rPr>
        <w:t>način:</w:t>
      </w:r>
    </w:p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Neizravna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</w:p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Bez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razvrstavanja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obuhvaćenih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nepročišćenih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otpadnih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plinova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difuzne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753"/>
      </w:tblGrid>
      <w:tr w:rsidR="00E0498E" w:rsidRPr="003E431F" w:rsidTr="0031060E">
        <w:trPr>
          <w:trHeight w:val="237"/>
          <w:jc w:val="center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B30608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3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E0498E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I1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O8</w:t>
            </w:r>
          </w:p>
        </w:tc>
      </w:tr>
    </w:tbl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Izravna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metoda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753"/>
      </w:tblGrid>
      <w:tr w:rsidR="00E0498E" w:rsidRPr="003E431F" w:rsidTr="0031060E">
        <w:trPr>
          <w:trHeight w:val="237"/>
          <w:jc w:val="center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B30608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37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E0498E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O2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O3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O4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O9</w:t>
            </w:r>
          </w:p>
        </w:tc>
      </w:tr>
    </w:tbl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(t/god)</w:t>
      </w:r>
    </w:p>
    <w:tbl>
      <w:tblPr>
        <w:tblStyle w:val="Reetkatablice"/>
        <w:tblW w:w="71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6797"/>
      </w:tblGrid>
      <w:tr w:rsidR="00E0498E" w:rsidRPr="003E431F" w:rsidTr="004D766C">
        <w:trPr>
          <w:trHeight w:val="237"/>
          <w:jc w:val="center"/>
        </w:trPr>
        <w:tc>
          <w:tcPr>
            <w:tcW w:w="3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E0498E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E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6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498E" w:rsidRPr="003E431F" w:rsidRDefault="00E0498E" w:rsidP="004D766C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+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O1I1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O8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+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I1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O5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O6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="004D766C" w:rsidRPr="003E431F">
              <w:rPr>
                <w:color w:val="231F20"/>
              </w:rPr>
              <w:t>O7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–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O</w:t>
            </w:r>
            <w:r w:rsidR="004D766C" w:rsidRPr="003E431F">
              <w:rPr>
                <w:color w:val="231F20"/>
              </w:rPr>
              <w:t>8</w:t>
            </w:r>
          </w:p>
        </w:tc>
      </w:tr>
    </w:tbl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Udovoljavanje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graničnim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vrijednostima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potvrđuje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temelju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omjera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između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fugitivnih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(F)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ukupne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potrošnje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otapala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(I1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+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I2)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koji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izračunava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pomoću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sljedeće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jednadžbe: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527"/>
      </w:tblGrid>
      <w:tr w:rsidR="004D766C" w:rsidRPr="003E431F" w:rsidTr="0031060E">
        <w:trPr>
          <w:trHeight w:val="237"/>
          <w:jc w:val="center"/>
        </w:trPr>
        <w:tc>
          <w:tcPr>
            <w:tcW w:w="8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766C" w:rsidRPr="003E431F" w:rsidRDefault="004D766C" w:rsidP="004D766C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X(%)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=</w:t>
            </w:r>
          </w:p>
        </w:tc>
        <w:tc>
          <w:tcPr>
            <w:tcW w:w="35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766C" w:rsidRPr="003E431F" w:rsidRDefault="004D766C" w:rsidP="004D766C">
            <w:pPr>
              <w:pStyle w:val="box455522"/>
              <w:spacing w:before="0" w:beforeAutospacing="0" w:after="0" w:afterAutospacing="0"/>
              <w:jc w:val="both"/>
              <w:textAlignment w:val="baseline"/>
              <w:rPr>
                <w:color w:val="231F20"/>
              </w:rPr>
            </w:pPr>
            <w:r w:rsidRPr="003E431F">
              <w:rPr>
                <w:color w:val="231F20"/>
              </w:rPr>
              <w:t>F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x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100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/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(I1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+</w:t>
            </w:r>
            <w:r w:rsidR="00642091" w:rsidRPr="003E431F">
              <w:rPr>
                <w:color w:val="231F20"/>
              </w:rPr>
              <w:t xml:space="preserve"> </w:t>
            </w:r>
            <w:r w:rsidRPr="003E431F">
              <w:rPr>
                <w:color w:val="231F20"/>
              </w:rPr>
              <w:t>I2)</w:t>
            </w:r>
          </w:p>
        </w:tc>
      </w:tr>
    </w:tbl>
    <w:p w:rsidR="00FB3007" w:rsidRPr="003E431F" w:rsidRDefault="00FB3007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</w:p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textAlignment w:val="baseline"/>
        <w:rPr>
          <w:color w:val="231F20"/>
        </w:rPr>
      </w:pPr>
      <w:r w:rsidRPr="003E431F">
        <w:rPr>
          <w:color w:val="231F20"/>
        </w:rPr>
        <w:t>b)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Učestalost</w:t>
      </w:r>
    </w:p>
    <w:p w:rsidR="009541E0" w:rsidRPr="003E431F" w:rsidRDefault="009541E0" w:rsidP="0031060E">
      <w:pPr>
        <w:pStyle w:val="box45552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231F20"/>
        </w:rPr>
      </w:pPr>
      <w:r w:rsidRPr="003E431F">
        <w:rPr>
          <w:color w:val="231F20"/>
        </w:rPr>
        <w:t>Fugitivne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emisije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mogu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utvrditi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kratkim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ali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sveobuhvatnim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nizom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mjerenja.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Postupak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potrebno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ponavljati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dok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ne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dođe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do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modifikacije</w:t>
      </w:r>
      <w:r w:rsidR="00642091" w:rsidRPr="003E431F">
        <w:rPr>
          <w:color w:val="231F20"/>
        </w:rPr>
        <w:t xml:space="preserve"> </w:t>
      </w:r>
      <w:r w:rsidRPr="003E431F">
        <w:rPr>
          <w:color w:val="231F20"/>
        </w:rPr>
        <w:t>opreme.</w:t>
      </w:r>
    </w:p>
    <w:p w:rsidR="00E579E6" w:rsidRPr="003E431F" w:rsidRDefault="00E579E6" w:rsidP="00795EB9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000BF3" w:rsidRPr="003E431F" w:rsidRDefault="00000BF3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="004F09CB" w:rsidRPr="003E431F">
        <w:rPr>
          <w:rFonts w:eastAsia="Times New Roman"/>
          <w:bdr w:val="none" w:sz="0" w:space="0" w:color="auto" w:frame="1"/>
          <w:lang w:eastAsia="hr-HR"/>
        </w:rPr>
        <w:t>9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000BF3" w:rsidRPr="003E431F" w:rsidRDefault="00000BF3" w:rsidP="00000BF3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REGISTAR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TURBINA</w:t>
      </w: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260"/>
      </w:tblGrid>
      <w:tr w:rsidR="00000BF3" w:rsidRPr="003E431F" w:rsidTr="00000BF3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Obrazac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REG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Uredba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graničnim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vrijednostima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nepokretnih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izvora</w:t>
            </w: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zahtjeva*: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upisa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Registar:*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Operater:</w:t>
            </w: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Matični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subjekta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(MBS),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(MBO)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i/ili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(grad,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ulica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Telefon: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Telefaks: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e-pošta: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[MW]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(zaokružiti):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DIZELSKI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TURBINA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_______________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_______________</w:t>
            </w: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udio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upotrebljavanih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(zaokružiti)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_____%</w:t>
            </w: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početka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(ukoliko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nepoznat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priložiti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dokaz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započeo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prosinca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2018.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godine)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Sektor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okviru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kojeg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upotrebljava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(šifra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djelatnosti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prema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NKD-u):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godišnjih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sati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Prosječno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korišteno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opterećenje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Korištenje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izuzeća**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_______________</w:t>
            </w:r>
          </w:p>
          <w:p w:rsidR="00000BF3" w:rsidRPr="003E431F" w:rsidRDefault="00000BF3" w:rsidP="00000B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</w:t>
            </w:r>
            <w:r w:rsidR="00426253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NE</w:t>
            </w:r>
          </w:p>
        </w:tc>
      </w:tr>
      <w:tr w:rsidR="00000BF3" w:rsidRPr="003E431F" w:rsidTr="00000BF3">
        <w:tc>
          <w:tcPr>
            <w:tcW w:w="9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nalazi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loženje)</w:t>
            </w: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(grad,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ulica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Telefon: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Telefaks: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e-pošta: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Izmjena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srednjem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mogla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utjecati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granične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emisija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(godina,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kratki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opis)***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00BF3" w:rsidRPr="003E431F" w:rsidTr="00000BF3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Osoba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odgovorna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točnost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podataka: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00BF3" w:rsidRPr="003E431F" w:rsidRDefault="00000BF3" w:rsidP="00000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Potpis:</w:t>
            </w:r>
          </w:p>
        </w:tc>
      </w:tr>
    </w:tbl>
    <w:p w:rsidR="00000BF3" w:rsidRPr="003E431F" w:rsidRDefault="00000BF3" w:rsidP="00000BF3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000BF3" w:rsidRPr="003E431F" w:rsidRDefault="00000BF3" w:rsidP="00795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*)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Popunjava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A13D65" w:rsidRPr="003E431F">
        <w:rPr>
          <w:rFonts w:ascii="Times New Roman" w:eastAsia="Times New Roman" w:hAnsi="Times New Roman" w:cs="Times New Roman"/>
          <w:color w:val="231F20"/>
          <w:lang w:eastAsia="hr-HR"/>
        </w:rPr>
        <w:t>Ministarstvo</w:t>
      </w:r>
    </w:p>
    <w:p w:rsidR="00000BF3" w:rsidRPr="003E431F" w:rsidRDefault="00000BF3" w:rsidP="00795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**)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korištenja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izuzeća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potrebno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označiti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članak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isto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ukoliko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određenog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dostaviti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potpisanu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izjavu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izuzeće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odnosi.</w:t>
      </w:r>
    </w:p>
    <w:p w:rsidR="00000BF3" w:rsidRPr="003E431F" w:rsidRDefault="00000BF3" w:rsidP="00795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***)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prijaviti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planiranu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izmjenu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srednjem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datum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kratki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opis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izmjene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unose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Registar.</w:t>
      </w:r>
    </w:p>
    <w:p w:rsidR="007534DE" w:rsidRPr="003E431F" w:rsidRDefault="007534DE" w:rsidP="00795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55CA9" w:rsidRPr="003E431F" w:rsidRDefault="00255CA9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10.</w:t>
      </w:r>
    </w:p>
    <w:p w:rsidR="00255CA9" w:rsidRPr="003E431F" w:rsidRDefault="00255CA9" w:rsidP="00255CA9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</w:p>
    <w:p w:rsidR="00255CA9" w:rsidRPr="003E431F" w:rsidRDefault="00255CA9" w:rsidP="00265E27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vrtložno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3908"/>
      </w:tblGrid>
      <w:tr w:rsidR="00255CA9" w:rsidRPr="003E431F" w:rsidTr="00255CA9">
        <w:trPr>
          <w:trHeight w:hRule="exact" w:val="397"/>
        </w:trPr>
        <w:tc>
          <w:tcPr>
            <w:tcW w:w="5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Zacrnjenje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dimnjaka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255CA9" w:rsidRPr="003E431F" w:rsidRDefault="00255CA9" w:rsidP="00255CA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265E27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4093"/>
      </w:tblGrid>
      <w:tr w:rsidR="00255CA9" w:rsidRPr="003E431F" w:rsidTr="00255CA9">
        <w:trPr>
          <w:trHeight w:hRule="exact" w:val="397"/>
        </w:trPr>
        <w:tc>
          <w:tcPr>
            <w:tcW w:w="4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175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55CA9" w:rsidRPr="003E431F" w:rsidTr="00255CA9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  <w:p w:rsidR="00255CA9" w:rsidRPr="003E431F" w:rsidRDefault="00255CA9" w:rsidP="00255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</w:tr>
    </w:tbl>
    <w:p w:rsidR="00255CA9" w:rsidRPr="003E431F" w:rsidRDefault="00255CA9" w:rsidP="00255CA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265E27">
      <w:pPr>
        <w:shd w:val="clear" w:color="auto" w:fill="FFFFFF"/>
        <w:spacing w:after="48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male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150"/>
      </w:tblGrid>
      <w:tr w:rsidR="00255CA9" w:rsidRPr="003E431F" w:rsidTr="00255CA9">
        <w:trPr>
          <w:trHeight w:val="223"/>
        </w:trPr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</w:p>
        </w:tc>
      </w:tr>
      <w:tr w:rsidR="00255CA9" w:rsidRPr="003E431F" w:rsidTr="00255CA9">
        <w:trPr>
          <w:trHeight w:val="2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</w:tr>
      <w:tr w:rsidR="00255CA9" w:rsidRPr="003E431F" w:rsidTr="00255CA9">
        <w:trPr>
          <w:trHeight w:val="2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55CA9" w:rsidRPr="003E431F" w:rsidTr="00255CA9">
        <w:trPr>
          <w:trHeight w:val="2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255CA9" w:rsidRPr="003E431F" w:rsidRDefault="00255CA9" w:rsidP="00255CA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lastRenderedPageBreak/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11.</w:t>
      </w:r>
    </w:p>
    <w:p w:rsidR="00255CA9" w:rsidRPr="003E431F" w:rsidRDefault="00255CA9" w:rsidP="00255CA9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TURBINE</w:t>
      </w:r>
    </w:p>
    <w:p w:rsidR="00255CA9" w:rsidRPr="003E431F" w:rsidRDefault="00255CA9" w:rsidP="00265E27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</w:p>
    <w:tbl>
      <w:tblPr>
        <w:tblW w:w="89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208"/>
        <w:gridCol w:w="1217"/>
        <w:gridCol w:w="969"/>
        <w:gridCol w:w="1460"/>
        <w:gridCol w:w="836"/>
        <w:gridCol w:w="1732"/>
      </w:tblGrid>
      <w:tr w:rsidR="00255CA9" w:rsidRPr="003E431F" w:rsidTr="00255CA9">
        <w:trPr>
          <w:trHeight w:hRule="exact" w:val="851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(4)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(7)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 xml:space="preserve"> </w:t>
            </w:r>
            <w:r w:rsidR="00F0425D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255CA9" w:rsidRPr="003E431F" w:rsidRDefault="00255CA9" w:rsidP="00255CA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drvna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biomasa.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MIS-a.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koksnih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visokih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čelika.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bioplin.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teško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između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0,2%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0,3%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360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teško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sadrži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0,2%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MIS-a.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255CA9" w:rsidRPr="003E431F" w:rsidRDefault="00255CA9" w:rsidP="001F579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(8)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F0425D" w:rsidRPr="003E431F" w:rsidRDefault="00F0425D" w:rsidP="001F579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(9)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biomasa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glavno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zonama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kvaliteta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kategorije.</w:t>
      </w:r>
    </w:p>
    <w:p w:rsidR="00265E27" w:rsidRPr="003E431F" w:rsidRDefault="00265E27" w:rsidP="001F579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55CA9" w:rsidRPr="003E431F" w:rsidRDefault="00255CA9" w:rsidP="00265E27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</w:p>
    <w:tbl>
      <w:tblPr>
        <w:tblW w:w="89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589"/>
        <w:gridCol w:w="1446"/>
        <w:gridCol w:w="1451"/>
        <w:gridCol w:w="1148"/>
        <w:gridCol w:w="1746"/>
      </w:tblGrid>
      <w:tr w:rsidR="00255CA9" w:rsidRPr="003E431F" w:rsidTr="00255CA9">
        <w:trPr>
          <w:trHeight w:hRule="exact" w:val="851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srednjeg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(1)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</w:tr>
      <w:tr w:rsidR="00255CA9" w:rsidRPr="003E431F" w:rsidTr="00255CA9">
        <w:trPr>
          <w:trHeight w:hRule="exact" w:val="3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255CA9" w:rsidRPr="003E431F" w:rsidRDefault="00255CA9" w:rsidP="00255CA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bioplin.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70%.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MIS-a.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7534DE" w:rsidRPr="003E431F" w:rsidRDefault="007534DE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255CA9" w:rsidRPr="003E431F" w:rsidRDefault="00255CA9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lastRenderedPageBreak/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="0013131B" w:rsidRPr="003E431F">
        <w:rPr>
          <w:rFonts w:eastAsia="Times New Roman"/>
          <w:bdr w:val="none" w:sz="0" w:space="0" w:color="auto" w:frame="1"/>
          <w:lang w:eastAsia="hr-HR"/>
        </w:rPr>
        <w:t>12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255CA9" w:rsidRPr="003E431F" w:rsidRDefault="00255CA9" w:rsidP="0013131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TURBINE</w:t>
      </w:r>
    </w:p>
    <w:p w:rsidR="00255CA9" w:rsidRPr="003E431F" w:rsidRDefault="00255CA9" w:rsidP="00265E27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255CA9" w:rsidRPr="003E431F" w:rsidRDefault="00265E27" w:rsidP="00265E27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vrtložno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drvo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89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331"/>
      </w:tblGrid>
      <w:tr w:rsidR="00255CA9" w:rsidRPr="003E431F" w:rsidTr="00141DC2">
        <w:trPr>
          <w:trHeight w:hRule="exact" w:val="340"/>
        </w:trPr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13131B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3131B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(mg/m</w:t>
            </w:r>
            <w:r w:rsidR="0013131B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13131B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13131B" w:rsidRPr="003E431F" w:rsidRDefault="0013131B" w:rsidP="0083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4737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 xml:space="preserve"> </w:t>
            </w:r>
            <w:r w:rsidR="009C08EE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(2)</w:t>
            </w:r>
            <w:r w:rsidR="00F0425D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(4)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9C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4737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</w:t>
            </w:r>
            <w:r w:rsidR="009C08EE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834737"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)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3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255CA9" w:rsidRPr="003E431F" w:rsidTr="00141DC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834737" w:rsidRPr="003E431F" w:rsidRDefault="00255CA9" w:rsidP="008347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255CA9" w:rsidRPr="003E431F" w:rsidRDefault="00255CA9" w:rsidP="008347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Vrtložno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izgaranje: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</w:tbl>
    <w:p w:rsidR="007B5CA4" w:rsidRPr="003E431F" w:rsidRDefault="00642091" w:rsidP="00141DC2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34737"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(1)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75E3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postojeće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426253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/ili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plinske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4901A8" w:rsidRPr="003E431F">
        <w:rPr>
          <w:rFonts w:ascii="Times New Roman" w:eastAsia="Times New Roman" w:hAnsi="Times New Roman" w:cs="Times New Roman"/>
          <w:color w:val="231F20"/>
          <w:lang w:eastAsia="hr-HR"/>
        </w:rPr>
        <w:t>turbine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rade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godišnje,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izraženo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petogodišnji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pomični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prosjek,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odnosno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1000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okolnostima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proizvodnje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rezervne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energije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povezanim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otocima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i/ili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proizvodnj</w:t>
      </w:r>
      <w:r w:rsidR="00834737" w:rsidRPr="003E431F">
        <w:rPr>
          <w:rFonts w:ascii="Times New Roman" w:eastAsia="Times New Roman" w:hAnsi="Times New Roman" w:cs="Times New Roman"/>
          <w:color w:val="231F20"/>
          <w:lang w:eastAsia="hr-HR"/>
        </w:rPr>
        <w:t>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topline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slučajevima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iznimno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hladnih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vremenskih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uvjeta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krute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čestice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200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B5CA4"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="007B5CA4"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</w:p>
    <w:p w:rsidR="004901A8" w:rsidRPr="003E431F" w:rsidRDefault="00834737" w:rsidP="00141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426253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godišnje,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petogodišnji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9C08EE"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="009C08EE"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</w:p>
    <w:p w:rsidR="009C08EE" w:rsidRPr="003E431F" w:rsidRDefault="009C08EE" w:rsidP="00141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korisne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proizvedene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uređaju,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petogodišnji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prosjek,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isporučeno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vruće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vode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javnoj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mreži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isporuku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426253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1100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</w:p>
    <w:p w:rsidR="009C08EE" w:rsidRPr="003E431F" w:rsidRDefault="00F0425D" w:rsidP="00141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i/ili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smješteni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zonama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kvaliteta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kategorije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D7357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150</w:t>
      </w:r>
      <w:r w:rsidR="00642091" w:rsidRPr="003E431F">
        <w:rPr>
          <w:rFonts w:ascii="Times New Roman" w:hAnsi="Times New Roman" w:cs="Times New Roman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</w:p>
    <w:p w:rsidR="00283C46" w:rsidRPr="003E431F" w:rsidRDefault="00283C46" w:rsidP="00141D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65E27" w:rsidP="00265E27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8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4303"/>
      </w:tblGrid>
      <w:tr w:rsidR="00255CA9" w:rsidRPr="003E431F" w:rsidTr="00141DC2">
        <w:trPr>
          <w:trHeight w:hRule="exact" w:val="340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13131B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175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55CA9" w:rsidRPr="003E431F" w:rsidTr="00141DC2">
        <w:trPr>
          <w:trHeight w:hRule="exact" w:val="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255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  <w:p w:rsidR="00255CA9" w:rsidRPr="003E431F" w:rsidRDefault="00255CA9" w:rsidP="00255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283C46" w:rsidRPr="003E431F" w:rsidRDefault="00265E27" w:rsidP="00265E27">
      <w:pPr>
        <w:shd w:val="clear" w:color="auto" w:fill="FFFFFF"/>
        <w:tabs>
          <w:tab w:val="left" w:pos="993"/>
        </w:tabs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</w:p>
    <w:p w:rsidR="00255CA9" w:rsidRPr="003E431F" w:rsidRDefault="00283C46" w:rsidP="00265E27">
      <w:pPr>
        <w:shd w:val="clear" w:color="auto" w:fill="FFFFFF"/>
        <w:tabs>
          <w:tab w:val="left" w:pos="993"/>
        </w:tabs>
        <w:spacing w:before="24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3%,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89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296"/>
      </w:tblGrid>
      <w:tr w:rsidR="00255CA9" w:rsidRPr="003E431F" w:rsidTr="00141DC2">
        <w:trPr>
          <w:trHeight w:hRule="exact" w:val="340"/>
        </w:trPr>
        <w:tc>
          <w:tcPr>
            <w:tcW w:w="4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13131B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DE0691" w:rsidRPr="003E431F" w:rsidRDefault="00DE0691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55CA9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255CA9" w:rsidRPr="003E431F" w:rsidRDefault="00283C46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</w:p>
    <w:tbl>
      <w:tblPr>
        <w:tblW w:w="91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04"/>
        <w:gridCol w:w="1276"/>
        <w:gridCol w:w="1134"/>
        <w:gridCol w:w="1275"/>
        <w:gridCol w:w="1276"/>
        <w:gridCol w:w="1604"/>
      </w:tblGrid>
      <w:tr w:rsidR="00255CA9" w:rsidRPr="003E431F" w:rsidTr="00141DC2">
        <w:trPr>
          <w:trHeight w:hRule="exact" w:val="826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255CA9" w:rsidRPr="003E431F" w:rsidTr="00141DC2">
        <w:trPr>
          <w:trHeight w:hRule="exact" w:val="3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(1)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</w:p>
        </w:tc>
      </w:tr>
      <w:tr w:rsidR="00255CA9" w:rsidRPr="003E431F" w:rsidTr="00141DC2">
        <w:trPr>
          <w:trHeight w:hRule="exact" w:val="3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</w:tr>
      <w:tr w:rsidR="00255CA9" w:rsidRPr="003E431F" w:rsidTr="00141DC2">
        <w:trPr>
          <w:trHeight w:hRule="exact" w:val="3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131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255CA9" w:rsidRPr="003E431F" w:rsidRDefault="00255CA9" w:rsidP="001F5790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13131B" w:rsidRPr="003E431F">
        <w:rPr>
          <w:rFonts w:ascii="Times New Roman" w:eastAsia="Times New Roman" w:hAnsi="Times New Roman" w:cs="Times New Roman"/>
          <w:color w:val="231F20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13131B" w:rsidRPr="003E431F">
        <w:rPr>
          <w:rFonts w:ascii="Times New Roman" w:eastAsia="Times New Roman" w:hAnsi="Times New Roman" w:cs="Times New Roman"/>
          <w:color w:val="231F20"/>
          <w:lang w:eastAsia="hr-HR"/>
        </w:rPr>
        <w:t>drvna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13131B" w:rsidRPr="003E431F">
        <w:rPr>
          <w:rFonts w:ascii="Times New Roman" w:eastAsia="Times New Roman" w:hAnsi="Times New Roman" w:cs="Times New Roman"/>
          <w:color w:val="231F20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13131B" w:rsidRPr="003E431F">
        <w:rPr>
          <w:rFonts w:ascii="Times New Roman" w:eastAsia="Times New Roman" w:hAnsi="Times New Roman" w:cs="Times New Roman"/>
          <w:color w:val="231F20"/>
          <w:lang w:eastAsia="hr-HR"/>
        </w:rPr>
        <w:t>biomasa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slama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koksnih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čelika</w:t>
      </w:r>
    </w:p>
    <w:p w:rsidR="00283C46" w:rsidRPr="003E431F" w:rsidRDefault="00283C46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</w:p>
    <w:p w:rsidR="00255CA9" w:rsidRPr="003E431F" w:rsidRDefault="00283C46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</w:p>
    <w:tbl>
      <w:tblPr>
        <w:tblW w:w="90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34"/>
        <w:gridCol w:w="1276"/>
        <w:gridCol w:w="1134"/>
        <w:gridCol w:w="1275"/>
        <w:gridCol w:w="1276"/>
        <w:gridCol w:w="1587"/>
      </w:tblGrid>
      <w:tr w:rsidR="00255CA9" w:rsidRPr="003E431F" w:rsidTr="00141DC2">
        <w:trPr>
          <w:trHeight w:hRule="exact" w:val="85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(4)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(5)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(6)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255CA9" w:rsidRPr="003E431F" w:rsidRDefault="00255CA9" w:rsidP="001F5790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isključivo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drvna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biomasa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slama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850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upotrebljava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teško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loživo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ulje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koksnih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visokih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industrij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čelika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170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bioplin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11"/>
          <w:szCs w:val="11"/>
          <w:bdr w:val="none" w:sz="0" w:space="0" w:color="auto" w:frame="1"/>
          <w:vertAlign w:val="superscript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sz w:val="15"/>
          <w:szCs w:val="15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6"/>
          <w:szCs w:val="16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</w:p>
    <w:p w:rsidR="00283C46" w:rsidRPr="003E431F" w:rsidRDefault="00283C46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255CA9" w:rsidRPr="003E431F" w:rsidRDefault="00283C46" w:rsidP="00283C46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255CA9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255CA9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</w:p>
    <w:tbl>
      <w:tblPr>
        <w:tblW w:w="91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708"/>
        <w:gridCol w:w="1370"/>
        <w:gridCol w:w="1494"/>
        <w:gridCol w:w="1262"/>
        <w:gridCol w:w="1728"/>
      </w:tblGrid>
      <w:tr w:rsidR="00255CA9" w:rsidRPr="003E431F" w:rsidTr="00141DC2">
        <w:trPr>
          <w:trHeight w:hRule="exact" w:val="851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srednjeg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loženje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(2)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255CA9" w:rsidRPr="003E431F" w:rsidTr="00141DC2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255CA9" w:rsidRPr="003E431F" w:rsidRDefault="00255CA9" w:rsidP="00845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255CA9" w:rsidRPr="003E431F" w:rsidRDefault="00255CA9" w:rsidP="001F5790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60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bioplin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130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koksnih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65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visokih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čelika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70%</w:t>
      </w:r>
    </w:p>
    <w:p w:rsidR="00255CA9" w:rsidRPr="003E431F" w:rsidRDefault="00255CA9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45BA2"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</w:p>
    <w:p w:rsidR="00C60427" w:rsidRPr="003E431F" w:rsidRDefault="00C60427" w:rsidP="001D0F7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1D0F7F" w:rsidRPr="003E431F" w:rsidRDefault="001D0F7F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454339" w:rsidRPr="003E431F">
        <w:rPr>
          <w:rFonts w:eastAsia="Times New Roman"/>
          <w:bdr w:val="none" w:sz="0" w:space="0" w:color="auto" w:frame="1"/>
          <w:lang w:eastAsia="hr-HR"/>
        </w:rPr>
        <w:t>3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1D0F7F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</w:p>
    <w:p w:rsidR="001D0F7F" w:rsidRPr="003E431F" w:rsidRDefault="001D0F7F" w:rsidP="00454339">
      <w:pPr>
        <w:shd w:val="clear" w:color="auto" w:fill="FFFFFF"/>
        <w:spacing w:before="240" w:after="12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2127"/>
        <w:gridCol w:w="1134"/>
        <w:gridCol w:w="2400"/>
      </w:tblGrid>
      <w:tr w:rsidR="001D0F7F" w:rsidRPr="003E431F" w:rsidTr="00454339">
        <w:trPr>
          <w:trHeight w:hRule="exact" w:val="851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Treset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4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41DC2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</w:tr>
      <w:tr w:rsidR="001D0F7F" w:rsidRPr="003E431F" w:rsidTr="00454339">
        <w:trPr>
          <w:trHeight w:hRule="exact" w:val="851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sloju</w:t>
            </w:r>
          </w:p>
        </w:tc>
      </w:tr>
      <w:tr w:rsidR="001D0F7F" w:rsidRPr="003E431F" w:rsidTr="00454339">
        <w:trPr>
          <w:trHeight w:hRule="exact" w:val="1134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cirkulirajućem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cirkulirajućem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sloju</w:t>
            </w:r>
          </w:p>
        </w:tc>
      </w:tr>
      <w:tr w:rsidR="001D0F7F" w:rsidRPr="003E431F" w:rsidTr="00454339">
        <w:trPr>
          <w:trHeight w:hRule="exact" w:val="851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prahu</w:t>
            </w:r>
          </w:p>
        </w:tc>
        <w:tc>
          <w:tcPr>
            <w:tcW w:w="3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3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1D0F7F" w:rsidRPr="003E431F" w:rsidTr="00454339">
        <w:trPr>
          <w:trHeight w:hRule="exact" w:val="851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prahu</w:t>
            </w:r>
          </w:p>
        </w:tc>
        <w:tc>
          <w:tcPr>
            <w:tcW w:w="3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1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3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</w:tr>
    </w:tbl>
    <w:p w:rsidR="00DE0691" w:rsidRPr="003E431F" w:rsidRDefault="00DE0691" w:rsidP="00454339">
      <w:pPr>
        <w:shd w:val="clear" w:color="auto" w:fill="FFFFFF"/>
        <w:spacing w:before="240" w:after="12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DE0691">
      <w:pPr>
        <w:shd w:val="clear" w:color="auto" w:fill="FFFFFF"/>
        <w:spacing w:before="24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4318"/>
        <w:gridCol w:w="1667"/>
      </w:tblGrid>
      <w:tr w:rsidR="001D0F7F" w:rsidRPr="003E431F" w:rsidTr="00454339">
        <w:trPr>
          <w:trHeight w:hRule="exact" w:val="624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</w:tr>
      <w:tr w:rsidR="001D0F7F" w:rsidRPr="003E431F" w:rsidTr="00454339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</w:tr>
    </w:tbl>
    <w:p w:rsidR="00454339" w:rsidRPr="003E431F" w:rsidRDefault="00454339" w:rsidP="00454339">
      <w:pPr>
        <w:shd w:val="clear" w:color="auto" w:fill="FFFFFF"/>
        <w:spacing w:before="120" w:after="12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A87E6A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8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4"/>
        <w:gridCol w:w="5266"/>
        <w:gridCol w:w="1088"/>
      </w:tblGrid>
      <w:tr w:rsidR="001D0F7F" w:rsidRPr="003E431F" w:rsidTr="00141DC2">
        <w:trPr>
          <w:trHeight w:hRule="exact" w:val="343"/>
        </w:trPr>
        <w:tc>
          <w:tcPr>
            <w:tcW w:w="2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Općenito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ukapljeni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niskokalorični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koksne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niskokalorični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6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  <w:tc>
          <w:tcPr>
            <w:tcW w:w="6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Općenito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  <w:tr w:rsidR="001D0F7F" w:rsidRPr="003E431F" w:rsidTr="00141DC2">
        <w:trPr>
          <w:trHeight w:hRule="exact" w:val="3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</w:tr>
      <w:tr w:rsidR="001D0F7F" w:rsidRPr="003E431F" w:rsidTr="00141DC2">
        <w:trPr>
          <w:trHeight w:hRule="exact" w:val="61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čelika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može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drugdje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koristiti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</w:tr>
    </w:tbl>
    <w:p w:rsidR="001D0F7F" w:rsidRPr="003E431F" w:rsidRDefault="001D0F7F" w:rsidP="001D0F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454339" w:rsidRPr="003E431F">
        <w:rPr>
          <w:rFonts w:eastAsia="Times New Roman"/>
          <w:bdr w:val="none" w:sz="0" w:space="0" w:color="auto" w:frame="1"/>
          <w:lang w:eastAsia="hr-HR"/>
        </w:rPr>
        <w:t>4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454339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</w:p>
    <w:p w:rsidR="001D0F7F" w:rsidRPr="003E431F" w:rsidRDefault="001D0F7F" w:rsidP="00A42E53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2027"/>
        <w:gridCol w:w="1588"/>
        <w:gridCol w:w="1813"/>
        <w:gridCol w:w="1825"/>
      </w:tblGrid>
      <w:tr w:rsidR="001D0F7F" w:rsidRPr="003E431F" w:rsidTr="005C17B6">
        <w:trPr>
          <w:trHeight w:hRule="exact" w:val="660"/>
        </w:trPr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(MWt)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Treset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</w:tr>
      <w:tr w:rsidR="001D0F7F" w:rsidRPr="003E431F" w:rsidTr="005C17B6">
        <w:trPr>
          <w:trHeight w:hRule="exact" w:val="3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350</w:t>
            </w:r>
          </w:p>
        </w:tc>
      </w:tr>
      <w:tr w:rsidR="001D0F7F" w:rsidRPr="003E431F" w:rsidTr="005C17B6">
        <w:trPr>
          <w:trHeight w:hRule="exact" w:val="3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</w:tr>
      <w:tr w:rsidR="001D0F7F" w:rsidRPr="003E431F" w:rsidTr="005C17B6">
        <w:trPr>
          <w:trHeight w:hRule="exact" w:val="35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45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</w:tbl>
    <w:p w:rsidR="00592A3E" w:rsidRPr="003E431F" w:rsidRDefault="00592A3E" w:rsidP="005C17B6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:rsidR="001D0F7F" w:rsidRPr="003E431F" w:rsidRDefault="001D0F7F" w:rsidP="00592A3E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</w:p>
    <w:p w:rsidR="001D0F7F" w:rsidRPr="003E431F" w:rsidRDefault="001D0F7F" w:rsidP="00592A3E">
      <w:pPr>
        <w:shd w:val="clear" w:color="auto" w:fill="FFFFFF"/>
        <w:tabs>
          <w:tab w:val="left" w:pos="993"/>
        </w:tabs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odvojenih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4923"/>
        <w:gridCol w:w="1250"/>
      </w:tblGrid>
      <w:tr w:rsidR="001D0F7F" w:rsidRPr="003E431F" w:rsidTr="005C17B6">
        <w:trPr>
          <w:trHeight w:hRule="exact" w:val="310"/>
        </w:trPr>
        <w:tc>
          <w:tcPr>
            <w:tcW w:w="2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općenito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</w:tr>
      <w:tr w:rsidR="001D0F7F" w:rsidRPr="003E431F" w:rsidTr="005C17B6">
        <w:trPr>
          <w:trHeight w:hRule="exact" w:val="3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ukapljeni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  <w:tr w:rsidR="001D0F7F" w:rsidRPr="003E431F" w:rsidTr="005C17B6">
        <w:trPr>
          <w:trHeight w:hRule="exact" w:val="3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niskokalorični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koksne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1D0F7F" w:rsidRPr="003E431F" w:rsidTr="005C17B6">
        <w:trPr>
          <w:trHeight w:hRule="exact" w:val="3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niskokalorični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</w:tbl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uplinjavanja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preradbenih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ostataka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rafinerije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4133"/>
        <w:gridCol w:w="1553"/>
        <w:gridCol w:w="1272"/>
      </w:tblGrid>
      <w:tr w:rsidR="001D0F7F" w:rsidRPr="003E431F" w:rsidTr="005C17B6">
        <w:trPr>
          <w:trHeight w:hRule="exact" w:val="567"/>
        </w:trPr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C17B6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(MWt)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treset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</w:tr>
      <w:tr w:rsidR="001D0F7F" w:rsidRPr="003E431F" w:rsidTr="005C17B6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prahu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450</w:t>
            </w:r>
          </w:p>
        </w:tc>
      </w:tr>
      <w:tr w:rsidR="001D0F7F" w:rsidRPr="003E431F" w:rsidTr="005C17B6">
        <w:trPr>
          <w:trHeight w:hRule="exact" w:val="3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</w:tr>
      <w:tr w:rsidR="001D0F7F" w:rsidRPr="003E431F" w:rsidTr="005C17B6">
        <w:trPr>
          <w:trHeight w:hRule="exact" w:val="30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</w:tr>
    </w:tbl>
    <w:p w:rsidR="001D0F7F" w:rsidRPr="003E431F" w:rsidRDefault="001D0F7F" w:rsidP="005C17B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lastRenderedPageBreak/>
        <w:t>1/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destilacijskih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preradbenih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ostataka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prerade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sirove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vlastitu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potrošnju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postojećim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(8)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kemijskim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ostatke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nekomercijalno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vlastitu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potrošnju,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(9)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(10)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odvojenih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9.,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5262"/>
        <w:gridCol w:w="1350"/>
      </w:tblGrid>
      <w:tr w:rsidR="001D0F7F" w:rsidRPr="003E431F" w:rsidTr="005C17B6">
        <w:trPr>
          <w:trHeight w:hRule="exact" w:val="34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1D0F7F" w:rsidRPr="003E431F" w:rsidTr="005C17B6">
        <w:trPr>
          <w:trHeight w:hRule="exact" w:val="851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peći,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koksne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niskokalorični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uplinjavanja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preradbenih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ostataka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rafinerije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</w:tr>
      <w:tr w:rsidR="001D0F7F" w:rsidRPr="003E431F" w:rsidTr="005C17B6">
        <w:trPr>
          <w:trHeight w:hRule="exact" w:val="340"/>
        </w:trPr>
        <w:tc>
          <w:tcPr>
            <w:tcW w:w="2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</w:tr>
      <w:tr w:rsidR="001D0F7F" w:rsidRPr="003E431F" w:rsidTr="005C17B6">
        <w:trPr>
          <w:trHeight w:hRule="exact" w:val="34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1D0F7F" w:rsidRPr="003E431F" w:rsidRDefault="001D0F7F" w:rsidP="005C17B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1/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prelazi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3220"/>
        <w:gridCol w:w="1896"/>
        <w:gridCol w:w="1241"/>
      </w:tblGrid>
      <w:tr w:rsidR="001D0F7F" w:rsidRPr="003E431F" w:rsidTr="005C17B6">
        <w:trPr>
          <w:trHeight w:hRule="exact" w:val="567"/>
        </w:trPr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C17B6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(MWt)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lignit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Biomasa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treset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goriva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</w:tr>
      <w:tr w:rsidR="001D0F7F" w:rsidRPr="003E431F" w:rsidTr="005C17B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</w:tr>
      <w:tr w:rsidR="001D0F7F" w:rsidRPr="003E431F" w:rsidTr="005C17B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</w:t>
            </w:r>
          </w:p>
        </w:tc>
      </w:tr>
      <w:tr w:rsidR="001D0F7F" w:rsidRPr="003E431F" w:rsidTr="005C17B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D9026D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5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</w:tr>
    </w:tbl>
    <w:p w:rsidR="001D0F7F" w:rsidRPr="003E431F" w:rsidRDefault="001D0F7F" w:rsidP="008F49D4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1/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destilacijskih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preradbenih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ostataka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prerade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sirove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nafte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vlastitu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potrošnju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postojećim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pušten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(15)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6036"/>
        <w:gridCol w:w="1123"/>
      </w:tblGrid>
      <w:tr w:rsidR="001D0F7F" w:rsidRPr="003E431F" w:rsidTr="008F49D4">
        <w:trPr>
          <w:trHeight w:hRule="exact" w:val="340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Općenito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čelika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može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drugdje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koristiti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</w:tr>
    </w:tbl>
    <w:p w:rsidR="001D0F7F" w:rsidRPr="003E431F" w:rsidRDefault="001D0F7F" w:rsidP="001D0F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F49D4" w:rsidRPr="003E431F" w:rsidRDefault="008F49D4" w:rsidP="001D0F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bdr w:val="none" w:sz="0" w:space="0" w:color="auto" w:frame="1"/>
          <w:lang w:eastAsia="hr-HR"/>
        </w:rPr>
      </w:pPr>
    </w:p>
    <w:p w:rsidR="001D0F7F" w:rsidRPr="003E431F" w:rsidRDefault="001D0F7F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8F49D4" w:rsidRPr="003E431F">
        <w:rPr>
          <w:rFonts w:eastAsia="Times New Roman"/>
          <w:bdr w:val="none" w:sz="0" w:space="0" w:color="auto" w:frame="1"/>
          <w:lang w:eastAsia="hr-HR"/>
        </w:rPr>
        <w:t>5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8F49D4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SRPNJA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1987.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GODINE</w:t>
      </w: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biomase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2208"/>
        <w:gridCol w:w="3638"/>
      </w:tblGrid>
      <w:tr w:rsidR="001D0F7F" w:rsidRPr="003E431F" w:rsidTr="008F49D4">
        <w:trPr>
          <w:trHeight w:hRule="exact" w:val="567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8F49D4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F49D4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F49D4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</w:tr>
      <w:tr w:rsidR="001D0F7F" w:rsidRPr="003E431F" w:rsidTr="008F49D4">
        <w:trPr>
          <w:trHeight w:hRule="exact" w:val="8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642091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(linearni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pad)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1D0F7F" w:rsidRPr="003E431F" w:rsidTr="008F49D4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</w:tr>
      <w:tr w:rsidR="001D0F7F" w:rsidRPr="003E431F" w:rsidTr="008F49D4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F49D4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250</w:t>
            </w:r>
          </w:p>
        </w:tc>
      </w:tr>
    </w:tbl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5"/>
        <w:gridCol w:w="1917"/>
        <w:gridCol w:w="3440"/>
      </w:tblGrid>
      <w:tr w:rsidR="001D0F7F" w:rsidRPr="003E431F" w:rsidTr="008F49D4">
        <w:trPr>
          <w:trHeight w:hRule="exact" w:val="567"/>
        </w:trPr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8F49D4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F49D4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</w:tr>
      <w:tr w:rsidR="001D0F7F" w:rsidRPr="003E431F" w:rsidTr="008F49D4">
        <w:trPr>
          <w:trHeight w:hRule="exact" w:val="8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(linearni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pad)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1D0F7F" w:rsidRPr="003E431F" w:rsidTr="008F49D4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8F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175</w:t>
            </w:r>
          </w:p>
        </w:tc>
      </w:tr>
    </w:tbl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čestica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pepela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0,06%.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3"/>
        <w:gridCol w:w="1388"/>
        <w:gridCol w:w="5243"/>
      </w:tblGrid>
      <w:tr w:rsidR="001D0F7F" w:rsidRPr="003E431F" w:rsidTr="008F49D4">
        <w:trPr>
          <w:trHeight w:hRule="exact" w:val="624"/>
        </w:trPr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</w:tr>
      <w:tr w:rsidR="001D0F7F" w:rsidRPr="003E431F" w:rsidTr="008F49D4">
        <w:trPr>
          <w:trHeight w:hRule="exact" w:val="13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ukapljeni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plin)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niskoenergetski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isplinjavanjem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rafinerijskog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ostatka)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isplinjavanjem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ugljena)</w:t>
            </w:r>
          </w:p>
        </w:tc>
      </w:tr>
      <w:tr w:rsidR="001D0F7F" w:rsidRPr="003E431F" w:rsidTr="008F49D4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1D0F7F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</w:p>
        </w:tc>
      </w:tr>
      <w:tr w:rsidR="001D0F7F" w:rsidRPr="003E431F" w:rsidTr="008F49D4">
        <w:trPr>
          <w:trHeight w:hRule="exact" w:val="8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peći)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čelika)</w:t>
            </w:r>
          </w:p>
        </w:tc>
      </w:tr>
      <w:tr w:rsidR="001D0F7F" w:rsidRPr="003E431F" w:rsidTr="008F49D4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7534DE" w:rsidRPr="003E431F" w:rsidRDefault="007534DE" w:rsidP="00325E4B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325E4B" w:rsidRPr="003E431F" w:rsidRDefault="00325E4B" w:rsidP="00B64E1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  <w:lang w:eastAsia="hr-HR"/>
        </w:rPr>
      </w:pPr>
    </w:p>
    <w:p w:rsidR="001D0F7F" w:rsidRPr="003E431F" w:rsidRDefault="001D0F7F" w:rsidP="00325E4B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lastRenderedPageBreak/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B64E15" w:rsidRPr="003E431F">
        <w:rPr>
          <w:rFonts w:eastAsia="Times New Roman"/>
          <w:bdr w:val="none" w:sz="0" w:space="0" w:color="auto" w:frame="1"/>
          <w:lang w:eastAsia="hr-HR"/>
        </w:rPr>
        <w:t>6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B64E1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TURBINE</w:t>
      </w: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(CCGT),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lake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destilate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5"/>
        <w:gridCol w:w="1549"/>
      </w:tblGrid>
      <w:tr w:rsidR="001D0F7F" w:rsidRPr="003E431F" w:rsidTr="00B64E15">
        <w:trPr>
          <w:trHeight w:val="243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B6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</w:tc>
      </w:tr>
      <w:tr w:rsidR="001D0F7F" w:rsidRPr="003E431F" w:rsidTr="00B64E15">
        <w:trPr>
          <w:trHeight w:val="231"/>
        </w:trPr>
        <w:tc>
          <w:tcPr>
            <w:tcW w:w="7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B6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1D0F7F" w:rsidRPr="003E431F" w:rsidRDefault="001D0F7F" w:rsidP="001D0F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after="48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1855"/>
        <w:gridCol w:w="1551"/>
      </w:tblGrid>
      <w:tr w:rsidR="001D0F7F" w:rsidRPr="003E431F" w:rsidTr="00B64E15">
        <w:trPr>
          <w:trHeight w:val="16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Postrojenje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</w:tr>
      <w:tr w:rsidR="001D0F7F" w:rsidRPr="003E431F" w:rsidTr="00B64E15">
        <w:trPr>
          <w:trHeight w:val="163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(uključujući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CCGT),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koriste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B64E15" w:rsidRPr="003E431F" w:rsidRDefault="00B64E15" w:rsidP="00B64E1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ciklusom,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učinka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35%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utvrđeno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NOx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50xη/35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η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iskorištenja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utvrđen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normama,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izražen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postotak.</w:t>
      </w:r>
    </w:p>
    <w:p w:rsidR="00592A3E" w:rsidRPr="003E431F" w:rsidRDefault="00592A3E" w:rsidP="00B64E15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ciklusom,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70%.</w:t>
      </w:r>
    </w:p>
    <w:p w:rsidR="00592A3E" w:rsidRPr="003E431F" w:rsidRDefault="00592A3E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592A3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hitne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voditi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evidenciju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broju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</w:p>
    <w:p w:rsidR="007534DE" w:rsidRPr="003E431F" w:rsidRDefault="007534DE" w:rsidP="00B64E15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88012E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690B77" w:rsidRPr="003E431F">
        <w:rPr>
          <w:rFonts w:eastAsia="Times New Roman"/>
          <w:bdr w:val="none" w:sz="0" w:space="0" w:color="auto" w:frame="1"/>
          <w:lang w:eastAsia="hr-HR"/>
        </w:rPr>
        <w:t>7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B64E15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TURBINE</w:t>
      </w:r>
    </w:p>
    <w:p w:rsidR="001D0F7F" w:rsidRPr="003E431F" w:rsidRDefault="001D0F7F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ciklusom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(CCGT)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podnesen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1984"/>
        <w:gridCol w:w="3972"/>
      </w:tblGrid>
      <w:tr w:rsidR="001D0F7F" w:rsidRPr="003E431F" w:rsidTr="00757F89">
        <w:trPr>
          <w:trHeight w:hRule="exact" w:val="56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B64E15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57F89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</w:tr>
      <w:tr w:rsidR="00690B77" w:rsidRPr="003E431F" w:rsidTr="00757F89">
        <w:trPr>
          <w:trHeight w:hRule="exact" w:val="62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čestice: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</w:tr>
      <w:tr w:rsidR="00690B77" w:rsidRPr="003E431F" w:rsidTr="00757F89">
        <w:trPr>
          <w:trHeight w:hRule="exact" w:val="567"/>
        </w:trPr>
        <w:tc>
          <w:tcPr>
            <w:tcW w:w="3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visoke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peći)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čelika)</w:t>
            </w:r>
          </w:p>
        </w:tc>
      </w:tr>
      <w:tr w:rsidR="001D0F7F" w:rsidRPr="003E431F" w:rsidTr="00757F89">
        <w:trPr>
          <w:trHeight w:val="2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  <w:tr w:rsidR="00690B77" w:rsidRPr="003E431F" w:rsidTr="00757F89">
        <w:trPr>
          <w:trHeight w:hRule="exact" w:val="108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690B77" w:rsidRPr="003E431F" w:rsidRDefault="00D9026D" w:rsidP="00D902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690B77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0B77" w:rsidRPr="003E431F" w:rsidRDefault="00690B77" w:rsidP="004262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1700</w:t>
            </w:r>
          </w:p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(linearni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pad)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</w:p>
        </w:tc>
      </w:tr>
      <w:tr w:rsidR="00690B77" w:rsidRPr="003E431F" w:rsidTr="00757F89">
        <w:trPr>
          <w:trHeight w:hRule="exact" w:val="1455"/>
        </w:trPr>
        <w:tc>
          <w:tcPr>
            <w:tcW w:w="3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ukapljeni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plin)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niskoenergetski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isplinjavanjem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rafinerijskog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ostatka)</w:t>
            </w:r>
          </w:p>
          <w:p w:rsidR="00690B77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nastao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isplinjavanjem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ugljena)</w:t>
            </w:r>
          </w:p>
        </w:tc>
      </w:tr>
      <w:tr w:rsidR="001D0F7F" w:rsidRPr="003E431F" w:rsidTr="00757F89">
        <w:trPr>
          <w:trHeight w:hRule="exact" w:val="85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690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(kod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opterećenja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većeg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70%):</w:t>
            </w:r>
          </w:p>
          <w:p w:rsidR="001D0F7F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57F89" w:rsidRPr="003E431F" w:rsidRDefault="00757F89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90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690B77" w:rsidRPr="003E431F" w:rsidTr="00757F89">
        <w:trPr>
          <w:trHeight w:hRule="exact" w:val="597"/>
        </w:trPr>
        <w:tc>
          <w:tcPr>
            <w:tcW w:w="311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F89" w:rsidRPr="003E431F" w:rsidRDefault="00690B77" w:rsidP="00690B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690B77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plina)</w:t>
            </w:r>
          </w:p>
        </w:tc>
        <w:tc>
          <w:tcPr>
            <w:tcW w:w="19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757F89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</w:tr>
      <w:tr w:rsidR="00690B77" w:rsidRPr="003E431F" w:rsidTr="00757F89">
        <w:trPr>
          <w:trHeight w:hRule="exact" w:val="340"/>
        </w:trPr>
        <w:tc>
          <w:tcPr>
            <w:tcW w:w="3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1/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9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0B77" w:rsidRPr="003E431F" w:rsidRDefault="00690B77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</w:t>
            </w:r>
            <w:r w:rsidRPr="003E431F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2/3</w:t>
            </w:r>
          </w:p>
        </w:tc>
      </w:tr>
    </w:tbl>
    <w:p w:rsidR="001D0F7F" w:rsidRPr="003E431F" w:rsidRDefault="001D0F7F" w:rsidP="0074388C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1/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metan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volumnog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udjela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inertnih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drugih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sastavnih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dijelova.</w:t>
      </w:r>
    </w:p>
    <w:p w:rsidR="001D0F7F" w:rsidRPr="003E431F" w:rsidRDefault="001D0F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2/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slučajevima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djelovanja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utvrđen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temeljnog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standardima:</w:t>
      </w:r>
    </w:p>
    <w:p w:rsidR="001D0F7F" w:rsidRPr="003E431F" w:rsidRDefault="001D0F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kombiniranim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sustavima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djelovanja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75%</w:t>
      </w:r>
    </w:p>
    <w:p w:rsidR="001D0F7F" w:rsidRPr="003E431F" w:rsidRDefault="001D0F7F" w:rsidP="001F57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mehaničke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pogone</w:t>
      </w:r>
    </w:p>
    <w:p w:rsidR="001D0F7F" w:rsidRPr="003E431F" w:rsidRDefault="001D0F7F" w:rsidP="00743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kombiniranom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ciklusu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proizvodnje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ukupan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djelovanja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55%.</w:t>
      </w:r>
    </w:p>
    <w:p w:rsidR="001D0F7F" w:rsidRPr="003E431F" w:rsidRDefault="001D0F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3/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ciklusom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spadaju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kategorija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napomenom,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učinka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većeg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35%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utvrđeno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normama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50xη/35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η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stupanj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iskorištenja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turbine,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utvrđen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sukladno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uvjetima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ISO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normama,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izražen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postotak.</w:t>
      </w:r>
    </w:p>
    <w:p w:rsidR="00F16942" w:rsidRPr="003E431F" w:rsidRDefault="00F169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opterećenja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70%.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CCGT)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tekuća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(uključujući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CCGT)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plinovita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pet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prirodni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mg/m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ispuštaju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odvojenih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zajednički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dimnjak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pomični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primjenjivati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kroz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cijevi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hitne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slučajeve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evidentirati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utrošene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sate.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operater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podnio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najkasnije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studenoga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2003.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</w:p>
    <w:p w:rsidR="007534DE" w:rsidRPr="003E431F" w:rsidRDefault="007534DE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651"/>
      </w:tblGrid>
      <w:tr w:rsidR="001D0F7F" w:rsidRPr="003E431F" w:rsidTr="00757F89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čestice:</w:t>
            </w:r>
          </w:p>
          <w:p w:rsidR="001D0F7F" w:rsidRPr="003E431F" w:rsidRDefault="001D0F7F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="00757F89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57F89" w:rsidRPr="003E431F" w:rsidRDefault="00757F89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</w:tr>
      <w:tr w:rsidR="00757F89" w:rsidRPr="003E431F" w:rsidTr="00757F89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F89" w:rsidRPr="003E431F" w:rsidRDefault="00757F89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puštanju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</w:tr>
      <w:tr w:rsidR="001D0F7F" w:rsidRPr="003E431F" w:rsidTr="00757F89"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1D0F7F" w:rsidRPr="003E431F" w:rsidTr="00757F89">
        <w:trPr>
          <w:trHeight w:val="488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  <w:p w:rsidR="001D0F7F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uobičajeno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1%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sumpora</w:t>
            </w:r>
          </w:p>
        </w:tc>
      </w:tr>
      <w:tr w:rsidR="00757F89" w:rsidRPr="003E431F" w:rsidTr="00B07558">
        <w:trPr>
          <w:trHeight w:val="837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</w:p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</w:t>
            </w:r>
          </w:p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  <w:p w:rsidR="00757F89" w:rsidRPr="003E431F" w:rsidRDefault="00757F89" w:rsidP="00757F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1D0F7F" w:rsidRPr="003E431F" w:rsidTr="00B07558">
        <w:trPr>
          <w:trHeight w:val="1290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(kod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opterećenja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većeg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70%):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uobičajeno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turbine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</w:t>
            </w:r>
          </w:p>
        </w:tc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757F89" w:rsidRPr="003E431F" w:rsidRDefault="00757F89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1D0F7F" w:rsidRPr="003E431F" w:rsidRDefault="001D0F7F" w:rsidP="001D0F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proizvodnju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energije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nuždi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godišnje.</w:t>
      </w:r>
    </w:p>
    <w:p w:rsidR="00F16942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F16942" w:rsidP="00F16942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velike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turbine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000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1D0F7F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6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5552"/>
      </w:tblGrid>
      <w:tr w:rsidR="001D0F7F" w:rsidRPr="003E431F" w:rsidTr="00B07558">
        <w:tc>
          <w:tcPr>
            <w:tcW w:w="3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čestice:</w:t>
            </w:r>
          </w:p>
          <w:p w:rsidR="001D0F7F" w:rsidRPr="003E431F" w:rsidRDefault="001D0F7F" w:rsidP="003C46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</w:tc>
        <w:tc>
          <w:tcPr>
            <w:tcW w:w="5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3C46D5" w:rsidRPr="003E431F" w:rsidRDefault="003C46D5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1D0F7F" w:rsidP="003C46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</w:tr>
      <w:tr w:rsidR="003C46D5" w:rsidRPr="003E431F" w:rsidTr="00B07558">
        <w:trPr>
          <w:trHeight w:val="277"/>
        </w:trPr>
        <w:tc>
          <w:tcPr>
            <w:tcW w:w="3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46D5" w:rsidRPr="003E431F" w:rsidRDefault="003C46D5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</w:tc>
        <w:tc>
          <w:tcPr>
            <w:tcW w:w="54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07558" w:rsidRPr="003E431F" w:rsidRDefault="00B07558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3C46D5" w:rsidRPr="003E431F" w:rsidRDefault="003C46D5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puštanju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dimni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</w:tr>
      <w:tr w:rsidR="001D0F7F" w:rsidRPr="003E431F" w:rsidTr="00B07558">
        <w:trPr>
          <w:trHeight w:val="3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1D0F7F" w:rsidRPr="003E431F" w:rsidTr="003C46D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≤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  <w:p w:rsidR="001D0F7F" w:rsidRPr="003E431F" w:rsidRDefault="001D0F7F" w:rsidP="00B075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otpadnih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&gt;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  <w:p w:rsidR="001D0F7F" w:rsidRPr="003E431F" w:rsidRDefault="001D0F7F" w:rsidP="00B075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350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</w:tbl>
    <w:p w:rsidR="001D0F7F" w:rsidRPr="003E431F" w:rsidRDefault="001D0F7F" w:rsidP="001D0F7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88012E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</w:t>
      </w:r>
      <w:r w:rsidR="00A63826" w:rsidRPr="003E431F">
        <w:rPr>
          <w:rFonts w:eastAsia="Times New Roman"/>
          <w:bdr w:val="none" w:sz="0" w:space="0" w:color="auto" w:frame="1"/>
          <w:lang w:eastAsia="hr-HR"/>
        </w:rPr>
        <w:t>8</w:t>
      </w:r>
      <w:r w:rsidRPr="003E431F">
        <w:rPr>
          <w:rFonts w:eastAsia="Times New Roman"/>
          <w:bdr w:val="none" w:sz="0" w:space="0" w:color="auto" w:frame="1"/>
          <w:lang w:eastAsia="hr-HR"/>
        </w:rPr>
        <w:t>.</w:t>
      </w:r>
    </w:p>
    <w:p w:rsidR="001D0F7F" w:rsidRPr="003E431F" w:rsidRDefault="001D0F7F" w:rsidP="00A63826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ODSUMPORAVANJA</w:t>
      </w:r>
    </w:p>
    <w:p w:rsidR="001D0F7F" w:rsidRPr="003E431F" w:rsidRDefault="001D0F7F" w:rsidP="00F1694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visokog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domaćem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tbl>
      <w:tblPr>
        <w:tblW w:w="9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2"/>
        <w:gridCol w:w="4253"/>
      </w:tblGrid>
      <w:tr w:rsidR="001D0F7F" w:rsidRPr="003E431F" w:rsidTr="00A63826">
        <w:trPr>
          <w:trHeight w:hRule="exact" w:val="624"/>
        </w:trPr>
        <w:tc>
          <w:tcPr>
            <w:tcW w:w="4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</w:p>
          <w:p w:rsidR="001D0F7F" w:rsidRPr="003E431F" w:rsidRDefault="001D0F7F" w:rsidP="001D0F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Minimalna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stopa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odsumporavanja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93%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93%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97%</w:t>
            </w:r>
          </w:p>
        </w:tc>
      </w:tr>
    </w:tbl>
    <w:p w:rsidR="00F16942" w:rsidRPr="003E431F" w:rsidRDefault="00F16942" w:rsidP="00F1694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F1694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visokog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domaćem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tbl>
      <w:tblPr>
        <w:tblW w:w="9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6418"/>
        <w:gridCol w:w="1170"/>
      </w:tblGrid>
      <w:tr w:rsidR="001D0F7F" w:rsidRPr="003E431F" w:rsidTr="00D9026D">
        <w:trPr>
          <w:trHeight w:hRule="exact" w:val="340"/>
        </w:trPr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75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Stopa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odsumporavanja</w:t>
            </w:r>
          </w:p>
        </w:tc>
      </w:tr>
      <w:tr w:rsidR="001D0F7F" w:rsidRPr="003E431F" w:rsidTr="00D9026D">
        <w:trPr>
          <w:trHeight w:hRule="exact" w:val="113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6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F7F" w:rsidRPr="003E431F" w:rsidRDefault="001D0F7F" w:rsidP="001F5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kojima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dozvola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izdana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studenoga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2002.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godine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operater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koji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njima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upravlja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podnio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kompletan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zahtjev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dozvolu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datuma,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uvjetom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pušteno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najkasnije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studenoga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2003.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godine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postrojenja</w:t>
            </w:r>
          </w:p>
        </w:tc>
      </w:tr>
      <w:tr w:rsidR="00D9026D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92%</w:t>
            </w:r>
          </w:p>
        </w:tc>
      </w:tr>
      <w:tr w:rsidR="00D9026D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92%</w:t>
            </w:r>
          </w:p>
        </w:tc>
      </w:tr>
      <w:tr w:rsidR="00D9026D" w:rsidRPr="003E431F" w:rsidTr="00A63826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96%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D9026D" w:rsidRPr="003E431F" w:rsidRDefault="00D9026D" w:rsidP="00D9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96%</w:t>
            </w:r>
          </w:p>
        </w:tc>
      </w:tr>
    </w:tbl>
    <w:p w:rsidR="001D0F7F" w:rsidRPr="003E431F" w:rsidRDefault="001D0F7F" w:rsidP="00A63826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izgaranje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naftonosni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škriljevac,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minimalna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stopa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95%.</w:t>
      </w:r>
    </w:p>
    <w:p w:rsidR="00F16942" w:rsidRPr="003E431F" w:rsidRDefault="00F16942" w:rsidP="00A63826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F16942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može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primijeniti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zbog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visokog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domaćem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krutom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sumpora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2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</w:p>
    <w:tbl>
      <w:tblPr>
        <w:tblW w:w="9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316"/>
        <w:gridCol w:w="3925"/>
      </w:tblGrid>
      <w:tr w:rsidR="001D0F7F" w:rsidRPr="003E431F" w:rsidTr="00A63826">
        <w:trPr>
          <w:trHeight w:hRule="exact" w:val="340"/>
        </w:trPr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Toplinska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snaga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(MW)</w:t>
            </w:r>
          </w:p>
        </w:tc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Stopa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odsumporavanja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(%)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1D0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</w:t>
            </w:r>
          </w:p>
        </w:tc>
      </w:tr>
      <w:tr w:rsidR="001D0F7F" w:rsidRPr="003E431F" w:rsidTr="00A63826">
        <w:trPr>
          <w:trHeight w:hRule="exact" w:val="3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1D0F7F" w:rsidRPr="003E431F" w:rsidRDefault="001D0F7F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D9026D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D0F7F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D0F7F" w:rsidRPr="003E431F" w:rsidRDefault="001D0F7F" w:rsidP="00D9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</w:t>
            </w:r>
          </w:p>
        </w:tc>
      </w:tr>
    </w:tbl>
    <w:p w:rsidR="001D0F7F" w:rsidRPr="003E431F" w:rsidRDefault="001D0F7F" w:rsidP="00C32121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1D0F7F" w:rsidRPr="003E431F" w:rsidRDefault="001D0F7F" w:rsidP="00E0318A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Minimalne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stope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odsumporavanja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mjesečna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prosječna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vrijednost.</w:t>
      </w:r>
    </w:p>
    <w:p w:rsidR="001D0F7F" w:rsidRPr="003E431F" w:rsidRDefault="001D0F7F" w:rsidP="00A05A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86D" w:rsidRPr="003E431F" w:rsidRDefault="0083186D" w:rsidP="0088012E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bdr w:val="none" w:sz="0" w:space="0" w:color="auto" w:frame="1"/>
          <w:lang w:eastAsia="hr-HR"/>
        </w:rPr>
        <w:t>PRILOG</w:t>
      </w:r>
      <w:r w:rsidR="00642091" w:rsidRPr="003E431F">
        <w:rPr>
          <w:rFonts w:eastAsia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eastAsia="Times New Roman"/>
          <w:bdr w:val="none" w:sz="0" w:space="0" w:color="auto" w:frame="1"/>
          <w:lang w:eastAsia="hr-HR"/>
        </w:rPr>
        <w:t>19.</w:t>
      </w:r>
    </w:p>
    <w:p w:rsidR="0083186D" w:rsidRPr="003E431F" w:rsidRDefault="0083186D" w:rsidP="0083186D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IZGARANJEM</w:t>
      </w:r>
    </w:p>
    <w:p w:rsidR="0083186D" w:rsidRPr="003E431F" w:rsidRDefault="0083186D" w:rsidP="002A4A8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izgaranjem:</w:t>
      </w:r>
    </w:p>
    <w:tbl>
      <w:tblPr>
        <w:tblW w:w="90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440"/>
        <w:gridCol w:w="1222"/>
        <w:gridCol w:w="1622"/>
        <w:gridCol w:w="1176"/>
        <w:gridCol w:w="1713"/>
      </w:tblGrid>
      <w:tr w:rsidR="0083186D" w:rsidRPr="003E431F" w:rsidTr="0083186D">
        <w:trPr>
          <w:trHeight w:val="688"/>
        </w:trPr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uređaja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83186D" w:rsidRPr="003E431F" w:rsidTr="0083186D">
        <w:trPr>
          <w:trHeight w:val="2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(2)</w:t>
            </w:r>
          </w:p>
        </w:tc>
      </w:tr>
      <w:tr w:rsidR="0083186D" w:rsidRPr="003E431F" w:rsidTr="0083186D">
        <w:trPr>
          <w:trHeight w:val="2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bscript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(3)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bdr w:val="none" w:sz="0" w:space="0" w:color="auto" w:frame="1"/>
                <w:vertAlign w:val="superscript"/>
                <w:lang w:eastAsia="hr-HR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(5)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bdr w:val="none" w:sz="0" w:space="0" w:color="auto" w:frame="1"/>
                <w:vertAlign w:val="superscript"/>
                <w:lang w:eastAsia="hr-HR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</w:p>
        </w:tc>
      </w:tr>
      <w:tr w:rsidR="0083186D" w:rsidRPr="003E431F" w:rsidTr="0083186D">
        <w:trPr>
          <w:trHeight w:val="2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hr-HR"/>
              </w:rPr>
              <w:t>(8)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bdr w:val="none" w:sz="0" w:space="0" w:color="auto" w:frame="1"/>
                <w:vertAlign w:val="superscript"/>
                <w:lang w:eastAsia="hr-HR"/>
              </w:rPr>
              <w:t>(9)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83186D" w:rsidRPr="003E431F" w:rsidRDefault="0083186D" w:rsidP="0083186D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590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MIS-a.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40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bioplin.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između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godišnje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mogu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izuzeti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obveze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usklađenosti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primarne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mjere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ograničavanje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color w:val="231F20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zadovoljavaju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bilješci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(4).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MIS-u;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850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tekućim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380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plinovitim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brojem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okretaja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minuti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850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brojem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okretaja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minuti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225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tekućim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225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brojem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okretaja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minuti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190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plinovitim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(8)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75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SIS-a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MIS-a.</w:t>
      </w:r>
    </w:p>
    <w:p w:rsidR="0083186D" w:rsidRPr="003E431F" w:rsidRDefault="0083186D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(9)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2A4A84" w:rsidRPr="003E431F" w:rsidRDefault="002A4A84" w:rsidP="00831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83186D" w:rsidRPr="003E431F" w:rsidRDefault="002A4A84" w:rsidP="0083186D">
      <w:pPr>
        <w:shd w:val="clear" w:color="auto" w:fill="FFFFFF"/>
        <w:spacing w:before="120" w:after="12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15%.</w:t>
      </w:r>
    </w:p>
    <w:p w:rsidR="002A4A84" w:rsidRPr="003E431F" w:rsidRDefault="002A4A84" w:rsidP="002A4A84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3186D" w:rsidRPr="003E431F" w:rsidRDefault="0083186D" w:rsidP="002A4A84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dijela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2025.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2030.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godine.</w:t>
      </w:r>
    </w:p>
    <w:tbl>
      <w:tblPr>
        <w:tblW w:w="9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826"/>
        <w:gridCol w:w="1826"/>
        <w:gridCol w:w="1481"/>
        <w:gridCol w:w="2159"/>
      </w:tblGrid>
      <w:tr w:rsidR="0083186D" w:rsidRPr="003E431F" w:rsidTr="00A13720">
        <w:trPr>
          <w:trHeight w:hRule="exact" w:val="624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tvar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Tekuća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ulja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Plinovita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prirodnog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plina</w:t>
            </w:r>
          </w:p>
        </w:tc>
      </w:tr>
      <w:tr w:rsidR="0083186D" w:rsidRPr="003E431F" w:rsidTr="00A13720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(1)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(2)</w:t>
            </w:r>
          </w:p>
        </w:tc>
      </w:tr>
      <w:tr w:rsidR="0083186D" w:rsidRPr="003E431F" w:rsidTr="00A13720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(3)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  <w:lang w:eastAsia="hr-HR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(6)</w:t>
            </w:r>
          </w:p>
        </w:tc>
      </w:tr>
      <w:tr w:rsidR="0083186D" w:rsidRPr="003E431F" w:rsidTr="00A13720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čestice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(7)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</w:t>
            </w:r>
          </w:p>
        </w:tc>
      </w:tr>
    </w:tbl>
    <w:p w:rsidR="0083186D" w:rsidRPr="003E431F" w:rsidRDefault="0083186D" w:rsidP="00A13720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60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bioplin.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130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koksnih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65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niskokalorične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visokih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peći,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industriji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željeza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čelika.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850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sljedećim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slučajevima:</w:t>
      </w:r>
    </w:p>
    <w:p w:rsidR="0083186D" w:rsidRPr="003E431F" w:rsidRDefault="0083186D" w:rsidP="00A1372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dizelske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datumom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početka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izrade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18.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svibnja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2006.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godine</w:t>
      </w:r>
    </w:p>
    <w:p w:rsidR="0083186D" w:rsidRPr="003E431F" w:rsidRDefault="0083186D" w:rsidP="00A13720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ii.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tekućim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(5)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250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MW;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225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5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380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više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vrsta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načinu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rada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plinovitim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gorivom.</w:t>
      </w:r>
    </w:p>
    <w:p w:rsidR="0083186D" w:rsidRPr="003E431F" w:rsidRDefault="0083186D" w:rsidP="00A137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vertAlign w:val="superscript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color w:val="231F20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color w:val="231F20"/>
          <w:vertAlign w:val="superscript"/>
          <w:lang w:eastAsia="hr-HR"/>
        </w:rPr>
        <w:t>3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ulazne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toplinske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snage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veće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1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jednake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20</w:t>
      </w:r>
      <w:r w:rsidR="00642091" w:rsidRPr="003E431F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lang w:eastAsia="hr-HR"/>
        </w:rPr>
        <w:t>MW.</w:t>
      </w:r>
    </w:p>
    <w:p w:rsidR="002A4A84" w:rsidRPr="003E431F" w:rsidRDefault="002A4A84" w:rsidP="002A4A8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1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4104"/>
        <w:gridCol w:w="3038"/>
      </w:tblGrid>
      <w:tr w:rsidR="0083186D" w:rsidRPr="003E431F" w:rsidTr="0083186D">
        <w:trPr>
          <w:trHeight w:hRule="exact" w:val="34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</w:tr>
      <w:tr w:rsidR="0083186D" w:rsidRPr="003E431F" w:rsidTr="0083186D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642091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Plinski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2A4A84" w:rsidRPr="003E431F" w:rsidRDefault="002A4A84" w:rsidP="002A4A8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uporabu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uređuje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okviru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odobrena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ugradnja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2014.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godine,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plinska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4092"/>
        <w:gridCol w:w="3041"/>
      </w:tblGrid>
      <w:tr w:rsidR="0083186D" w:rsidRPr="003E431F" w:rsidTr="0083186D">
        <w:trPr>
          <w:trHeight w:hRule="exact" w:val="340"/>
        </w:trPr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Oksidi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dušika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hr-HR"/>
              </w:rPr>
              <w:t>x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Ugljikov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monoksid,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</w:t>
            </w:r>
          </w:p>
        </w:tc>
      </w:tr>
      <w:tr w:rsidR="0083186D" w:rsidRPr="003E431F" w:rsidTr="0083186D">
        <w:trPr>
          <w:trHeight w:hRule="exact"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642091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Plinski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</w:t>
            </w:r>
          </w:p>
        </w:tc>
      </w:tr>
    </w:tbl>
    <w:p w:rsidR="0083186D" w:rsidRPr="003E431F" w:rsidRDefault="0083186D" w:rsidP="0083186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(mg/m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  <w:lang w:eastAsia="hr-HR"/>
        </w:rPr>
        <w:t>3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dušika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izraženih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NO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motore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unutarnjim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9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2"/>
        <w:gridCol w:w="1528"/>
      </w:tblGrid>
      <w:tr w:rsidR="0083186D" w:rsidRPr="003E431F" w:rsidTr="0083186D">
        <w:trPr>
          <w:trHeight w:hRule="exact" w:val="624"/>
        </w:trPr>
        <w:tc>
          <w:tcPr>
            <w:tcW w:w="7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GVE,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mg/m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83186D" w:rsidRPr="003E431F" w:rsidTr="0083186D">
        <w:trPr>
          <w:trHeight w:hRule="exact" w:val="113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paljenjem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svjećicu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(Otto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motori),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4-taktni,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  <w:p w:rsidR="0083186D" w:rsidRPr="003E431F" w:rsidRDefault="00D902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8318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MWt:</w:t>
            </w:r>
          </w:p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siromašnom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smjesom</w:t>
            </w:r>
          </w:p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13720" w:rsidRPr="003E431F" w:rsidRDefault="00A13720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250</w:t>
            </w: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</w:tr>
      <w:tr w:rsidR="0083186D" w:rsidRPr="003E431F" w:rsidTr="0083186D">
        <w:trPr>
          <w:trHeight w:hRule="exact" w:val="16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kompresijskim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paljenjem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(Dizel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motori),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="00D9026D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MWt:</w:t>
            </w:r>
          </w:p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prirodni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(motori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mlaznim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paljenjem)</w:t>
            </w:r>
          </w:p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loživo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  <w:p w:rsidR="0083186D" w:rsidRPr="003E431F" w:rsidRDefault="0083186D" w:rsidP="008318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gorivo: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dizelsko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plinsko</w:t>
            </w:r>
            <w:r w:rsidR="00642091"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</w:t>
            </w:r>
          </w:p>
          <w:p w:rsidR="0083186D" w:rsidRPr="003E431F" w:rsidRDefault="0083186D" w:rsidP="008318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500</w:t>
            </w:r>
          </w:p>
        </w:tc>
      </w:tr>
    </w:tbl>
    <w:p w:rsidR="0083186D" w:rsidRPr="003E431F" w:rsidRDefault="0083186D" w:rsidP="0083186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83186D" w:rsidRPr="003E431F" w:rsidRDefault="002A4A84" w:rsidP="002A4A84">
      <w:pPr>
        <w:shd w:val="clear" w:color="auto" w:fill="FFFFFF"/>
        <w:tabs>
          <w:tab w:val="left" w:pos="993"/>
        </w:tabs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suhom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273,15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101,3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kPa,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83186D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15%.</w:t>
      </w:r>
    </w:p>
    <w:p w:rsidR="0083186D" w:rsidRPr="003E431F" w:rsidRDefault="0083186D" w:rsidP="00A05A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1F" w:rsidRPr="003E431F" w:rsidRDefault="007C621F" w:rsidP="0088012E">
      <w:pPr>
        <w:pStyle w:val="Naslov1"/>
      </w:pPr>
      <w:r w:rsidRPr="003E431F">
        <w:t>PRILOG</w:t>
      </w:r>
      <w:r w:rsidR="00642091" w:rsidRPr="003E431F">
        <w:t xml:space="preserve"> </w:t>
      </w:r>
      <w:r w:rsidR="00A13720" w:rsidRPr="003E431F">
        <w:t>20</w:t>
      </w:r>
      <w:r w:rsidR="00000BF3" w:rsidRPr="003E431F">
        <w:t>.</w:t>
      </w:r>
    </w:p>
    <w:p w:rsidR="007C621F" w:rsidRPr="003E431F" w:rsidRDefault="007C621F" w:rsidP="00A05AA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B53" w:rsidRPr="003E431F">
        <w:rPr>
          <w:rFonts w:ascii="Times New Roman" w:hAnsi="Times New Roman" w:cs="Times New Roman"/>
          <w:b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B53" w:rsidRPr="003E431F">
        <w:rPr>
          <w:rFonts w:ascii="Times New Roman" w:hAnsi="Times New Roman" w:cs="Times New Roman"/>
          <w:b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B53" w:rsidRPr="003E431F">
        <w:rPr>
          <w:rFonts w:ascii="Times New Roman" w:hAnsi="Times New Roman" w:cs="Times New Roman"/>
          <w:b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B53" w:rsidRPr="003E431F">
        <w:rPr>
          <w:rFonts w:ascii="Times New Roman" w:hAnsi="Times New Roman" w:cs="Times New Roman"/>
          <w:b/>
          <w:sz w:val="24"/>
          <w:szCs w:val="24"/>
        </w:rPr>
        <w:t>ZRAK</w:t>
      </w:r>
      <w:r w:rsidR="00426253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SPALJIVANJE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OTPADA</w:t>
      </w:r>
    </w:p>
    <w:p w:rsidR="007C621F" w:rsidRPr="003E431F" w:rsidRDefault="0041255B" w:rsidP="0041255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W w:w="90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4"/>
        <w:gridCol w:w="1403"/>
      </w:tblGrid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(krute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čestice)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pare,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(TOC)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klorid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(HCl)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(HF)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Sumporov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7C621F" w:rsidRPr="003E431F" w:rsidTr="00A13720">
        <w:trPr>
          <w:trHeight w:hRule="exact" w:val="340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Dušikovi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spaljivanje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nazivnim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kapacitetom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većim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t/h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spalionice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7C621F" w:rsidRPr="003E431F" w:rsidTr="00A13720">
        <w:trPr>
          <w:trHeight w:hRule="exact" w:val="624"/>
        </w:trPr>
        <w:tc>
          <w:tcPr>
            <w:tcW w:w="7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Dušikovi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postojeća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spaljivanje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nazivnim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kapacitetom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t/h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manje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</w:tc>
      </w:tr>
    </w:tbl>
    <w:p w:rsidR="0041255B" w:rsidRPr="003E431F" w:rsidRDefault="0041255B" w:rsidP="0041255B">
      <w:pPr>
        <w:shd w:val="clear" w:color="auto" w:fill="FFFFFF"/>
        <w:spacing w:before="24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56AB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polusatnim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56AB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1523"/>
        <w:gridCol w:w="1433"/>
      </w:tblGrid>
      <w:tr w:rsidR="00AC56AB" w:rsidRPr="003E431F" w:rsidTr="00A13720">
        <w:trPr>
          <w:trHeight w:val="750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48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</w:p>
          <w:p w:rsidR="00AC56AB" w:rsidRPr="003E431F" w:rsidRDefault="00AC56AB" w:rsidP="00AC56A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(100%)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br/>
              <w:t>A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a/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</w:p>
          <w:p w:rsidR="00AC56AB" w:rsidRPr="003E431F" w:rsidRDefault="00AC56AB" w:rsidP="00AC56AB">
            <w:pPr>
              <w:spacing w:after="4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(97%)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br/>
              <w:t>B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b/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AC56AB" w:rsidRPr="003E431F" w:rsidTr="00A13720">
        <w:trPr>
          <w:trHeight w:hRule="exact" w:val="369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praškaste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(krute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čestice)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AC56AB" w:rsidRPr="003E431F" w:rsidTr="00A13720">
        <w:trPr>
          <w:trHeight w:hRule="exact" w:val="625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pare,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(TOC)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AC56AB" w:rsidRPr="003E431F" w:rsidTr="00A13720">
        <w:trPr>
          <w:trHeight w:hRule="exact" w:val="369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klorid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(HCl)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60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AC56AB" w:rsidRPr="003E431F" w:rsidTr="00A13720">
        <w:trPr>
          <w:trHeight w:hRule="exact" w:val="369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(HF)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AC56AB" w:rsidRPr="003E431F" w:rsidTr="00A13720">
        <w:trPr>
          <w:trHeight w:hRule="exact" w:val="369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Sumporov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AC56AB" w:rsidRPr="003E431F" w:rsidTr="00A13720">
        <w:trPr>
          <w:trHeight w:hRule="exact" w:val="853"/>
        </w:trPr>
        <w:tc>
          <w:tcPr>
            <w:tcW w:w="6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Dušikovi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postojeće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spaljivanje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otpada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nazivnim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kapacitetom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većim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t/h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spalionice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</w:tbl>
    <w:p w:rsidR="00AC56AB" w:rsidRPr="003E431F" w:rsidRDefault="00AC56AB" w:rsidP="00A05AA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E431F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hr-HR"/>
        </w:rPr>
        <w:t>a/</w:t>
      </w:r>
      <w:r w:rsidR="00642091" w:rsidRPr="003E431F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100%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znači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niti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jedna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polusatnih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prijeći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GVE.</w:t>
      </w:r>
    </w:p>
    <w:p w:rsidR="00AC56AB" w:rsidRPr="003E431F" w:rsidRDefault="00AC56AB" w:rsidP="00A05AAE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hr-HR"/>
        </w:rPr>
        <w:t>b/</w:t>
      </w:r>
      <w:r w:rsidR="00642091" w:rsidRPr="003E431F">
        <w:rPr>
          <w:rFonts w:ascii="Times New Roman" w:eastAsia="Times New Roman" w:hAnsi="Times New Roman" w:cs="Times New Roman"/>
          <w:bdr w:val="none" w:sz="0" w:space="0" w:color="auto" w:frame="1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B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znači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97%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srednjih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polusatnih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smije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prijeći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GVE</w:t>
      </w:r>
    </w:p>
    <w:p w:rsidR="0041255B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621F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ugljikov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monoksid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(CO)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(izuzimajući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C621F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2218"/>
      </w:tblGrid>
      <w:tr w:rsidR="00F24BD2" w:rsidRPr="003E431F" w:rsidTr="00A05AAE">
        <w:trPr>
          <w:trHeight w:hRule="exact" w:val="340"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0B6804" w:rsidRPr="003E431F" w:rsidRDefault="000B6804" w:rsidP="007C621F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Vrijeme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usrednjavanja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218" w:type="dxa"/>
            <w:tcMar>
              <w:top w:w="57" w:type="dxa"/>
              <w:bottom w:w="57" w:type="dxa"/>
            </w:tcMar>
          </w:tcPr>
          <w:p w:rsidR="000B6804" w:rsidRPr="003E431F" w:rsidRDefault="000B6804" w:rsidP="007C621F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F24BD2" w:rsidRPr="003E431F" w:rsidTr="00A05AAE">
        <w:trPr>
          <w:trHeight w:hRule="exact" w:val="340"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0B6804" w:rsidRPr="003E431F" w:rsidRDefault="000B6804" w:rsidP="000B680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dnevna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srednje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</w:t>
            </w:r>
          </w:p>
        </w:tc>
        <w:tc>
          <w:tcPr>
            <w:tcW w:w="2218" w:type="dxa"/>
            <w:tcMar>
              <w:top w:w="57" w:type="dxa"/>
              <w:bottom w:w="57" w:type="dxa"/>
            </w:tcMar>
          </w:tcPr>
          <w:p w:rsidR="000B6804" w:rsidRPr="003E431F" w:rsidRDefault="000B6804" w:rsidP="007C621F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F24BD2" w:rsidRPr="003E431F" w:rsidTr="00A05AAE">
        <w:trPr>
          <w:trHeight w:hRule="exact" w:val="340"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0B6804" w:rsidRPr="003E431F" w:rsidRDefault="000B6804" w:rsidP="000B680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polusatna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srednja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218" w:type="dxa"/>
            <w:tcMar>
              <w:top w:w="57" w:type="dxa"/>
              <w:bottom w:w="57" w:type="dxa"/>
            </w:tcMar>
          </w:tcPr>
          <w:p w:rsidR="000B6804" w:rsidRPr="003E431F" w:rsidRDefault="000B6804" w:rsidP="007C621F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F24BD2" w:rsidRPr="003E431F" w:rsidTr="00A05AAE">
        <w:trPr>
          <w:trHeight w:hRule="exact" w:val="340"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0B6804" w:rsidRPr="003E431F" w:rsidRDefault="000B6804" w:rsidP="000B6804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10-minutna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srednja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</w:t>
            </w:r>
          </w:p>
        </w:tc>
        <w:tc>
          <w:tcPr>
            <w:tcW w:w="2218" w:type="dxa"/>
            <w:tcMar>
              <w:top w:w="57" w:type="dxa"/>
              <w:bottom w:w="57" w:type="dxa"/>
            </w:tcMar>
          </w:tcPr>
          <w:p w:rsidR="000B6804" w:rsidRPr="003E431F" w:rsidRDefault="000B6804" w:rsidP="007C621F">
            <w:pPr>
              <w:spacing w:after="4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</w:tbl>
    <w:p w:rsidR="007C621F" w:rsidRPr="003E431F" w:rsidRDefault="007C621F" w:rsidP="00A1372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E431F">
        <w:rPr>
          <w:rFonts w:ascii="Times New Roman" w:eastAsia="Times New Roman" w:hAnsi="Times New Roman" w:cs="Times New Roman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ugljikov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monoksid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(CO)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postrojenje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primjenjuje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postupak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izgaranja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fluidiziranom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sloju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srednja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satna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100</w:t>
      </w:r>
      <w:r w:rsidR="00642091" w:rsidRPr="003E431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lang w:eastAsia="hr-HR"/>
        </w:rPr>
        <w:t>.</w:t>
      </w:r>
    </w:p>
    <w:p w:rsidR="0041255B" w:rsidRPr="003E431F" w:rsidRDefault="0041255B" w:rsidP="0041255B">
      <w:pPr>
        <w:shd w:val="clear" w:color="auto" w:fill="FFFFFF"/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6D20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uključujući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njihovih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spojeva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obliku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pare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minuta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6D20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W w:w="90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122"/>
      </w:tblGrid>
      <w:tr w:rsidR="00026D20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026D20" w:rsidRPr="003E431F" w:rsidRDefault="00026D20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</w:tcPr>
          <w:p w:rsidR="00026D20" w:rsidRPr="003E431F" w:rsidRDefault="00026D20" w:rsidP="00AF491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Kadmij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kadmij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(Cd)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Ukupno: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0,05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Talij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talij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(Tl)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Živa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njezini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živa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(Hg)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96" w:type="dxa"/>
              <w:bottom w:w="57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Ukupno: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0,05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Antimon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antimon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(Sb)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96" w:type="dxa"/>
              <w:bottom w:w="57" w:type="dxa"/>
              <w:right w:w="96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Ukupno: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0,5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Arsen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arsen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(As)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Olovo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olovo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(Pb)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(Cr)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Kobalt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kobalt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(Co)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Bakar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bakar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(Cu)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Mangan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mangan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(Mn)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Nikal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nikal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(Ni)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C621F" w:rsidRPr="003E431F" w:rsidTr="00B11AFA">
        <w:trPr>
          <w:trHeight w:hRule="exact" w:val="340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hideMark/>
          </w:tcPr>
          <w:p w:rsidR="007C621F" w:rsidRPr="003E431F" w:rsidRDefault="007C621F" w:rsidP="00AF491D">
            <w:pPr>
              <w:spacing w:after="4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Vanadij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njegovi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vanadij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(V)</w:t>
            </w:r>
          </w:p>
        </w:tc>
        <w:tc>
          <w:tcPr>
            <w:tcW w:w="31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41255B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D2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F24BD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4BD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4BD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4BD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primjenjive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24BD2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periodu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prekoračenja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kvara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D2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postrojenja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tbl>
      <w:tblPr>
        <w:tblStyle w:val="Reetkatablice"/>
        <w:tblW w:w="9065" w:type="dxa"/>
        <w:tblInd w:w="-5" w:type="dxa"/>
        <w:tblLook w:val="04A0" w:firstRow="1" w:lastRow="0" w:firstColumn="1" w:lastColumn="0" w:noHBand="0" w:noVBand="1"/>
      </w:tblPr>
      <w:tblGrid>
        <w:gridCol w:w="7371"/>
        <w:gridCol w:w="1694"/>
      </w:tblGrid>
      <w:tr w:rsidR="00766D28" w:rsidRPr="003E431F" w:rsidTr="00B11AFA">
        <w:trPr>
          <w:trHeight w:hRule="exact" w:val="340"/>
        </w:trPr>
        <w:tc>
          <w:tcPr>
            <w:tcW w:w="7371" w:type="dxa"/>
            <w:vAlign w:val="center"/>
          </w:tcPr>
          <w:p w:rsidR="00766D28" w:rsidRPr="003E431F" w:rsidRDefault="00766D28" w:rsidP="009250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694" w:type="dxa"/>
            <w:vAlign w:val="center"/>
          </w:tcPr>
          <w:p w:rsidR="00766D28" w:rsidRPr="003E431F" w:rsidRDefault="00766D28" w:rsidP="00A137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GVE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66D28" w:rsidRPr="003E431F" w:rsidTr="00B11AFA">
        <w:trPr>
          <w:trHeight w:hRule="exact" w:val="340"/>
        </w:trPr>
        <w:tc>
          <w:tcPr>
            <w:tcW w:w="7371" w:type="dxa"/>
            <w:vAlign w:val="center"/>
          </w:tcPr>
          <w:p w:rsidR="00766D28" w:rsidRPr="003E431F" w:rsidRDefault="00E02C16" w:rsidP="009250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raškaste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</w:p>
        </w:tc>
        <w:tc>
          <w:tcPr>
            <w:tcW w:w="1694" w:type="dxa"/>
            <w:vAlign w:val="center"/>
          </w:tcPr>
          <w:p w:rsidR="00766D28" w:rsidRPr="003E431F" w:rsidRDefault="00766D28" w:rsidP="009250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766D28" w:rsidRPr="003E431F" w:rsidTr="00B11AFA">
        <w:trPr>
          <w:trHeight w:hRule="exact" w:val="340"/>
        </w:trPr>
        <w:tc>
          <w:tcPr>
            <w:tcW w:w="7371" w:type="dxa"/>
            <w:vAlign w:val="center"/>
          </w:tcPr>
          <w:p w:rsidR="00766D28" w:rsidRPr="003E431F" w:rsidRDefault="00E02C16" w:rsidP="009250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rganske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plina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pare,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izražene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66D28" w:rsidRPr="003E431F">
              <w:rPr>
                <w:rFonts w:ascii="Times New Roman" w:eastAsia="Times New Roman" w:hAnsi="Times New Roman" w:cs="Times New Roman"/>
                <w:lang w:eastAsia="hr-HR"/>
              </w:rPr>
              <w:t>(TOC)</w:t>
            </w:r>
          </w:p>
        </w:tc>
        <w:tc>
          <w:tcPr>
            <w:tcW w:w="1694" w:type="dxa"/>
            <w:vAlign w:val="center"/>
          </w:tcPr>
          <w:p w:rsidR="00766D28" w:rsidRPr="003E431F" w:rsidRDefault="00766D28" w:rsidP="009250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  <w:tr w:rsidR="00766D28" w:rsidRPr="003E431F" w:rsidTr="00B11AFA">
        <w:trPr>
          <w:trHeight w:hRule="exact" w:val="340"/>
        </w:trPr>
        <w:tc>
          <w:tcPr>
            <w:tcW w:w="7371" w:type="dxa"/>
            <w:vAlign w:val="center"/>
          </w:tcPr>
          <w:p w:rsidR="00766D28" w:rsidRPr="003E431F" w:rsidRDefault="00766D28" w:rsidP="009250A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CO</w:t>
            </w:r>
          </w:p>
        </w:tc>
        <w:tc>
          <w:tcPr>
            <w:tcW w:w="1694" w:type="dxa"/>
            <w:vAlign w:val="center"/>
          </w:tcPr>
          <w:p w:rsidR="00766D28" w:rsidRPr="003E431F" w:rsidRDefault="00766D28" w:rsidP="009250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</w:tbl>
    <w:p w:rsidR="009250AB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spalionice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izmjerenih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uzimanja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uzoraka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manjem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većem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0,1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ng/m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3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13720" w:rsidRPr="003E431F" w:rsidRDefault="00A13720" w:rsidP="0041255B">
      <w:pPr>
        <w:pStyle w:val="Odlomakpopisa"/>
        <w:shd w:val="clear" w:color="auto" w:fill="FFFFFF"/>
        <w:spacing w:before="120" w:after="120" w:line="240" w:lineRule="auto"/>
        <w:ind w:left="-142" w:firstLine="56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358" w:rsidRPr="003E431F" w:rsidRDefault="0041255B" w:rsidP="0041255B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(7)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Faktori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ekvivalentne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toksičnosti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dibenzo-p-dioksine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dibenzofurane</w:t>
      </w:r>
    </w:p>
    <w:p w:rsidR="007C621F" w:rsidRPr="003E431F" w:rsidRDefault="007C621F" w:rsidP="0041255B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određivanje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furana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masena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koncentracija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dibenzo-p-dioksina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dibenzofurana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zbrajanja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množi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4358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ekvivalentne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toksičnosti: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2431"/>
      </w:tblGrid>
      <w:tr w:rsidR="007C621F" w:rsidRPr="003E431F" w:rsidTr="00A13720">
        <w:trPr>
          <w:trHeight w:hRule="exact" w:val="619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bottom w:w="120" w:type="dxa"/>
            </w:tcMar>
            <w:vAlign w:val="center"/>
            <w:hideMark/>
          </w:tcPr>
          <w:p w:rsidR="007C621F" w:rsidRPr="003E431F" w:rsidRDefault="007C621F" w:rsidP="0046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Faktori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ekvivalentne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toksičnosti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2,3,7,8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Tetraklorodibenzodioksin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Pentaklorodibenzodioksin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(PeCDD)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0,5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1,2,3,4,7,8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1,2,3,6,7,8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1,2,3,7,8,9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1,2,3,4,6,7,8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Heptaklorodibenzodioksin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(HpCDD)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Oktaklorodibenzodioksin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(OCDD)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0,001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2,3,7,8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Tetraklorodibenzofuran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2,3,4,7,8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Pentaklorodibenzofuran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(PeCDF)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0,5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Pentaklorodibenzofuran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(PeCDF)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0,05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1,2,3,4,7,8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1,2,3,6,7,8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1,2,3,7,8,9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2,3,4,6,7,8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Heksaklorodibenzofuran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(HxCDF)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1,2,3,4,6,7,8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Heptaklorodibenzofuran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(HpCDF)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1,2,3,4,7,8,9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Heptaklorodibenzofuran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(HpCDF)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0,01</w:t>
            </w:r>
          </w:p>
        </w:tc>
      </w:tr>
      <w:tr w:rsidR="007C621F" w:rsidRPr="003E431F" w:rsidTr="00B11AFA">
        <w:trPr>
          <w:trHeight w:hRule="exact" w:val="33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Oktaklorodibenzofuran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(OCDF)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7C621F" w:rsidRPr="003E431F" w:rsidRDefault="007C621F" w:rsidP="00A1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0,001</w:t>
            </w:r>
          </w:p>
        </w:tc>
      </w:tr>
    </w:tbl>
    <w:p w:rsidR="00CE2410" w:rsidRPr="003E431F" w:rsidRDefault="00CE2410">
      <w:pPr>
        <w:rPr>
          <w:rFonts w:ascii="Times New Roman" w:hAnsi="Times New Roman" w:cs="Times New Roman"/>
        </w:rPr>
      </w:pPr>
    </w:p>
    <w:p w:rsidR="004E1DE3" w:rsidRPr="003E431F" w:rsidRDefault="004E1DE3" w:rsidP="0088012E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PRILOG</w:t>
      </w:r>
      <w:r w:rsidR="00642091" w:rsidRPr="003E431F">
        <w:rPr>
          <w:rFonts w:eastAsia="Times New Roman"/>
          <w:lang w:eastAsia="hr-HR"/>
        </w:rPr>
        <w:t xml:space="preserve"> </w:t>
      </w:r>
      <w:r w:rsidR="00AA78A5" w:rsidRPr="003E431F">
        <w:rPr>
          <w:rFonts w:eastAsia="Times New Roman"/>
          <w:lang w:eastAsia="hr-HR"/>
        </w:rPr>
        <w:t>21.</w:t>
      </w:r>
    </w:p>
    <w:p w:rsidR="00FD4B53" w:rsidRPr="003E431F" w:rsidRDefault="00FD4B53" w:rsidP="00AA78A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ZRAK</w:t>
      </w:r>
      <w:r w:rsidR="00426253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POSTROJENJA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SUSPALJIVANJE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OTPADA</w:t>
      </w:r>
    </w:p>
    <w:p w:rsidR="00FD4B53" w:rsidRPr="003E431F" w:rsidRDefault="00C32121" w:rsidP="0088012E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lastRenderedPageBreak/>
        <w:t>A. Postrojenja za suspaljivanje otpada</w:t>
      </w:r>
    </w:p>
    <w:p w:rsidR="004E1DE3" w:rsidRPr="003E431F" w:rsidRDefault="00C32121" w:rsidP="00C3212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predmetnu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sljedeći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način:</w:t>
      </w:r>
    </w:p>
    <w:p w:rsidR="0055648A" w:rsidRPr="003E431F" w:rsidRDefault="0055648A" w:rsidP="00C32121">
      <w:pPr>
        <w:pStyle w:val="Odlomakpopisa"/>
        <w:shd w:val="clear" w:color="auto" w:fill="FFFFFF"/>
        <w:spacing w:before="120" w:after="12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255"/>
      </w:tblGrid>
      <w:tr w:rsidR="0055648A" w:rsidRPr="003E431F" w:rsidTr="00C32121">
        <w:trPr>
          <w:trHeight w:val="284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5648A" w:rsidRPr="003E431F" w:rsidRDefault="0055648A" w:rsidP="0055648A">
            <w:pPr>
              <w:pStyle w:val="Odlomakpopisa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=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5648A" w:rsidRPr="003E431F" w:rsidRDefault="0055648A" w:rsidP="0055648A">
            <w:pPr>
              <w:pStyle w:val="Odlomakpopis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V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otpad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x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C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otpad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V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proc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x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C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proc</w:t>
            </w:r>
          </w:p>
        </w:tc>
      </w:tr>
      <w:tr w:rsidR="0055648A" w:rsidRPr="003E431F" w:rsidTr="00C32121">
        <w:trPr>
          <w:trHeight w:val="28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48A" w:rsidRPr="003E431F" w:rsidRDefault="0055648A" w:rsidP="0055648A">
            <w:pPr>
              <w:pStyle w:val="Odlomakpopisa"/>
              <w:ind w:left="0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325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5648A" w:rsidRPr="003E431F" w:rsidRDefault="0055648A" w:rsidP="0055648A">
            <w:pPr>
              <w:pStyle w:val="Odlomakpopisa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V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otpad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eastAsia="hr-HR"/>
              </w:rPr>
              <w:t>V</w:t>
            </w:r>
            <w:r w:rsidRPr="003E431F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vertAlign w:val="subscript"/>
                <w:lang w:eastAsia="hr-HR"/>
              </w:rPr>
              <w:t>proc</w:t>
            </w:r>
          </w:p>
        </w:tc>
      </w:tr>
    </w:tbl>
    <w:p w:rsidR="0055648A" w:rsidRPr="003E431F" w:rsidRDefault="0055648A" w:rsidP="0055648A">
      <w:pPr>
        <w:pStyle w:val="Odlomakpopisa"/>
        <w:shd w:val="clear" w:color="auto" w:fill="FFFFFF"/>
        <w:spacing w:before="120" w:after="120" w:line="240" w:lineRule="auto"/>
        <w:ind w:left="426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E1DE3" w:rsidRPr="003E431F" w:rsidRDefault="004E1DE3" w:rsidP="00C32121">
      <w:pPr>
        <w:shd w:val="clear" w:color="auto" w:fill="FFFFFF"/>
        <w:spacing w:before="120" w:after="12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gdje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p w:rsidR="004E1DE3" w:rsidRPr="003E431F" w:rsidRDefault="00C32121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ab/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V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18"/>
          <w:szCs w:val="18"/>
          <w:bdr w:val="none" w:sz="0" w:space="0" w:color="auto" w:frame="1"/>
          <w:vertAlign w:val="subscript"/>
          <w:lang w:eastAsia="hr-HR"/>
        </w:rPr>
        <w:t>otpad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samo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najmanju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toplinsku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5227A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E1DE3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4E1DE3" w:rsidRPr="003E431F" w:rsidRDefault="004E1DE3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opasan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oslobođene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postrojenju,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otpad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izračunava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količinu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spaljuje,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davao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10%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oslobođene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istoj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oslobođenoj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toplini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(otpada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goriva)</w:t>
      </w:r>
    </w:p>
    <w:p w:rsidR="004E1DE3" w:rsidRPr="003E431F" w:rsidRDefault="00C32121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ab/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C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18"/>
          <w:szCs w:val="18"/>
          <w:bdr w:val="none" w:sz="0" w:space="0" w:color="auto" w:frame="1"/>
          <w:vertAlign w:val="subscript"/>
          <w:lang w:eastAsia="hr-HR"/>
        </w:rPr>
        <w:t>otpad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monoksida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</w:p>
    <w:p w:rsidR="004E1DE3" w:rsidRPr="003E431F" w:rsidRDefault="00C32121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</w:t>
      </w:r>
      <w:r w:rsidR="004E1DE3" w:rsidRPr="003E431F">
        <w:rPr>
          <w:rFonts w:ascii="Times New Roman" w:eastAsia="Times New Roman" w:hAnsi="Times New Roman" w:cs="Times New Roman"/>
          <w:color w:val="231F20"/>
          <w:sz w:val="18"/>
          <w:szCs w:val="18"/>
          <w:vertAlign w:val="subscript"/>
          <w:lang w:eastAsia="hr-HR"/>
        </w:rPr>
        <w:t>proc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nastaje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izgaranjem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(isključujući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otpad),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iskazan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temperaturi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tlaku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vrstu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goriva.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udio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stvarnim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udjelom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razrjeđivanja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dodatnim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zrakom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nužan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odvijanje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procesa</w:t>
      </w:r>
    </w:p>
    <w:p w:rsidR="004E1DE3" w:rsidRPr="003E431F" w:rsidRDefault="00C32121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ab/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C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18"/>
          <w:szCs w:val="18"/>
          <w:bdr w:val="none" w:sz="0" w:space="0" w:color="auto" w:frame="1"/>
          <w:vertAlign w:val="subscript"/>
          <w:lang w:eastAsia="hr-HR"/>
        </w:rPr>
        <w:t>proc</w:t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odredbama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glave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pojedine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nepokretne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izvore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podaci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relevantne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ugljikov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monoksid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kada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uobičajeno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izgara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(bez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dodavanja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otpada).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postoje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takva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granične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emisija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određene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rješenju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posebnom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izdaje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utvrđuju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objedinjeni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uvjeti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zaštite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okoliša).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slučaju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nepostojanja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dozvoljenih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primjenjuju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stvarne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masene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koncentracije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</w:p>
    <w:p w:rsidR="004E1DE3" w:rsidRPr="003E431F" w:rsidRDefault="00C32121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ab/>
      </w:r>
      <w:r w:rsidR="004E1DE3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C:</w:t>
      </w:r>
      <w:r w:rsidR="00642091" w:rsidRPr="003E431F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odnosno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relevantne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AD7E6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zamjenjuje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standardni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kisika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13</w:t>
      </w:r>
      <w:r w:rsidR="00AD7E6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računa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temelju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gornjeg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sadržaja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uzimajući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obzir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parcijalne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volumene.</w:t>
      </w:r>
    </w:p>
    <w:p w:rsidR="001A14B9" w:rsidRPr="003E431F" w:rsidRDefault="001A14B9" w:rsidP="00C32121">
      <w:pPr>
        <w:shd w:val="clear" w:color="auto" w:fill="FFFFFF"/>
        <w:tabs>
          <w:tab w:val="left" w:pos="993"/>
        </w:tabs>
        <w:spacing w:before="60" w:after="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4E1DE3" w:rsidRPr="003E431F" w:rsidRDefault="001A14B9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(2)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Ako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suspaljuje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opasni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AD7E60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Uredbe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izr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ačunavaju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stavku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FD4B5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točke</w:t>
      </w:r>
      <w:r w:rsidR="004E1DE3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1A14B9" w:rsidRPr="003E431F" w:rsidRDefault="001A14B9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35B78" w:rsidRPr="003E431F" w:rsidRDefault="00A35B78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(3)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1F1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1F1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1F1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1F1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981F1C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šest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5760" w:type="dxa"/>
        <w:tblInd w:w="6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2093"/>
      </w:tblGrid>
      <w:tr w:rsidR="00BE145D" w:rsidRPr="003E431F" w:rsidTr="00C32121">
        <w:trPr>
          <w:trHeight w:hRule="exact" w:val="340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E145D" w:rsidRPr="003E431F" w:rsidRDefault="00BE145D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E145D" w:rsidRPr="003E431F" w:rsidRDefault="00BE145D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(ng/m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BE145D" w:rsidRPr="003E431F" w:rsidTr="00C32121">
        <w:trPr>
          <w:trHeight w:hRule="exact" w:val="340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E145D" w:rsidRPr="003E431F" w:rsidRDefault="00BE145D" w:rsidP="00AC56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Dioksini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furani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E145D" w:rsidRPr="003E431F" w:rsidRDefault="00BE145D" w:rsidP="00AC5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0,1</w:t>
            </w:r>
          </w:p>
        </w:tc>
      </w:tr>
    </w:tbl>
    <w:p w:rsidR="001A14B9" w:rsidRPr="003E431F" w:rsidRDefault="001A14B9" w:rsidP="00AA78A5">
      <w:pPr>
        <w:shd w:val="clear" w:color="auto" w:fill="FFFFFF"/>
        <w:spacing w:before="120" w:after="12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81F1C" w:rsidRPr="003E431F" w:rsidRDefault="00981F1C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(4)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postrojenja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spaljivanje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otpada,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propisana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razdobljima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manjim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minuta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ne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većim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osam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sati,</w:t>
      </w:r>
      <w:r w:rsidR="00642091"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su:</w:t>
      </w:r>
    </w:p>
    <w:tbl>
      <w:tblPr>
        <w:tblW w:w="5892" w:type="dxa"/>
        <w:tblInd w:w="6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2228"/>
      </w:tblGrid>
      <w:tr w:rsidR="00981F1C" w:rsidRPr="003E431F" w:rsidTr="00C32121">
        <w:trPr>
          <w:trHeight w:hRule="exact" w:val="340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)</w:t>
            </w:r>
          </w:p>
        </w:tc>
      </w:tr>
      <w:tr w:rsidR="00981F1C" w:rsidRPr="003E431F" w:rsidTr="00C32121">
        <w:trPr>
          <w:trHeight w:hRule="exact" w:val="340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Cd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Tl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0,05</w:t>
            </w:r>
          </w:p>
        </w:tc>
      </w:tr>
      <w:tr w:rsidR="00981F1C" w:rsidRPr="003E431F" w:rsidTr="00C32121">
        <w:trPr>
          <w:trHeight w:hRule="exact" w:val="340"/>
        </w:trPr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Hg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81F1C" w:rsidRPr="003E431F" w:rsidRDefault="00981F1C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0,05</w:t>
            </w:r>
          </w:p>
        </w:tc>
      </w:tr>
    </w:tbl>
    <w:p w:rsidR="00981F1C" w:rsidRPr="003E431F" w:rsidRDefault="00981F1C" w:rsidP="00981F1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D4B53" w:rsidRPr="003E431F" w:rsidRDefault="001A14B9" w:rsidP="0088012E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B. Tehnološki procesi dobivanja cementa</w:t>
      </w:r>
    </w:p>
    <w:p w:rsidR="00B825AA" w:rsidRPr="003E431F" w:rsidRDefault="001A14B9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p w:rsidR="00B825AA" w:rsidRPr="003E431F" w:rsidRDefault="00B825AA" w:rsidP="00B825AA">
      <w:pPr>
        <w:shd w:val="clear" w:color="auto" w:fill="FFFFFF"/>
        <w:spacing w:before="120"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W w:w="90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1950"/>
      </w:tblGrid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praškasta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Sumporov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para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plinova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(TOC)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klorid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(HCl)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Vodikov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fluorid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(HF)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</w:tr>
      <w:tr w:rsidR="00B825AA" w:rsidRPr="003E431F" w:rsidTr="00AA78A5">
        <w:trPr>
          <w:trHeight w:hRule="exact" w:val="34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Dušikovi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spojevi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izraženi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postrojenja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500</w:t>
            </w:r>
          </w:p>
        </w:tc>
      </w:tr>
    </w:tbl>
    <w:p w:rsidR="00B825AA" w:rsidRPr="003E431F" w:rsidRDefault="00B825AA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postojeće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sumporovog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825AA" w:rsidRPr="003E431F" w:rsidRDefault="00B825AA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Lepol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druge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rotacijske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peći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izuzimaju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dušikove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spojeve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izražene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kao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x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uvjet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granična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emisije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utvrđena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veća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800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mg/m</w:t>
      </w:r>
      <w:r w:rsidRPr="003E43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3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A14B9" w:rsidRPr="003E431F" w:rsidRDefault="001A14B9" w:rsidP="001A14B9">
      <w:pPr>
        <w:pStyle w:val="Odlomakpopisa"/>
        <w:shd w:val="clear" w:color="auto" w:fill="FFFFFF"/>
        <w:tabs>
          <w:tab w:val="left" w:pos="426"/>
        </w:tabs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5AA" w:rsidRPr="003E431F" w:rsidRDefault="00B825AA" w:rsidP="001A14B9">
      <w:pPr>
        <w:shd w:val="clear" w:color="auto" w:fill="FFFFFF"/>
        <w:tabs>
          <w:tab w:val="left" w:pos="426"/>
        </w:tabs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="001A14B9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teških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metala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minuta,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sati:</w:t>
      </w:r>
    </w:p>
    <w:p w:rsidR="00B825AA" w:rsidRPr="003E431F" w:rsidRDefault="00B825AA" w:rsidP="00B825AA">
      <w:pPr>
        <w:shd w:val="clear" w:color="auto" w:fill="FFFFFF"/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W w:w="61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1503"/>
      </w:tblGrid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Cd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Tl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0,05</w:t>
            </w:r>
          </w:p>
        </w:tc>
      </w:tr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Hg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0,05</w:t>
            </w:r>
          </w:p>
        </w:tc>
      </w:tr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Sb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As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Pb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Cr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+Mn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981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0,5</w:t>
            </w:r>
          </w:p>
        </w:tc>
      </w:tr>
    </w:tbl>
    <w:p w:rsidR="009B7530" w:rsidRPr="003E431F" w:rsidRDefault="009B7530" w:rsidP="009B7530">
      <w:pPr>
        <w:pStyle w:val="Odlomakpopisa"/>
        <w:shd w:val="clear" w:color="auto" w:fill="FFFFFF"/>
        <w:tabs>
          <w:tab w:val="left" w:pos="426"/>
        </w:tabs>
        <w:spacing w:after="48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5AA" w:rsidRPr="003E431F" w:rsidRDefault="001A14B9" w:rsidP="001A14B9">
      <w:pPr>
        <w:shd w:val="clear" w:color="auto" w:fill="FFFFFF"/>
        <w:spacing w:after="48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stavka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ovoga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tehnološke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procese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cementa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dioksina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furana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uzorkovanja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sati:</w:t>
      </w:r>
    </w:p>
    <w:p w:rsidR="00B825AA" w:rsidRPr="003E431F" w:rsidRDefault="00B825AA" w:rsidP="00B825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W w:w="61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1503"/>
      </w:tblGrid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825AA" w:rsidRPr="003E431F" w:rsidTr="009504C6">
        <w:trPr>
          <w:trHeight w:hRule="exact" w:val="369"/>
        </w:trPr>
        <w:tc>
          <w:tcPr>
            <w:tcW w:w="4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Dioksini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furani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0,1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</w:p>
        </w:tc>
      </w:tr>
    </w:tbl>
    <w:p w:rsidR="00B825AA" w:rsidRPr="003E431F" w:rsidRDefault="00B825AA" w:rsidP="00B825AA">
      <w:pPr>
        <w:shd w:val="clear" w:color="auto" w:fill="FFFFFF"/>
        <w:spacing w:before="120" w:after="120"/>
        <w:ind w:left="768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825AA" w:rsidRPr="003E431F" w:rsidRDefault="001A14B9" w:rsidP="0088012E">
      <w:pPr>
        <w:pStyle w:val="Naslov2"/>
        <w:jc w:val="left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C. Uređaji za loženje</w:t>
      </w:r>
    </w:p>
    <w:p w:rsidR="00B825AA" w:rsidRPr="003E431F" w:rsidRDefault="001A14B9" w:rsidP="009504C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1.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goriva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biomase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</w:p>
    <w:p w:rsidR="00B825AA" w:rsidRPr="003E431F" w:rsidRDefault="001A14B9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kruta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osim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podnijeli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2014.,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825AA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W w:w="90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276"/>
        <w:gridCol w:w="2835"/>
        <w:gridCol w:w="1701"/>
        <w:gridCol w:w="1417"/>
      </w:tblGrid>
      <w:tr w:rsidR="00B825AA" w:rsidRPr="003E431F" w:rsidTr="00B11AFA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>C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vertAlign w:val="subscript"/>
                <w:lang w:eastAsia="hr-HR"/>
              </w:rPr>
              <w:t>proc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kruto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gorivo,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biomase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825AA" w:rsidRPr="003E431F" w:rsidTr="00B11AFA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B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11AFA"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11AFA"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825AA"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825AA"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B825AA" w:rsidRPr="003E431F" w:rsidTr="00B11AFA">
        <w:trPr>
          <w:trHeight w:hRule="exact" w:val="5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  <w:p w:rsidR="00B825AA" w:rsidRPr="003E431F" w:rsidRDefault="00B825AA" w:rsidP="00C8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Općenito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B825AA" w:rsidRPr="003E431F" w:rsidTr="00B11AFA">
        <w:trPr>
          <w:trHeight w:hRule="exact" w:val="5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</w:p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pulverizirani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lignit: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B825AA" w:rsidRPr="003E431F" w:rsidTr="00B11AFA">
        <w:trPr>
          <w:trHeight w:hRule="exact" w:val="5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čestice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  <w:p w:rsidR="00B825AA" w:rsidRPr="003E431F" w:rsidRDefault="00B825AA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825AA" w:rsidRPr="003E431F" w:rsidRDefault="00B825AA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</w:tbl>
    <w:p w:rsidR="001A14B9" w:rsidRPr="003E431F" w:rsidRDefault="001A14B9" w:rsidP="001A14B9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25AA" w:rsidRPr="003E431F" w:rsidRDefault="001A14B9" w:rsidP="001A14B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(2)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(C</w:t>
      </w:r>
      <w:r w:rsidR="00B825AA" w:rsidRPr="003E431F">
        <w:rPr>
          <w:rFonts w:ascii="Times New Roman" w:hAnsi="Times New Roman" w:cs="Times New Roman"/>
          <w:sz w:val="24"/>
          <w:szCs w:val="24"/>
          <w:vertAlign w:val="subscript"/>
        </w:rPr>
        <w:t>proc</w:t>
      </w:r>
      <w:r w:rsidR="00B825AA" w:rsidRPr="003E431F">
        <w:rPr>
          <w:rFonts w:ascii="Times New Roman" w:hAnsi="Times New Roman" w:cs="Times New Roman"/>
          <w:sz w:val="24"/>
          <w:szCs w:val="24"/>
        </w:rPr>
        <w:t>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za</w:t>
      </w:r>
      <w:r w:rsidR="00426253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uređaje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koji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koriste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kruta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goriva,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osim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biomase,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čija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dozvola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gospodarenje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otpadom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izdana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2013.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godine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koje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operateri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podnijeli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zahtjev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tog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datuma,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pušteni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rad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2014.,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dnevnim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vrijednostima,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B825AA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90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34"/>
        <w:gridCol w:w="1418"/>
        <w:gridCol w:w="1701"/>
        <w:gridCol w:w="2976"/>
      </w:tblGrid>
      <w:tr w:rsidR="00C82604" w:rsidRPr="003E431F" w:rsidTr="00AA78A5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Vrijednosti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>C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vertAlign w:val="subscript"/>
                <w:lang w:eastAsia="hr-HR"/>
              </w:rPr>
              <w:t>proc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kruto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gorivo,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biomase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11AFA" w:rsidRPr="003E431F" w:rsidTr="00B11AFA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C82604" w:rsidRPr="003E431F" w:rsidTr="00B11AFA">
        <w:trPr>
          <w:trHeight w:hRule="exact" w:val="136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  <w:p w:rsidR="00C82604" w:rsidRPr="003E431F" w:rsidRDefault="00C82604" w:rsidP="00C82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Općenito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400</w:t>
            </w:r>
          </w:p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osim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slučaju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izgaranja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sloju: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250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cirkulirajućem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tlačnom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sloju,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treset,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sva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izgaranja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fluidiziranom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sloju: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C82604" w:rsidRPr="003E431F" w:rsidTr="00B11AFA">
        <w:trPr>
          <w:trHeight w:hRule="exact" w:val="85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</w:p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150</w:t>
            </w:r>
          </w:p>
          <w:p w:rsidR="00C82604" w:rsidRPr="003E431F" w:rsidRDefault="00C82604" w:rsidP="009B75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izgaranje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pulveriziranog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lignita: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C82604" w:rsidRPr="003E431F" w:rsidTr="00B11AFA">
        <w:trPr>
          <w:trHeight w:hRule="exact" w:val="567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čestice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</w:p>
          <w:p w:rsidR="00C82604" w:rsidRPr="003E431F" w:rsidRDefault="00C82604" w:rsidP="00C826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treset: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</w:tbl>
    <w:p w:rsidR="001A14B9" w:rsidRPr="003E431F" w:rsidRDefault="001A14B9" w:rsidP="009B7530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9B7530" w:rsidRPr="003E431F" w:rsidRDefault="003263C5" w:rsidP="009B7530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9B7530" w:rsidRPr="003E43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Biomasa</w:t>
      </w:r>
    </w:p>
    <w:p w:rsidR="00C82604" w:rsidRPr="003E431F" w:rsidRDefault="001A14B9" w:rsidP="001A14B9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GVE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onečišćujućih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tvari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(C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  <w:t>proc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otpadnom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plinu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loženje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suspaljivanju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koriste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gorivo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biomase,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čija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dozvola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gospodarenje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otpadom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2013.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koje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operateri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podnijeli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tog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datuma,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pušteni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siječnja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2014.,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propisane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dnevnim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vrijednostima,</w:t>
      </w:r>
      <w:r w:rsidR="00642091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604" w:rsidRPr="003E431F">
        <w:rPr>
          <w:rFonts w:ascii="Times New Roman" w:eastAsia="Times New Roman" w:hAnsi="Times New Roman" w:cs="Times New Roman"/>
          <w:sz w:val="24"/>
          <w:szCs w:val="24"/>
          <w:lang w:eastAsia="hr-HR"/>
        </w:rPr>
        <w:t>su:</w:t>
      </w:r>
    </w:p>
    <w:tbl>
      <w:tblPr>
        <w:tblW w:w="903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1719"/>
        <w:gridCol w:w="1702"/>
        <w:gridCol w:w="1679"/>
        <w:gridCol w:w="1642"/>
      </w:tblGrid>
      <w:tr w:rsidR="00C82604" w:rsidRPr="003E431F" w:rsidTr="003263C5">
        <w:trPr>
          <w:trHeight w:hRule="exact" w:val="336"/>
        </w:trPr>
        <w:tc>
          <w:tcPr>
            <w:tcW w:w="90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Vrijednosti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>C</w:t>
            </w:r>
            <w:r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vertAlign w:val="subscript"/>
                <w:lang w:eastAsia="hr-HR"/>
              </w:rPr>
              <w:t>proc</w:t>
            </w:r>
            <w:r w:rsidR="00642091" w:rsidRPr="003E431F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za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biomasu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(mg/m</w:t>
            </w:r>
            <w:r w:rsidRPr="003E431F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3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B11AFA" w:rsidRPr="003E431F" w:rsidTr="003263C5">
        <w:trPr>
          <w:trHeight w:hRule="exact" w:val="336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Onečišćujuća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tvar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C82604" w:rsidRPr="003E431F" w:rsidTr="003263C5">
        <w:trPr>
          <w:trHeight w:hRule="exact" w:val="336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SO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C82604" w:rsidRPr="003E431F" w:rsidTr="003263C5">
        <w:trPr>
          <w:trHeight w:hRule="exact" w:val="336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NO</w:t>
            </w:r>
            <w:r w:rsidRPr="003E431F">
              <w:rPr>
                <w:rFonts w:ascii="Times New Roman" w:eastAsia="Times New Roman" w:hAnsi="Times New Roman" w:cs="Times New Roman"/>
                <w:vertAlign w:val="subscript"/>
                <w:lang w:eastAsia="hr-HR"/>
              </w:rPr>
              <w:t>x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250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</w:p>
        </w:tc>
      </w:tr>
      <w:tr w:rsidR="00C82604" w:rsidRPr="003E431F" w:rsidTr="003263C5">
        <w:trPr>
          <w:trHeight w:hRule="exact" w:val="336"/>
        </w:trPr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Krute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čestice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82604" w:rsidRPr="003E431F" w:rsidRDefault="00C82604" w:rsidP="001C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</w:p>
        </w:tc>
      </w:tr>
    </w:tbl>
    <w:p w:rsidR="002D6FEF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2604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(2)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(C</w:t>
      </w:r>
      <w:r w:rsidR="00C82604" w:rsidRPr="003E431F">
        <w:rPr>
          <w:rFonts w:ascii="Times New Roman" w:hAnsi="Times New Roman" w:cs="Times New Roman"/>
          <w:sz w:val="24"/>
          <w:szCs w:val="24"/>
          <w:vertAlign w:val="subscript"/>
        </w:rPr>
        <w:t>proc</w:t>
      </w:r>
      <w:r w:rsidR="00C82604" w:rsidRPr="003E431F">
        <w:rPr>
          <w:rFonts w:ascii="Times New Roman" w:hAnsi="Times New Roman" w:cs="Times New Roman"/>
          <w:sz w:val="24"/>
          <w:szCs w:val="24"/>
        </w:rPr>
        <w:t>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uređaje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koji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koriste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gorivo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biomase,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čija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dozvola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gospodarenje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izdana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2013.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godine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operateri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podnijeli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zahtjev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tog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datuma,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pušteni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rad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2014.,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dnevnim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vrijednostima,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90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1686"/>
        <w:gridCol w:w="1782"/>
        <w:gridCol w:w="1633"/>
        <w:gridCol w:w="1635"/>
      </w:tblGrid>
      <w:tr w:rsidR="00C82604" w:rsidRPr="003E431F" w:rsidTr="00C37061">
        <w:trPr>
          <w:trHeight w:hRule="exact" w:val="340"/>
        </w:trPr>
        <w:tc>
          <w:tcPr>
            <w:tcW w:w="9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Vrijednosti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Pr="003E431F">
              <w:rPr>
                <w:rFonts w:ascii="Times New Roman" w:hAnsi="Times New Roman" w:cs="Times New Roman"/>
                <w:iCs/>
                <w:vertAlign w:val="subscript"/>
              </w:rPr>
              <w:t>proc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biomasu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B11AFA" w:rsidRPr="003E431F" w:rsidTr="00C37061">
        <w:trPr>
          <w:trHeight w:hRule="exact" w:val="340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&lt;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MWt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Krute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čestice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C826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</w:tr>
    </w:tbl>
    <w:p w:rsidR="002D6FEF" w:rsidRPr="003E431F" w:rsidRDefault="002D6FEF" w:rsidP="003263C5">
      <w:pPr>
        <w:spacing w:before="24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82604" w:rsidRPr="003E431F" w:rsidRDefault="003263C5" w:rsidP="003263C5">
      <w:pPr>
        <w:spacing w:before="24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431F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642091" w:rsidRPr="003E43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  <w:u w:val="single"/>
        </w:rPr>
        <w:t>Tekuća</w:t>
      </w:r>
      <w:r w:rsidR="00642091" w:rsidRPr="003E43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  <w:u w:val="single"/>
        </w:rPr>
        <w:t>goriva</w:t>
      </w:r>
    </w:p>
    <w:p w:rsidR="00C82604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(1)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(C</w:t>
      </w:r>
      <w:r w:rsidR="00C82604" w:rsidRPr="003E431F">
        <w:rPr>
          <w:rFonts w:ascii="Times New Roman" w:hAnsi="Times New Roman" w:cs="Times New Roman"/>
          <w:sz w:val="24"/>
          <w:szCs w:val="24"/>
          <w:vertAlign w:val="subscript"/>
        </w:rPr>
        <w:t>proc</w:t>
      </w:r>
      <w:r w:rsidR="00C82604" w:rsidRPr="003E431F">
        <w:rPr>
          <w:rFonts w:ascii="Times New Roman" w:hAnsi="Times New Roman" w:cs="Times New Roman"/>
          <w:sz w:val="24"/>
          <w:szCs w:val="24"/>
        </w:rPr>
        <w:t>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koji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koriste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tekuća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goriva,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čija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dozvola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gospodarenje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otpadom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izdana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2013.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godine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koje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operateri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podnijeli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zahtjev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tog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datuma,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pušteni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rad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do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2014.,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dnevnim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vrijednostima,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C82604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90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636"/>
        <w:gridCol w:w="1784"/>
        <w:gridCol w:w="1635"/>
        <w:gridCol w:w="1638"/>
      </w:tblGrid>
      <w:tr w:rsidR="00C82604" w:rsidRPr="003E431F" w:rsidTr="00C37061">
        <w:trPr>
          <w:trHeight w:hRule="exact" w:val="34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Vrijednosti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Pr="003E431F">
              <w:rPr>
                <w:rFonts w:ascii="Times New Roman" w:hAnsi="Times New Roman" w:cs="Times New Roman"/>
                <w:iCs/>
                <w:vertAlign w:val="subscript"/>
              </w:rPr>
              <w:t>proc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tekuća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goriva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B11AFA" w:rsidRPr="003E431F" w:rsidTr="00C37061">
        <w:trPr>
          <w:trHeight w:hRule="exact" w:val="340"/>
        </w:trPr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&lt;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MWt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</w:tr>
      <w:tr w:rsidR="00C82604" w:rsidRPr="003E431F" w:rsidTr="00C37061">
        <w:trPr>
          <w:trHeight w:hRule="exact" w:val="340"/>
        </w:trPr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Krute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čestice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82604" w:rsidRPr="003E431F" w:rsidRDefault="00C82604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</w:tr>
    </w:tbl>
    <w:p w:rsidR="002D6FEF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56AB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(2)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(C</w:t>
      </w:r>
      <w:r w:rsidR="00AC56AB" w:rsidRPr="003E431F">
        <w:rPr>
          <w:rFonts w:ascii="Times New Roman" w:hAnsi="Times New Roman" w:cs="Times New Roman"/>
          <w:sz w:val="24"/>
          <w:szCs w:val="24"/>
          <w:vertAlign w:val="subscript"/>
        </w:rPr>
        <w:t>proc</w:t>
      </w:r>
      <w:r w:rsidR="00AC56AB" w:rsidRPr="003E431F">
        <w:rPr>
          <w:rFonts w:ascii="Times New Roman" w:hAnsi="Times New Roman" w:cs="Times New Roman"/>
          <w:sz w:val="24"/>
          <w:szCs w:val="24"/>
        </w:rPr>
        <w:t>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iz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koji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koriste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tekuća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goriva,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čija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dozvola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gospodarenje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izdana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2013.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godine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koje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operateri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podnijeli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zahtjev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tog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datuma,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pušteni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rad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poslije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7.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siječnja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2014.,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dnevnim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vrijednostima,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90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634"/>
        <w:gridCol w:w="1782"/>
        <w:gridCol w:w="1633"/>
        <w:gridCol w:w="1634"/>
      </w:tblGrid>
      <w:tr w:rsidR="00AC56AB" w:rsidRPr="003E431F" w:rsidTr="00C37061">
        <w:trPr>
          <w:trHeight w:hRule="exact" w:val="359"/>
        </w:trPr>
        <w:tc>
          <w:tcPr>
            <w:tcW w:w="9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Vrijednosti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Pr="003E431F">
              <w:rPr>
                <w:rFonts w:ascii="Times New Roman" w:hAnsi="Times New Roman" w:cs="Times New Roman"/>
                <w:iCs/>
                <w:vertAlign w:val="subscript"/>
              </w:rPr>
              <w:t>proc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za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tekuća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goriva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B11AFA" w:rsidRPr="003E431F" w:rsidTr="00C37061">
        <w:trPr>
          <w:trHeight w:hRule="exact" w:val="359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&lt;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MWt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50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100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&lt;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11AFA" w:rsidRPr="003E431F" w:rsidRDefault="00B11AFA" w:rsidP="00B11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≥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300</w:t>
            </w:r>
            <w:r w:rsidR="00642091" w:rsidRPr="003E431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lang w:eastAsia="hr-HR"/>
              </w:rPr>
              <w:t>MWt</w:t>
            </w:r>
          </w:p>
        </w:tc>
      </w:tr>
      <w:tr w:rsidR="00AC56AB" w:rsidRPr="003E431F" w:rsidTr="00C37061">
        <w:trPr>
          <w:trHeight w:hRule="exact" w:val="359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SO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</w:tr>
      <w:tr w:rsidR="00AC56AB" w:rsidRPr="003E431F" w:rsidTr="00C37061">
        <w:trPr>
          <w:trHeight w:hRule="exact" w:val="359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NO</w:t>
            </w:r>
            <w:r w:rsidRPr="003E431F">
              <w:rPr>
                <w:rFonts w:ascii="Times New Roman" w:hAnsi="Times New Roman" w:cs="Times New Roman"/>
                <w:vertAlign w:val="subscript"/>
              </w:rPr>
              <w:t>x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100</w:t>
            </w:r>
          </w:p>
        </w:tc>
      </w:tr>
      <w:tr w:rsidR="00AC56AB" w:rsidRPr="003E431F" w:rsidTr="00C37061">
        <w:trPr>
          <w:trHeight w:hRule="exact" w:val="359"/>
        </w:trPr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Krute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čestice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10</w:t>
            </w:r>
          </w:p>
        </w:tc>
      </w:tr>
    </w:tbl>
    <w:p w:rsidR="00FE7642" w:rsidRPr="003E431F" w:rsidRDefault="00FE7642" w:rsidP="00FE764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56AB" w:rsidRPr="003E431F" w:rsidRDefault="002D6FEF" w:rsidP="00FE764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(3)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Ukupna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(C)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teških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metala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loženje,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vrijednostima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razdobljima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manjim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30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minuta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većim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osam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sati,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69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1334"/>
      </w:tblGrid>
      <w:tr w:rsidR="00AC56AB" w:rsidRPr="003E431F" w:rsidTr="00C37061">
        <w:trPr>
          <w:trHeight w:hRule="exact" w:val="369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AC56AB" w:rsidRPr="003E431F" w:rsidTr="00C37061">
        <w:trPr>
          <w:trHeight w:hRule="exact" w:val="369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Cd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Tl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0,05</w:t>
            </w:r>
          </w:p>
        </w:tc>
      </w:tr>
      <w:tr w:rsidR="00AC56AB" w:rsidRPr="003E431F" w:rsidTr="00C37061">
        <w:trPr>
          <w:trHeight w:hRule="exact" w:val="369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Hg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0,05</w:t>
            </w:r>
          </w:p>
        </w:tc>
      </w:tr>
      <w:tr w:rsidR="00AC56AB" w:rsidRPr="003E431F" w:rsidTr="00C37061">
        <w:trPr>
          <w:trHeight w:hRule="exact" w:val="369"/>
        </w:trPr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Sb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As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Pb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Cr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Cu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Mn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0,5</w:t>
            </w:r>
          </w:p>
        </w:tc>
      </w:tr>
    </w:tbl>
    <w:p w:rsidR="002D6FEF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56AB" w:rsidRPr="003E431F" w:rsidRDefault="002D6FEF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(4)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Ukupna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(C)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dioksina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furana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loženje,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propisane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odnosu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prema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srednjim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vrijednostima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razdobljima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manjim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šest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sati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ne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većim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od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osam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sati,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AC56AB"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55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1854"/>
      </w:tblGrid>
      <w:tr w:rsidR="00AC56AB" w:rsidRPr="003E431F" w:rsidTr="00C37061">
        <w:trPr>
          <w:trHeight w:val="369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(ng/m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AC56AB" w:rsidRPr="003E431F" w:rsidTr="00C37061">
        <w:trPr>
          <w:trHeight w:val="369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Dioksini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i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furani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AC56AB" w:rsidRPr="003E431F" w:rsidRDefault="00AC56AB" w:rsidP="00AC56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0,1</w:t>
            </w:r>
          </w:p>
        </w:tc>
      </w:tr>
    </w:tbl>
    <w:p w:rsidR="002D6FEF" w:rsidRPr="003E431F" w:rsidRDefault="002D6FEF" w:rsidP="002D6FEF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1671" w:rsidRPr="003E431F" w:rsidRDefault="002D6FEF" w:rsidP="002D6FEF">
      <w:pPr>
        <w:tabs>
          <w:tab w:val="left" w:pos="426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 xml:space="preserve">(5) </w:t>
      </w:r>
      <w:r w:rsidR="00311671" w:rsidRPr="003E431F">
        <w:rPr>
          <w:rFonts w:ascii="Times New Roman" w:hAnsi="Times New Roman" w:cs="Times New Roman"/>
          <w:sz w:val="24"/>
          <w:szCs w:val="24"/>
        </w:rPr>
        <w:t>Ukupna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ukupnog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organskog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ugljika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pri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suspaljivanju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otpada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uređaja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loženje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="00311671" w:rsidRPr="003E431F">
        <w:rPr>
          <w:rFonts w:ascii="Times New Roman" w:hAnsi="Times New Roman" w:cs="Times New Roman"/>
          <w:sz w:val="24"/>
          <w:szCs w:val="24"/>
        </w:rPr>
        <w:t>je:</w:t>
      </w:r>
    </w:p>
    <w:tbl>
      <w:tblPr>
        <w:tblW w:w="55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7"/>
        <w:gridCol w:w="1854"/>
      </w:tblGrid>
      <w:tr w:rsidR="00311671" w:rsidRPr="003E431F" w:rsidTr="0069086A">
        <w:trPr>
          <w:trHeight w:val="369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311671" w:rsidRPr="003E431F" w:rsidRDefault="00311671" w:rsidP="00690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311671" w:rsidRPr="003E431F" w:rsidRDefault="00311671" w:rsidP="00311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iCs/>
              </w:rPr>
              <w:t>C</w:t>
            </w:r>
            <w:r w:rsidR="00642091" w:rsidRPr="003E431F">
              <w:rPr>
                <w:rFonts w:ascii="Times New Roman" w:hAnsi="Times New Roman" w:cs="Times New Roman"/>
                <w:iCs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3E431F">
              <w:rPr>
                <w:rFonts w:ascii="Times New Roman" w:hAnsi="Times New Roman" w:cs="Times New Roman"/>
              </w:rPr>
              <w:t>)</w:t>
            </w:r>
          </w:p>
        </w:tc>
      </w:tr>
      <w:tr w:rsidR="00311671" w:rsidRPr="003E431F" w:rsidTr="0069086A">
        <w:trPr>
          <w:trHeight w:val="369"/>
        </w:trPr>
        <w:tc>
          <w:tcPr>
            <w:tcW w:w="3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311671" w:rsidRPr="003E431F" w:rsidRDefault="00311671" w:rsidP="006908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TOC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96" w:type="dxa"/>
              <w:bottom w:w="28" w:type="dxa"/>
              <w:right w:w="96" w:type="dxa"/>
            </w:tcMar>
            <w:vAlign w:val="center"/>
            <w:hideMark/>
          </w:tcPr>
          <w:p w:rsidR="00311671" w:rsidRPr="003E431F" w:rsidRDefault="00311671" w:rsidP="006908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10</w:t>
            </w:r>
          </w:p>
        </w:tc>
      </w:tr>
    </w:tbl>
    <w:p w:rsidR="00B11AFA" w:rsidRPr="003E431F" w:rsidRDefault="00B11AFA" w:rsidP="005F1279">
      <w:pPr>
        <w:shd w:val="clear" w:color="auto" w:fill="FFFFFF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8D73B5" w:rsidRPr="003E431F" w:rsidRDefault="008D73B5" w:rsidP="0088012E">
      <w:pPr>
        <w:pStyle w:val="Naslov1"/>
        <w:rPr>
          <w:rFonts w:eastAsia="Times New Roman"/>
          <w:lang w:eastAsia="hr-HR"/>
        </w:rPr>
      </w:pPr>
      <w:r w:rsidRPr="003E431F">
        <w:rPr>
          <w:rFonts w:eastAsia="Times New Roman"/>
          <w:lang w:eastAsia="hr-HR"/>
        </w:rPr>
        <w:t>PRILOG</w:t>
      </w:r>
      <w:r w:rsidR="00642091" w:rsidRPr="003E431F">
        <w:rPr>
          <w:rFonts w:eastAsia="Times New Roman"/>
          <w:lang w:eastAsia="hr-HR"/>
        </w:rPr>
        <w:t xml:space="preserve"> </w:t>
      </w:r>
      <w:r w:rsidRPr="003E431F">
        <w:rPr>
          <w:rFonts w:eastAsia="Times New Roman"/>
          <w:lang w:eastAsia="hr-HR"/>
        </w:rPr>
        <w:t>22.</w:t>
      </w:r>
    </w:p>
    <w:p w:rsidR="008D73B5" w:rsidRPr="003E431F" w:rsidRDefault="008D73B5" w:rsidP="002D6FEF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31F">
        <w:rPr>
          <w:rFonts w:ascii="Times New Roman" w:hAnsi="Times New Roman" w:cs="Times New Roman"/>
          <w:b/>
          <w:sz w:val="24"/>
          <w:szCs w:val="24"/>
        </w:rPr>
        <w:t>GRANIČNE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VRIJEDNOSTI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EMISIJA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ZRAK</w:t>
      </w:r>
      <w:r w:rsidR="00426253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ZA</w:t>
      </w:r>
      <w:r w:rsidR="00642091" w:rsidRPr="003E4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b/>
          <w:sz w:val="24"/>
          <w:szCs w:val="24"/>
        </w:rPr>
        <w:t>KREMATORIJE</w:t>
      </w:r>
    </w:p>
    <w:p w:rsidR="008D73B5" w:rsidRPr="003E431F" w:rsidRDefault="008D73B5" w:rsidP="002D6FE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31F">
        <w:rPr>
          <w:rFonts w:ascii="Times New Roman" w:hAnsi="Times New Roman" w:cs="Times New Roman"/>
          <w:sz w:val="24"/>
          <w:szCs w:val="24"/>
        </w:rPr>
        <w:t>GVE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onečišćujućih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tvari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otpadnom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plinu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krematorija</w:t>
      </w:r>
      <w:r w:rsidR="00642091" w:rsidRPr="003E431F">
        <w:rPr>
          <w:rFonts w:ascii="Times New Roman" w:hAnsi="Times New Roman" w:cs="Times New Roman"/>
          <w:sz w:val="24"/>
          <w:szCs w:val="24"/>
        </w:rPr>
        <w:t xml:space="preserve"> </w:t>
      </w:r>
      <w:r w:rsidRPr="003E431F">
        <w:rPr>
          <w:rFonts w:ascii="Times New Roman" w:hAnsi="Times New Roman" w:cs="Times New Roman"/>
          <w:sz w:val="24"/>
          <w:szCs w:val="24"/>
        </w:rPr>
        <w:t>su:</w:t>
      </w:r>
    </w:p>
    <w:tbl>
      <w:tblPr>
        <w:tblW w:w="85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67"/>
      </w:tblGrid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06931" w:rsidRPr="003E431F" w:rsidRDefault="00A06931" w:rsidP="00364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Onečišćujuća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tvar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06931" w:rsidRPr="003E431F" w:rsidRDefault="00A06931" w:rsidP="00C37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iCs/>
              </w:rPr>
              <w:t>GVE</w:t>
            </w:r>
          </w:p>
        </w:tc>
      </w:tr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06931" w:rsidRPr="003E431F" w:rsidRDefault="00A06931" w:rsidP="00364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krute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čestice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A06931" w:rsidRPr="003E431F" w:rsidRDefault="00A06931" w:rsidP="00A06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364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tvari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obliku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para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ili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plinova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izražene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kao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ukupni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organski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ugljik</w:t>
            </w:r>
            <w:r w:rsidR="00642091"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</w:t>
            </w:r>
            <w:r w:rsidRPr="003E431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(TOC)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15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ugljikov</w:t>
            </w:r>
            <w:r w:rsidR="00642091" w:rsidRPr="003E431F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monoksid</w:t>
            </w:r>
            <w:r w:rsidR="00642091" w:rsidRPr="003E431F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>(CO)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100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klorid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(HCl)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+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vodikov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fluorid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(HF)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ukupno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30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06931" w:rsidRPr="003E431F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dušikovih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oksida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izraženih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kao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NO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350</w:t>
            </w:r>
            <w:r w:rsidR="00642091" w:rsidRPr="003E431F">
              <w:rPr>
                <w:rFonts w:ascii="Times New Roman" w:hAnsi="Times New Roman" w:cs="Times New Roman"/>
              </w:rPr>
              <w:t xml:space="preserve"> </w:t>
            </w:r>
            <w:r w:rsidRPr="003E431F">
              <w:rPr>
                <w:rFonts w:ascii="Times New Roman" w:hAnsi="Times New Roman" w:cs="Times New Roman"/>
              </w:rPr>
              <w:t>mg/m</w:t>
            </w:r>
            <w:r w:rsidRPr="003E431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A06931" w:rsidRPr="00535285" w:rsidTr="00C37061">
        <w:trPr>
          <w:trHeight w:val="21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3E431F" w:rsidRDefault="00A06931" w:rsidP="00A0693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dimni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broj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(Bacharach)</w:t>
            </w:r>
            <w:r w:rsidR="00642091" w:rsidRPr="003E431F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06931" w:rsidRPr="00535285" w:rsidRDefault="00A06931" w:rsidP="00364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31F">
              <w:rPr>
                <w:rFonts w:ascii="Times New Roman" w:hAnsi="Times New Roman" w:cs="Times New Roman"/>
              </w:rPr>
              <w:t>1</w:t>
            </w:r>
          </w:p>
        </w:tc>
      </w:tr>
    </w:tbl>
    <w:p w:rsidR="008D73B5" w:rsidRPr="00535285" w:rsidRDefault="008D73B5" w:rsidP="00026D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73B5" w:rsidRPr="00535285" w:rsidSect="00E633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A0F"/>
    <w:multiLevelType w:val="hybridMultilevel"/>
    <w:tmpl w:val="36D6178A"/>
    <w:lvl w:ilvl="0" w:tplc="97087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630628"/>
    <w:multiLevelType w:val="hybridMultilevel"/>
    <w:tmpl w:val="2C5AF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316AD"/>
    <w:multiLevelType w:val="hybridMultilevel"/>
    <w:tmpl w:val="9650159E"/>
    <w:lvl w:ilvl="0" w:tplc="AB7412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580B2A"/>
    <w:multiLevelType w:val="hybridMultilevel"/>
    <w:tmpl w:val="E3C69EB8"/>
    <w:lvl w:ilvl="0" w:tplc="5122DA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D763F"/>
    <w:multiLevelType w:val="hybridMultilevel"/>
    <w:tmpl w:val="50623DD2"/>
    <w:lvl w:ilvl="0" w:tplc="3DAC7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A1446"/>
    <w:multiLevelType w:val="hybridMultilevel"/>
    <w:tmpl w:val="C3ECADDA"/>
    <w:lvl w:ilvl="0" w:tplc="08B0A548">
      <w:start w:val="1"/>
      <w:numFmt w:val="decimal"/>
      <w:lvlText w:val="(%1)"/>
      <w:lvlJc w:val="left"/>
      <w:pPr>
        <w:ind w:left="928" w:hanging="360"/>
      </w:pPr>
      <w:rPr>
        <w:rFonts w:ascii="Times New Roman" w:hAnsi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B32314"/>
    <w:multiLevelType w:val="hybridMultilevel"/>
    <w:tmpl w:val="5298EBE6"/>
    <w:lvl w:ilvl="0" w:tplc="6E3A3A5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C92966"/>
    <w:multiLevelType w:val="hybridMultilevel"/>
    <w:tmpl w:val="F260EB44"/>
    <w:lvl w:ilvl="0" w:tplc="998ADC1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6B8526B"/>
    <w:multiLevelType w:val="hybridMultilevel"/>
    <w:tmpl w:val="627801EE"/>
    <w:lvl w:ilvl="0" w:tplc="2EB8AA2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061313"/>
    <w:multiLevelType w:val="hybridMultilevel"/>
    <w:tmpl w:val="E4169E5E"/>
    <w:lvl w:ilvl="0" w:tplc="041A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3BB"/>
    <w:multiLevelType w:val="hybridMultilevel"/>
    <w:tmpl w:val="F5705F24"/>
    <w:lvl w:ilvl="0" w:tplc="6264FF5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1DE705D"/>
    <w:multiLevelType w:val="hybridMultilevel"/>
    <w:tmpl w:val="4686D198"/>
    <w:lvl w:ilvl="0" w:tplc="4D2AA6C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3C5B0D"/>
    <w:multiLevelType w:val="hybridMultilevel"/>
    <w:tmpl w:val="500E9BE4"/>
    <w:lvl w:ilvl="0" w:tplc="819260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4A213D2"/>
    <w:multiLevelType w:val="hybridMultilevel"/>
    <w:tmpl w:val="74CE7A40"/>
    <w:lvl w:ilvl="0" w:tplc="84C29D9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83C3989"/>
    <w:multiLevelType w:val="hybridMultilevel"/>
    <w:tmpl w:val="22CA01FA"/>
    <w:lvl w:ilvl="0" w:tplc="DC64657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2B68702F"/>
    <w:multiLevelType w:val="hybridMultilevel"/>
    <w:tmpl w:val="0650AC1C"/>
    <w:lvl w:ilvl="0" w:tplc="106A2A52">
      <w:start w:val="1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609" w:hanging="360"/>
      </w:pPr>
    </w:lvl>
    <w:lvl w:ilvl="2" w:tplc="041A001B" w:tentative="1">
      <w:start w:val="1"/>
      <w:numFmt w:val="lowerRoman"/>
      <w:lvlText w:val="%3."/>
      <w:lvlJc w:val="right"/>
      <w:pPr>
        <w:ind w:left="7329" w:hanging="180"/>
      </w:pPr>
    </w:lvl>
    <w:lvl w:ilvl="3" w:tplc="041A000F" w:tentative="1">
      <w:start w:val="1"/>
      <w:numFmt w:val="decimal"/>
      <w:lvlText w:val="%4."/>
      <w:lvlJc w:val="left"/>
      <w:pPr>
        <w:ind w:left="8049" w:hanging="360"/>
      </w:pPr>
    </w:lvl>
    <w:lvl w:ilvl="4" w:tplc="041A0019" w:tentative="1">
      <w:start w:val="1"/>
      <w:numFmt w:val="lowerLetter"/>
      <w:lvlText w:val="%5."/>
      <w:lvlJc w:val="left"/>
      <w:pPr>
        <w:ind w:left="8769" w:hanging="360"/>
      </w:pPr>
    </w:lvl>
    <w:lvl w:ilvl="5" w:tplc="041A001B" w:tentative="1">
      <w:start w:val="1"/>
      <w:numFmt w:val="lowerRoman"/>
      <w:lvlText w:val="%6."/>
      <w:lvlJc w:val="right"/>
      <w:pPr>
        <w:ind w:left="9489" w:hanging="180"/>
      </w:pPr>
    </w:lvl>
    <w:lvl w:ilvl="6" w:tplc="041A000F" w:tentative="1">
      <w:start w:val="1"/>
      <w:numFmt w:val="decimal"/>
      <w:lvlText w:val="%7."/>
      <w:lvlJc w:val="left"/>
      <w:pPr>
        <w:ind w:left="10209" w:hanging="360"/>
      </w:pPr>
    </w:lvl>
    <w:lvl w:ilvl="7" w:tplc="041A0019" w:tentative="1">
      <w:start w:val="1"/>
      <w:numFmt w:val="lowerLetter"/>
      <w:lvlText w:val="%8."/>
      <w:lvlJc w:val="left"/>
      <w:pPr>
        <w:ind w:left="10929" w:hanging="360"/>
      </w:pPr>
    </w:lvl>
    <w:lvl w:ilvl="8" w:tplc="041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6" w15:restartNumberingAfterBreak="0">
    <w:nsid w:val="2C0E4F30"/>
    <w:multiLevelType w:val="hybridMultilevel"/>
    <w:tmpl w:val="09988FB4"/>
    <w:lvl w:ilvl="0" w:tplc="E0A4799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315E2B6E"/>
    <w:multiLevelType w:val="hybridMultilevel"/>
    <w:tmpl w:val="F942F238"/>
    <w:lvl w:ilvl="0" w:tplc="6F4C2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8F0C9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C0751"/>
    <w:multiLevelType w:val="hybridMultilevel"/>
    <w:tmpl w:val="346099C0"/>
    <w:lvl w:ilvl="0" w:tplc="65EC6C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355E1D8C"/>
    <w:multiLevelType w:val="hybridMultilevel"/>
    <w:tmpl w:val="0D34D3B8"/>
    <w:lvl w:ilvl="0" w:tplc="041A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7255166"/>
    <w:multiLevelType w:val="hybridMultilevel"/>
    <w:tmpl w:val="36D6178A"/>
    <w:lvl w:ilvl="0" w:tplc="97087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7C5FFA"/>
    <w:multiLevelType w:val="hybridMultilevel"/>
    <w:tmpl w:val="B71ADF7C"/>
    <w:lvl w:ilvl="0" w:tplc="67E8A74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3C81721C"/>
    <w:multiLevelType w:val="hybridMultilevel"/>
    <w:tmpl w:val="C290B056"/>
    <w:lvl w:ilvl="0" w:tplc="05C266E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B653FD"/>
    <w:multiLevelType w:val="hybridMultilevel"/>
    <w:tmpl w:val="6006394C"/>
    <w:lvl w:ilvl="0" w:tplc="0C543BA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D885C15"/>
    <w:multiLevelType w:val="hybridMultilevel"/>
    <w:tmpl w:val="4D0E9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50A22"/>
    <w:multiLevelType w:val="hybridMultilevel"/>
    <w:tmpl w:val="08D2DC7A"/>
    <w:lvl w:ilvl="0" w:tplc="64C2D2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 w15:restartNumberingAfterBreak="0">
    <w:nsid w:val="3F2A0202"/>
    <w:multiLevelType w:val="hybridMultilevel"/>
    <w:tmpl w:val="12B65236"/>
    <w:lvl w:ilvl="0" w:tplc="9B4E7E92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E7CB1"/>
    <w:multiLevelType w:val="hybridMultilevel"/>
    <w:tmpl w:val="9174769E"/>
    <w:lvl w:ilvl="0" w:tplc="07885D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06D7A"/>
    <w:multiLevelType w:val="hybridMultilevel"/>
    <w:tmpl w:val="C6B2309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E2DD9"/>
    <w:multiLevelType w:val="hybridMultilevel"/>
    <w:tmpl w:val="A6E2D8F0"/>
    <w:lvl w:ilvl="0" w:tplc="411676DE">
      <w:start w:val="1"/>
      <w:numFmt w:val="lowerLetter"/>
      <w:lvlText w:val="%1)"/>
      <w:lvlJc w:val="left"/>
      <w:pPr>
        <w:ind w:left="5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4" w:hanging="360"/>
      </w:pPr>
    </w:lvl>
    <w:lvl w:ilvl="2" w:tplc="041A001B" w:tentative="1">
      <w:start w:val="1"/>
      <w:numFmt w:val="lowerRoman"/>
      <w:lvlText w:val="%3."/>
      <w:lvlJc w:val="right"/>
      <w:pPr>
        <w:ind w:left="1964" w:hanging="180"/>
      </w:pPr>
    </w:lvl>
    <w:lvl w:ilvl="3" w:tplc="041A000F" w:tentative="1">
      <w:start w:val="1"/>
      <w:numFmt w:val="decimal"/>
      <w:lvlText w:val="%4."/>
      <w:lvlJc w:val="left"/>
      <w:pPr>
        <w:ind w:left="2684" w:hanging="360"/>
      </w:pPr>
    </w:lvl>
    <w:lvl w:ilvl="4" w:tplc="041A0019" w:tentative="1">
      <w:start w:val="1"/>
      <w:numFmt w:val="lowerLetter"/>
      <w:lvlText w:val="%5."/>
      <w:lvlJc w:val="left"/>
      <w:pPr>
        <w:ind w:left="3404" w:hanging="360"/>
      </w:pPr>
    </w:lvl>
    <w:lvl w:ilvl="5" w:tplc="041A001B" w:tentative="1">
      <w:start w:val="1"/>
      <w:numFmt w:val="lowerRoman"/>
      <w:lvlText w:val="%6."/>
      <w:lvlJc w:val="right"/>
      <w:pPr>
        <w:ind w:left="4124" w:hanging="180"/>
      </w:pPr>
    </w:lvl>
    <w:lvl w:ilvl="6" w:tplc="041A000F" w:tentative="1">
      <w:start w:val="1"/>
      <w:numFmt w:val="decimal"/>
      <w:lvlText w:val="%7."/>
      <w:lvlJc w:val="left"/>
      <w:pPr>
        <w:ind w:left="4844" w:hanging="360"/>
      </w:pPr>
    </w:lvl>
    <w:lvl w:ilvl="7" w:tplc="041A0019" w:tentative="1">
      <w:start w:val="1"/>
      <w:numFmt w:val="lowerLetter"/>
      <w:lvlText w:val="%8."/>
      <w:lvlJc w:val="left"/>
      <w:pPr>
        <w:ind w:left="5564" w:hanging="360"/>
      </w:pPr>
    </w:lvl>
    <w:lvl w:ilvl="8" w:tplc="041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0" w15:restartNumberingAfterBreak="0">
    <w:nsid w:val="43426ED2"/>
    <w:multiLevelType w:val="hybridMultilevel"/>
    <w:tmpl w:val="9174769E"/>
    <w:lvl w:ilvl="0" w:tplc="07885D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35143"/>
    <w:multiLevelType w:val="hybridMultilevel"/>
    <w:tmpl w:val="2982B7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E3666"/>
    <w:multiLevelType w:val="hybridMultilevel"/>
    <w:tmpl w:val="8BE6584C"/>
    <w:lvl w:ilvl="0" w:tplc="0FC07A4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4F5D65A1"/>
    <w:multiLevelType w:val="hybridMultilevel"/>
    <w:tmpl w:val="DB502972"/>
    <w:lvl w:ilvl="0" w:tplc="15304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E5BB4"/>
    <w:multiLevelType w:val="hybridMultilevel"/>
    <w:tmpl w:val="71BA7284"/>
    <w:lvl w:ilvl="0" w:tplc="23F4B72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 w15:restartNumberingAfterBreak="0">
    <w:nsid w:val="522D4DB1"/>
    <w:multiLevelType w:val="hybridMultilevel"/>
    <w:tmpl w:val="3F9A5F20"/>
    <w:lvl w:ilvl="0" w:tplc="D0283D0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56F714D5"/>
    <w:multiLevelType w:val="hybridMultilevel"/>
    <w:tmpl w:val="A1C0CBEE"/>
    <w:lvl w:ilvl="0" w:tplc="01268556">
      <w:start w:val="1"/>
      <w:numFmt w:val="decimal"/>
      <w:lvlText w:val="(%1)"/>
      <w:lvlJc w:val="left"/>
      <w:pPr>
        <w:ind w:left="333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4058" w:hanging="360"/>
      </w:pPr>
    </w:lvl>
    <w:lvl w:ilvl="2" w:tplc="041A001B" w:tentative="1">
      <w:start w:val="1"/>
      <w:numFmt w:val="lowerRoman"/>
      <w:lvlText w:val="%3."/>
      <w:lvlJc w:val="right"/>
      <w:pPr>
        <w:ind w:left="4778" w:hanging="180"/>
      </w:pPr>
    </w:lvl>
    <w:lvl w:ilvl="3" w:tplc="041A000F" w:tentative="1">
      <w:start w:val="1"/>
      <w:numFmt w:val="decimal"/>
      <w:lvlText w:val="%4."/>
      <w:lvlJc w:val="left"/>
      <w:pPr>
        <w:ind w:left="5498" w:hanging="360"/>
      </w:pPr>
    </w:lvl>
    <w:lvl w:ilvl="4" w:tplc="041A0019" w:tentative="1">
      <w:start w:val="1"/>
      <w:numFmt w:val="lowerLetter"/>
      <w:lvlText w:val="%5."/>
      <w:lvlJc w:val="left"/>
      <w:pPr>
        <w:ind w:left="6218" w:hanging="360"/>
      </w:pPr>
    </w:lvl>
    <w:lvl w:ilvl="5" w:tplc="041A001B" w:tentative="1">
      <w:start w:val="1"/>
      <w:numFmt w:val="lowerRoman"/>
      <w:lvlText w:val="%6."/>
      <w:lvlJc w:val="right"/>
      <w:pPr>
        <w:ind w:left="6938" w:hanging="180"/>
      </w:pPr>
    </w:lvl>
    <w:lvl w:ilvl="6" w:tplc="041A000F" w:tentative="1">
      <w:start w:val="1"/>
      <w:numFmt w:val="decimal"/>
      <w:lvlText w:val="%7."/>
      <w:lvlJc w:val="left"/>
      <w:pPr>
        <w:ind w:left="7658" w:hanging="360"/>
      </w:pPr>
    </w:lvl>
    <w:lvl w:ilvl="7" w:tplc="041A0019" w:tentative="1">
      <w:start w:val="1"/>
      <w:numFmt w:val="lowerLetter"/>
      <w:lvlText w:val="%8."/>
      <w:lvlJc w:val="left"/>
      <w:pPr>
        <w:ind w:left="8378" w:hanging="360"/>
      </w:pPr>
    </w:lvl>
    <w:lvl w:ilvl="8" w:tplc="041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7" w15:restartNumberingAfterBreak="0">
    <w:nsid w:val="5EE242FA"/>
    <w:multiLevelType w:val="hybridMultilevel"/>
    <w:tmpl w:val="74CE7A40"/>
    <w:lvl w:ilvl="0" w:tplc="84C29D9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0A140E6"/>
    <w:multiLevelType w:val="hybridMultilevel"/>
    <w:tmpl w:val="25C8F6B4"/>
    <w:lvl w:ilvl="0" w:tplc="D9762440">
      <w:start w:val="1"/>
      <w:numFmt w:val="decimal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94110"/>
    <w:multiLevelType w:val="hybridMultilevel"/>
    <w:tmpl w:val="A7726246"/>
    <w:lvl w:ilvl="0" w:tplc="B96E38F6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617" w:hanging="360"/>
      </w:pPr>
    </w:lvl>
    <w:lvl w:ilvl="2" w:tplc="041A001B" w:tentative="1">
      <w:start w:val="1"/>
      <w:numFmt w:val="lowerRoman"/>
      <w:lvlText w:val="%3."/>
      <w:lvlJc w:val="right"/>
      <w:pPr>
        <w:ind w:left="6337" w:hanging="180"/>
      </w:pPr>
    </w:lvl>
    <w:lvl w:ilvl="3" w:tplc="041A000F" w:tentative="1">
      <w:start w:val="1"/>
      <w:numFmt w:val="decimal"/>
      <w:lvlText w:val="%4."/>
      <w:lvlJc w:val="left"/>
      <w:pPr>
        <w:ind w:left="7057" w:hanging="360"/>
      </w:pPr>
    </w:lvl>
    <w:lvl w:ilvl="4" w:tplc="041A0019" w:tentative="1">
      <w:start w:val="1"/>
      <w:numFmt w:val="lowerLetter"/>
      <w:lvlText w:val="%5."/>
      <w:lvlJc w:val="left"/>
      <w:pPr>
        <w:ind w:left="7777" w:hanging="360"/>
      </w:pPr>
    </w:lvl>
    <w:lvl w:ilvl="5" w:tplc="041A001B" w:tentative="1">
      <w:start w:val="1"/>
      <w:numFmt w:val="lowerRoman"/>
      <w:lvlText w:val="%6."/>
      <w:lvlJc w:val="right"/>
      <w:pPr>
        <w:ind w:left="8497" w:hanging="180"/>
      </w:pPr>
    </w:lvl>
    <w:lvl w:ilvl="6" w:tplc="041A000F" w:tentative="1">
      <w:start w:val="1"/>
      <w:numFmt w:val="decimal"/>
      <w:lvlText w:val="%7."/>
      <w:lvlJc w:val="left"/>
      <w:pPr>
        <w:ind w:left="9217" w:hanging="360"/>
      </w:pPr>
    </w:lvl>
    <w:lvl w:ilvl="7" w:tplc="041A0019" w:tentative="1">
      <w:start w:val="1"/>
      <w:numFmt w:val="lowerLetter"/>
      <w:lvlText w:val="%8."/>
      <w:lvlJc w:val="left"/>
      <w:pPr>
        <w:ind w:left="9937" w:hanging="360"/>
      </w:pPr>
    </w:lvl>
    <w:lvl w:ilvl="8" w:tplc="041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40" w15:restartNumberingAfterBreak="0">
    <w:nsid w:val="6A336341"/>
    <w:multiLevelType w:val="hybridMultilevel"/>
    <w:tmpl w:val="8C703C02"/>
    <w:lvl w:ilvl="0" w:tplc="29B444D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1" w15:restartNumberingAfterBreak="0">
    <w:nsid w:val="75BE4047"/>
    <w:multiLevelType w:val="hybridMultilevel"/>
    <w:tmpl w:val="2F948D84"/>
    <w:lvl w:ilvl="0" w:tplc="B1B626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044CA"/>
    <w:multiLevelType w:val="hybridMultilevel"/>
    <w:tmpl w:val="5FEA1896"/>
    <w:lvl w:ilvl="0" w:tplc="5122D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F48A1"/>
    <w:multiLevelType w:val="hybridMultilevel"/>
    <w:tmpl w:val="9174769E"/>
    <w:lvl w:ilvl="0" w:tplc="07885D7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E351B"/>
    <w:multiLevelType w:val="hybridMultilevel"/>
    <w:tmpl w:val="B1605C2A"/>
    <w:lvl w:ilvl="0" w:tplc="225ED174">
      <w:start w:val="1"/>
      <w:numFmt w:val="decimal"/>
      <w:lvlText w:val="(%1)"/>
      <w:lvlJc w:val="left"/>
      <w:pPr>
        <w:ind w:left="305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3774" w:hanging="360"/>
      </w:pPr>
    </w:lvl>
    <w:lvl w:ilvl="2" w:tplc="041A001B" w:tentative="1">
      <w:start w:val="1"/>
      <w:numFmt w:val="lowerRoman"/>
      <w:lvlText w:val="%3."/>
      <w:lvlJc w:val="right"/>
      <w:pPr>
        <w:ind w:left="4494" w:hanging="180"/>
      </w:pPr>
    </w:lvl>
    <w:lvl w:ilvl="3" w:tplc="041A000F" w:tentative="1">
      <w:start w:val="1"/>
      <w:numFmt w:val="decimal"/>
      <w:lvlText w:val="%4."/>
      <w:lvlJc w:val="left"/>
      <w:pPr>
        <w:ind w:left="5214" w:hanging="360"/>
      </w:pPr>
    </w:lvl>
    <w:lvl w:ilvl="4" w:tplc="041A0019" w:tentative="1">
      <w:start w:val="1"/>
      <w:numFmt w:val="lowerLetter"/>
      <w:lvlText w:val="%5."/>
      <w:lvlJc w:val="left"/>
      <w:pPr>
        <w:ind w:left="5934" w:hanging="360"/>
      </w:pPr>
    </w:lvl>
    <w:lvl w:ilvl="5" w:tplc="041A001B" w:tentative="1">
      <w:start w:val="1"/>
      <w:numFmt w:val="lowerRoman"/>
      <w:lvlText w:val="%6."/>
      <w:lvlJc w:val="right"/>
      <w:pPr>
        <w:ind w:left="6654" w:hanging="180"/>
      </w:pPr>
    </w:lvl>
    <w:lvl w:ilvl="6" w:tplc="041A000F" w:tentative="1">
      <w:start w:val="1"/>
      <w:numFmt w:val="decimal"/>
      <w:lvlText w:val="%7."/>
      <w:lvlJc w:val="left"/>
      <w:pPr>
        <w:ind w:left="7374" w:hanging="360"/>
      </w:pPr>
    </w:lvl>
    <w:lvl w:ilvl="7" w:tplc="041A0019" w:tentative="1">
      <w:start w:val="1"/>
      <w:numFmt w:val="lowerLetter"/>
      <w:lvlText w:val="%8."/>
      <w:lvlJc w:val="left"/>
      <w:pPr>
        <w:ind w:left="8094" w:hanging="360"/>
      </w:pPr>
    </w:lvl>
    <w:lvl w:ilvl="8" w:tplc="041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5" w15:restartNumberingAfterBreak="0">
    <w:nsid w:val="7E5731B5"/>
    <w:multiLevelType w:val="hybridMultilevel"/>
    <w:tmpl w:val="29CAB3CA"/>
    <w:lvl w:ilvl="0" w:tplc="F2A074F4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40959"/>
    <w:multiLevelType w:val="hybridMultilevel"/>
    <w:tmpl w:val="0D4447C4"/>
    <w:lvl w:ilvl="0" w:tplc="C928B48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E70B9D"/>
    <w:multiLevelType w:val="hybridMultilevel"/>
    <w:tmpl w:val="F7761AB6"/>
    <w:lvl w:ilvl="0" w:tplc="AF2EF81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21"/>
  </w:num>
  <w:num w:numId="2">
    <w:abstractNumId w:val="36"/>
  </w:num>
  <w:num w:numId="3">
    <w:abstractNumId w:val="45"/>
  </w:num>
  <w:num w:numId="4">
    <w:abstractNumId w:val="47"/>
  </w:num>
  <w:num w:numId="5">
    <w:abstractNumId w:val="25"/>
  </w:num>
  <w:num w:numId="6">
    <w:abstractNumId w:val="30"/>
  </w:num>
  <w:num w:numId="7">
    <w:abstractNumId w:val="10"/>
  </w:num>
  <w:num w:numId="8">
    <w:abstractNumId w:val="5"/>
  </w:num>
  <w:num w:numId="9">
    <w:abstractNumId w:val="18"/>
  </w:num>
  <w:num w:numId="10">
    <w:abstractNumId w:val="11"/>
  </w:num>
  <w:num w:numId="11">
    <w:abstractNumId w:val="23"/>
  </w:num>
  <w:num w:numId="12">
    <w:abstractNumId w:val="39"/>
  </w:num>
  <w:num w:numId="13">
    <w:abstractNumId w:val="13"/>
  </w:num>
  <w:num w:numId="14">
    <w:abstractNumId w:val="16"/>
  </w:num>
  <w:num w:numId="15">
    <w:abstractNumId w:val="32"/>
  </w:num>
  <w:num w:numId="16">
    <w:abstractNumId w:val="44"/>
  </w:num>
  <w:num w:numId="17">
    <w:abstractNumId w:val="37"/>
  </w:num>
  <w:num w:numId="18">
    <w:abstractNumId w:val="12"/>
  </w:num>
  <w:num w:numId="19">
    <w:abstractNumId w:val="7"/>
  </w:num>
  <w:num w:numId="20">
    <w:abstractNumId w:val="40"/>
  </w:num>
  <w:num w:numId="21">
    <w:abstractNumId w:val="42"/>
  </w:num>
  <w:num w:numId="22">
    <w:abstractNumId w:val="14"/>
  </w:num>
  <w:num w:numId="23">
    <w:abstractNumId w:val="35"/>
  </w:num>
  <w:num w:numId="24">
    <w:abstractNumId w:val="22"/>
  </w:num>
  <w:num w:numId="25">
    <w:abstractNumId w:val="0"/>
  </w:num>
  <w:num w:numId="26">
    <w:abstractNumId w:val="34"/>
  </w:num>
  <w:num w:numId="27">
    <w:abstractNumId w:val="15"/>
  </w:num>
  <w:num w:numId="28">
    <w:abstractNumId w:val="20"/>
  </w:num>
  <w:num w:numId="29">
    <w:abstractNumId w:val="9"/>
  </w:num>
  <w:num w:numId="30">
    <w:abstractNumId w:val="38"/>
  </w:num>
  <w:num w:numId="31">
    <w:abstractNumId w:val="4"/>
  </w:num>
  <w:num w:numId="32">
    <w:abstractNumId w:val="17"/>
  </w:num>
  <w:num w:numId="33">
    <w:abstractNumId w:val="46"/>
  </w:num>
  <w:num w:numId="34">
    <w:abstractNumId w:val="41"/>
  </w:num>
  <w:num w:numId="35">
    <w:abstractNumId w:val="33"/>
  </w:num>
  <w:num w:numId="36">
    <w:abstractNumId w:val="29"/>
  </w:num>
  <w:num w:numId="37">
    <w:abstractNumId w:val="6"/>
  </w:num>
  <w:num w:numId="38">
    <w:abstractNumId w:val="2"/>
  </w:num>
  <w:num w:numId="39">
    <w:abstractNumId w:val="28"/>
  </w:num>
  <w:num w:numId="40">
    <w:abstractNumId w:val="24"/>
  </w:num>
  <w:num w:numId="41">
    <w:abstractNumId w:val="19"/>
  </w:num>
  <w:num w:numId="42">
    <w:abstractNumId w:val="31"/>
  </w:num>
  <w:num w:numId="43">
    <w:abstractNumId w:val="1"/>
  </w:num>
  <w:num w:numId="44">
    <w:abstractNumId w:val="26"/>
  </w:num>
  <w:num w:numId="45">
    <w:abstractNumId w:val="8"/>
  </w:num>
  <w:num w:numId="46">
    <w:abstractNumId w:val="27"/>
  </w:num>
  <w:num w:numId="47">
    <w:abstractNumId w:val="43"/>
  </w:num>
  <w:num w:numId="48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B4"/>
    <w:rsid w:val="00000BF3"/>
    <w:rsid w:val="00000D44"/>
    <w:rsid w:val="000031A9"/>
    <w:rsid w:val="000057D1"/>
    <w:rsid w:val="0001009C"/>
    <w:rsid w:val="00010DE5"/>
    <w:rsid w:val="00013B2D"/>
    <w:rsid w:val="000209DD"/>
    <w:rsid w:val="000226D0"/>
    <w:rsid w:val="00026D20"/>
    <w:rsid w:val="00026FAC"/>
    <w:rsid w:val="00040B3C"/>
    <w:rsid w:val="00042B6E"/>
    <w:rsid w:val="00043DC6"/>
    <w:rsid w:val="00052D49"/>
    <w:rsid w:val="0007124F"/>
    <w:rsid w:val="00071D36"/>
    <w:rsid w:val="00085415"/>
    <w:rsid w:val="00092951"/>
    <w:rsid w:val="000966E6"/>
    <w:rsid w:val="000B0A97"/>
    <w:rsid w:val="000B3397"/>
    <w:rsid w:val="000B4EA8"/>
    <w:rsid w:val="000B6804"/>
    <w:rsid w:val="000B7B2B"/>
    <w:rsid w:val="000C0BD9"/>
    <w:rsid w:val="000C2F12"/>
    <w:rsid w:val="000D1040"/>
    <w:rsid w:val="000D2AD7"/>
    <w:rsid w:val="000D48E6"/>
    <w:rsid w:val="00100FAD"/>
    <w:rsid w:val="00110399"/>
    <w:rsid w:val="0011347F"/>
    <w:rsid w:val="00113C58"/>
    <w:rsid w:val="001161C6"/>
    <w:rsid w:val="001200DA"/>
    <w:rsid w:val="001239F0"/>
    <w:rsid w:val="001259BD"/>
    <w:rsid w:val="00125F99"/>
    <w:rsid w:val="0013131B"/>
    <w:rsid w:val="001371B8"/>
    <w:rsid w:val="001400DB"/>
    <w:rsid w:val="00141DC2"/>
    <w:rsid w:val="0016088E"/>
    <w:rsid w:val="00160E0F"/>
    <w:rsid w:val="0016421E"/>
    <w:rsid w:val="001708E3"/>
    <w:rsid w:val="00172E59"/>
    <w:rsid w:val="00176783"/>
    <w:rsid w:val="001811F2"/>
    <w:rsid w:val="00183096"/>
    <w:rsid w:val="001852A9"/>
    <w:rsid w:val="00185E05"/>
    <w:rsid w:val="00192EAD"/>
    <w:rsid w:val="0019701F"/>
    <w:rsid w:val="001A14B9"/>
    <w:rsid w:val="001A4DD3"/>
    <w:rsid w:val="001A5AC0"/>
    <w:rsid w:val="001B2C7E"/>
    <w:rsid w:val="001B32F8"/>
    <w:rsid w:val="001B477B"/>
    <w:rsid w:val="001C0896"/>
    <w:rsid w:val="001D0F7F"/>
    <w:rsid w:val="001D6653"/>
    <w:rsid w:val="001D6A55"/>
    <w:rsid w:val="001E030F"/>
    <w:rsid w:val="001F2B6A"/>
    <w:rsid w:val="001F5790"/>
    <w:rsid w:val="001F79FE"/>
    <w:rsid w:val="00203CCE"/>
    <w:rsid w:val="00206223"/>
    <w:rsid w:val="0020673B"/>
    <w:rsid w:val="0021059A"/>
    <w:rsid w:val="00211091"/>
    <w:rsid w:val="00212843"/>
    <w:rsid w:val="00213333"/>
    <w:rsid w:val="0021617C"/>
    <w:rsid w:val="002220EF"/>
    <w:rsid w:val="002241E2"/>
    <w:rsid w:val="00224C9C"/>
    <w:rsid w:val="002250FB"/>
    <w:rsid w:val="00240C24"/>
    <w:rsid w:val="00253BB6"/>
    <w:rsid w:val="00254D2E"/>
    <w:rsid w:val="00255CA9"/>
    <w:rsid w:val="00256ED4"/>
    <w:rsid w:val="00260B69"/>
    <w:rsid w:val="00264AD0"/>
    <w:rsid w:val="00265E27"/>
    <w:rsid w:val="00271289"/>
    <w:rsid w:val="00271F24"/>
    <w:rsid w:val="00274744"/>
    <w:rsid w:val="00275AAA"/>
    <w:rsid w:val="00276832"/>
    <w:rsid w:val="002813AD"/>
    <w:rsid w:val="00282F7C"/>
    <w:rsid w:val="00283C46"/>
    <w:rsid w:val="00285463"/>
    <w:rsid w:val="002A2DAD"/>
    <w:rsid w:val="002A4A84"/>
    <w:rsid w:val="002A519D"/>
    <w:rsid w:val="002B2128"/>
    <w:rsid w:val="002B7589"/>
    <w:rsid w:val="002C006D"/>
    <w:rsid w:val="002C7EC3"/>
    <w:rsid w:val="002D4DC4"/>
    <w:rsid w:val="002D6FEF"/>
    <w:rsid w:val="002E3659"/>
    <w:rsid w:val="002E6EA1"/>
    <w:rsid w:val="002E7CFA"/>
    <w:rsid w:val="002F1921"/>
    <w:rsid w:val="002F1A48"/>
    <w:rsid w:val="002F2A9A"/>
    <w:rsid w:val="002F7C6D"/>
    <w:rsid w:val="0031060E"/>
    <w:rsid w:val="00311671"/>
    <w:rsid w:val="00316B0F"/>
    <w:rsid w:val="003201FF"/>
    <w:rsid w:val="00324F89"/>
    <w:rsid w:val="00325E4B"/>
    <w:rsid w:val="00325F5D"/>
    <w:rsid w:val="003263C5"/>
    <w:rsid w:val="00326976"/>
    <w:rsid w:val="00333C2A"/>
    <w:rsid w:val="003367F5"/>
    <w:rsid w:val="003372C7"/>
    <w:rsid w:val="00340EA2"/>
    <w:rsid w:val="003515FD"/>
    <w:rsid w:val="00364F75"/>
    <w:rsid w:val="00366AD0"/>
    <w:rsid w:val="00370F43"/>
    <w:rsid w:val="00376A3D"/>
    <w:rsid w:val="00380CE1"/>
    <w:rsid w:val="00391E6D"/>
    <w:rsid w:val="00392E68"/>
    <w:rsid w:val="003936C5"/>
    <w:rsid w:val="00394A2F"/>
    <w:rsid w:val="003A1A68"/>
    <w:rsid w:val="003A1E44"/>
    <w:rsid w:val="003B44C0"/>
    <w:rsid w:val="003C46D5"/>
    <w:rsid w:val="003D5E79"/>
    <w:rsid w:val="003E31CE"/>
    <w:rsid w:val="003E3275"/>
    <w:rsid w:val="003E40CC"/>
    <w:rsid w:val="003E431F"/>
    <w:rsid w:val="003E546C"/>
    <w:rsid w:val="003E55CF"/>
    <w:rsid w:val="003E76B6"/>
    <w:rsid w:val="003F0D9F"/>
    <w:rsid w:val="003F1198"/>
    <w:rsid w:val="003F2062"/>
    <w:rsid w:val="003F3C41"/>
    <w:rsid w:val="003F5246"/>
    <w:rsid w:val="00400610"/>
    <w:rsid w:val="004009AB"/>
    <w:rsid w:val="00400ECB"/>
    <w:rsid w:val="0041255B"/>
    <w:rsid w:val="00414CF3"/>
    <w:rsid w:val="004179A3"/>
    <w:rsid w:val="00417AC3"/>
    <w:rsid w:val="00426253"/>
    <w:rsid w:val="00426F33"/>
    <w:rsid w:val="004317BE"/>
    <w:rsid w:val="00431B2F"/>
    <w:rsid w:val="004378AF"/>
    <w:rsid w:val="0043798E"/>
    <w:rsid w:val="004436AC"/>
    <w:rsid w:val="00445EC3"/>
    <w:rsid w:val="004479CD"/>
    <w:rsid w:val="00451CBA"/>
    <w:rsid w:val="00451CC6"/>
    <w:rsid w:val="00454339"/>
    <w:rsid w:val="0045568C"/>
    <w:rsid w:val="00460BB3"/>
    <w:rsid w:val="00470511"/>
    <w:rsid w:val="0047108B"/>
    <w:rsid w:val="00477D8C"/>
    <w:rsid w:val="004820C2"/>
    <w:rsid w:val="00482B71"/>
    <w:rsid w:val="004901A8"/>
    <w:rsid w:val="00493CB0"/>
    <w:rsid w:val="00494F35"/>
    <w:rsid w:val="00496705"/>
    <w:rsid w:val="004B17E2"/>
    <w:rsid w:val="004B2E79"/>
    <w:rsid w:val="004B5D99"/>
    <w:rsid w:val="004C0649"/>
    <w:rsid w:val="004C28CC"/>
    <w:rsid w:val="004C2E1C"/>
    <w:rsid w:val="004C6542"/>
    <w:rsid w:val="004D0496"/>
    <w:rsid w:val="004D2AE5"/>
    <w:rsid w:val="004D3A29"/>
    <w:rsid w:val="004D3ED4"/>
    <w:rsid w:val="004D766C"/>
    <w:rsid w:val="004E1DE3"/>
    <w:rsid w:val="004E3966"/>
    <w:rsid w:val="004E72E1"/>
    <w:rsid w:val="004E7B17"/>
    <w:rsid w:val="004F09CB"/>
    <w:rsid w:val="004F2022"/>
    <w:rsid w:val="004F242B"/>
    <w:rsid w:val="004F6463"/>
    <w:rsid w:val="0050383D"/>
    <w:rsid w:val="0050552A"/>
    <w:rsid w:val="00506A08"/>
    <w:rsid w:val="00507940"/>
    <w:rsid w:val="005227A4"/>
    <w:rsid w:val="00530D39"/>
    <w:rsid w:val="0053283B"/>
    <w:rsid w:val="00535285"/>
    <w:rsid w:val="00540F3B"/>
    <w:rsid w:val="00541A40"/>
    <w:rsid w:val="005427DC"/>
    <w:rsid w:val="00542829"/>
    <w:rsid w:val="0054769E"/>
    <w:rsid w:val="005479D2"/>
    <w:rsid w:val="0055052A"/>
    <w:rsid w:val="00550B98"/>
    <w:rsid w:val="00553EBB"/>
    <w:rsid w:val="0055416F"/>
    <w:rsid w:val="0055648A"/>
    <w:rsid w:val="00556B21"/>
    <w:rsid w:val="00561899"/>
    <w:rsid w:val="00564C36"/>
    <w:rsid w:val="00566C49"/>
    <w:rsid w:val="00567414"/>
    <w:rsid w:val="00570554"/>
    <w:rsid w:val="005755DE"/>
    <w:rsid w:val="00576F7D"/>
    <w:rsid w:val="0058788B"/>
    <w:rsid w:val="005879C8"/>
    <w:rsid w:val="00591CA8"/>
    <w:rsid w:val="00592A3E"/>
    <w:rsid w:val="00593188"/>
    <w:rsid w:val="005A26B3"/>
    <w:rsid w:val="005A3B89"/>
    <w:rsid w:val="005A44C1"/>
    <w:rsid w:val="005B3D49"/>
    <w:rsid w:val="005B5FF1"/>
    <w:rsid w:val="005B6060"/>
    <w:rsid w:val="005B718F"/>
    <w:rsid w:val="005C17B6"/>
    <w:rsid w:val="005D1F96"/>
    <w:rsid w:val="005D7229"/>
    <w:rsid w:val="005E172E"/>
    <w:rsid w:val="005E5150"/>
    <w:rsid w:val="005E653C"/>
    <w:rsid w:val="005E6B20"/>
    <w:rsid w:val="005F1279"/>
    <w:rsid w:val="005F60B2"/>
    <w:rsid w:val="005F642A"/>
    <w:rsid w:val="00601646"/>
    <w:rsid w:val="00602387"/>
    <w:rsid w:val="00602D47"/>
    <w:rsid w:val="00613B8D"/>
    <w:rsid w:val="00614AFE"/>
    <w:rsid w:val="0061591F"/>
    <w:rsid w:val="006172E5"/>
    <w:rsid w:val="0063007A"/>
    <w:rsid w:val="00642091"/>
    <w:rsid w:val="006427F5"/>
    <w:rsid w:val="00643F88"/>
    <w:rsid w:val="00644BC8"/>
    <w:rsid w:val="00646BD3"/>
    <w:rsid w:val="00654607"/>
    <w:rsid w:val="0065580D"/>
    <w:rsid w:val="006576AF"/>
    <w:rsid w:val="006619D0"/>
    <w:rsid w:val="006653A9"/>
    <w:rsid w:val="006667A5"/>
    <w:rsid w:val="00677FF9"/>
    <w:rsid w:val="00681ABC"/>
    <w:rsid w:val="00681B5C"/>
    <w:rsid w:val="0069086A"/>
    <w:rsid w:val="00690B77"/>
    <w:rsid w:val="006934A5"/>
    <w:rsid w:val="006A0433"/>
    <w:rsid w:val="006A52E4"/>
    <w:rsid w:val="006C503A"/>
    <w:rsid w:val="006D0ED9"/>
    <w:rsid w:val="006D6E20"/>
    <w:rsid w:val="006E0B3C"/>
    <w:rsid w:val="006E1B60"/>
    <w:rsid w:val="006E755C"/>
    <w:rsid w:val="006F0733"/>
    <w:rsid w:val="00702576"/>
    <w:rsid w:val="00704DF6"/>
    <w:rsid w:val="007051B0"/>
    <w:rsid w:val="00711134"/>
    <w:rsid w:val="00713D6A"/>
    <w:rsid w:val="00717941"/>
    <w:rsid w:val="007263B1"/>
    <w:rsid w:val="00730090"/>
    <w:rsid w:val="00730267"/>
    <w:rsid w:val="007400CA"/>
    <w:rsid w:val="007406F2"/>
    <w:rsid w:val="007435F2"/>
    <w:rsid w:val="0074388C"/>
    <w:rsid w:val="00745143"/>
    <w:rsid w:val="00746FDC"/>
    <w:rsid w:val="007506E5"/>
    <w:rsid w:val="007534DE"/>
    <w:rsid w:val="007573C4"/>
    <w:rsid w:val="00757F89"/>
    <w:rsid w:val="00760001"/>
    <w:rsid w:val="00765D53"/>
    <w:rsid w:val="00766D28"/>
    <w:rsid w:val="0077222A"/>
    <w:rsid w:val="0077520C"/>
    <w:rsid w:val="007841D0"/>
    <w:rsid w:val="00786B75"/>
    <w:rsid w:val="007871A4"/>
    <w:rsid w:val="0079122C"/>
    <w:rsid w:val="00793C73"/>
    <w:rsid w:val="00795EB9"/>
    <w:rsid w:val="007A1068"/>
    <w:rsid w:val="007A6632"/>
    <w:rsid w:val="007A6D62"/>
    <w:rsid w:val="007B29B1"/>
    <w:rsid w:val="007B5CA4"/>
    <w:rsid w:val="007B63AC"/>
    <w:rsid w:val="007B75E3"/>
    <w:rsid w:val="007C5FA5"/>
    <w:rsid w:val="007C621F"/>
    <w:rsid w:val="007D0785"/>
    <w:rsid w:val="007E0A94"/>
    <w:rsid w:val="007E17E5"/>
    <w:rsid w:val="007F0EF1"/>
    <w:rsid w:val="007F16B1"/>
    <w:rsid w:val="007F63BA"/>
    <w:rsid w:val="008015AE"/>
    <w:rsid w:val="0080162A"/>
    <w:rsid w:val="00803194"/>
    <w:rsid w:val="00807813"/>
    <w:rsid w:val="00816E17"/>
    <w:rsid w:val="00821AF3"/>
    <w:rsid w:val="008253F0"/>
    <w:rsid w:val="00826B48"/>
    <w:rsid w:val="0083186D"/>
    <w:rsid w:val="008324D4"/>
    <w:rsid w:val="00834737"/>
    <w:rsid w:val="008404B4"/>
    <w:rsid w:val="0084160E"/>
    <w:rsid w:val="00845BA2"/>
    <w:rsid w:val="00846CB3"/>
    <w:rsid w:val="00853627"/>
    <w:rsid w:val="00857E51"/>
    <w:rsid w:val="0086287E"/>
    <w:rsid w:val="0087012C"/>
    <w:rsid w:val="00873531"/>
    <w:rsid w:val="00874A29"/>
    <w:rsid w:val="00877169"/>
    <w:rsid w:val="0088012E"/>
    <w:rsid w:val="00880B22"/>
    <w:rsid w:val="00887A5E"/>
    <w:rsid w:val="0089025C"/>
    <w:rsid w:val="00893200"/>
    <w:rsid w:val="00893482"/>
    <w:rsid w:val="008A4D7A"/>
    <w:rsid w:val="008B3CC2"/>
    <w:rsid w:val="008B5776"/>
    <w:rsid w:val="008B75DC"/>
    <w:rsid w:val="008B78E8"/>
    <w:rsid w:val="008C367F"/>
    <w:rsid w:val="008C56D9"/>
    <w:rsid w:val="008C79A7"/>
    <w:rsid w:val="008D13E4"/>
    <w:rsid w:val="008D73B5"/>
    <w:rsid w:val="008E1EBE"/>
    <w:rsid w:val="008E246A"/>
    <w:rsid w:val="008E44B5"/>
    <w:rsid w:val="008F0170"/>
    <w:rsid w:val="008F2BD8"/>
    <w:rsid w:val="008F49D4"/>
    <w:rsid w:val="0090082B"/>
    <w:rsid w:val="00900F10"/>
    <w:rsid w:val="00901EEA"/>
    <w:rsid w:val="00904A5A"/>
    <w:rsid w:val="00905E04"/>
    <w:rsid w:val="009227C1"/>
    <w:rsid w:val="009250AB"/>
    <w:rsid w:val="00926306"/>
    <w:rsid w:val="00926F73"/>
    <w:rsid w:val="00930F1B"/>
    <w:rsid w:val="009314F1"/>
    <w:rsid w:val="00933C14"/>
    <w:rsid w:val="00940718"/>
    <w:rsid w:val="0094602F"/>
    <w:rsid w:val="009504C6"/>
    <w:rsid w:val="00952B17"/>
    <w:rsid w:val="009541E0"/>
    <w:rsid w:val="009615F9"/>
    <w:rsid w:val="00972243"/>
    <w:rsid w:val="00977343"/>
    <w:rsid w:val="00981F1C"/>
    <w:rsid w:val="0098202A"/>
    <w:rsid w:val="009820C1"/>
    <w:rsid w:val="0098470F"/>
    <w:rsid w:val="009848FE"/>
    <w:rsid w:val="009924A4"/>
    <w:rsid w:val="00995FE0"/>
    <w:rsid w:val="009978E9"/>
    <w:rsid w:val="00997A98"/>
    <w:rsid w:val="009A1221"/>
    <w:rsid w:val="009A4B6D"/>
    <w:rsid w:val="009B0B66"/>
    <w:rsid w:val="009B1FE1"/>
    <w:rsid w:val="009B7530"/>
    <w:rsid w:val="009C0392"/>
    <w:rsid w:val="009C08EE"/>
    <w:rsid w:val="009C09B8"/>
    <w:rsid w:val="009C461D"/>
    <w:rsid w:val="009C5C4B"/>
    <w:rsid w:val="009D0B5E"/>
    <w:rsid w:val="009D1762"/>
    <w:rsid w:val="009D2E28"/>
    <w:rsid w:val="009D5D7B"/>
    <w:rsid w:val="009E49A7"/>
    <w:rsid w:val="009F0499"/>
    <w:rsid w:val="009F11CB"/>
    <w:rsid w:val="009F2911"/>
    <w:rsid w:val="00A026E8"/>
    <w:rsid w:val="00A02BD3"/>
    <w:rsid w:val="00A03F2D"/>
    <w:rsid w:val="00A05AAE"/>
    <w:rsid w:val="00A06931"/>
    <w:rsid w:val="00A10087"/>
    <w:rsid w:val="00A103BF"/>
    <w:rsid w:val="00A13720"/>
    <w:rsid w:val="00A13D65"/>
    <w:rsid w:val="00A172A3"/>
    <w:rsid w:val="00A20986"/>
    <w:rsid w:val="00A21B99"/>
    <w:rsid w:val="00A2417C"/>
    <w:rsid w:val="00A3000D"/>
    <w:rsid w:val="00A33BD8"/>
    <w:rsid w:val="00A34AE9"/>
    <w:rsid w:val="00A35395"/>
    <w:rsid w:val="00A35B78"/>
    <w:rsid w:val="00A42C33"/>
    <w:rsid w:val="00A42E53"/>
    <w:rsid w:val="00A44373"/>
    <w:rsid w:val="00A44D64"/>
    <w:rsid w:val="00A46746"/>
    <w:rsid w:val="00A51993"/>
    <w:rsid w:val="00A531B7"/>
    <w:rsid w:val="00A5425F"/>
    <w:rsid w:val="00A57642"/>
    <w:rsid w:val="00A60678"/>
    <w:rsid w:val="00A622D0"/>
    <w:rsid w:val="00A6346B"/>
    <w:rsid w:val="00A63826"/>
    <w:rsid w:val="00A834B9"/>
    <w:rsid w:val="00A84358"/>
    <w:rsid w:val="00A86EA0"/>
    <w:rsid w:val="00A87E6A"/>
    <w:rsid w:val="00A9230B"/>
    <w:rsid w:val="00AA36B5"/>
    <w:rsid w:val="00AA6186"/>
    <w:rsid w:val="00AA78A5"/>
    <w:rsid w:val="00AB196B"/>
    <w:rsid w:val="00AC2C62"/>
    <w:rsid w:val="00AC56AB"/>
    <w:rsid w:val="00AC6FAA"/>
    <w:rsid w:val="00AC7711"/>
    <w:rsid w:val="00AD34DB"/>
    <w:rsid w:val="00AD7050"/>
    <w:rsid w:val="00AD7E60"/>
    <w:rsid w:val="00AE44C1"/>
    <w:rsid w:val="00AF02C1"/>
    <w:rsid w:val="00AF2462"/>
    <w:rsid w:val="00AF3D00"/>
    <w:rsid w:val="00AF491D"/>
    <w:rsid w:val="00AF525C"/>
    <w:rsid w:val="00AF55FA"/>
    <w:rsid w:val="00B0105C"/>
    <w:rsid w:val="00B07558"/>
    <w:rsid w:val="00B07D89"/>
    <w:rsid w:val="00B11AFA"/>
    <w:rsid w:val="00B173C2"/>
    <w:rsid w:val="00B17C80"/>
    <w:rsid w:val="00B209B3"/>
    <w:rsid w:val="00B26142"/>
    <w:rsid w:val="00B30608"/>
    <w:rsid w:val="00B34FD4"/>
    <w:rsid w:val="00B353B6"/>
    <w:rsid w:val="00B35530"/>
    <w:rsid w:val="00B35AB7"/>
    <w:rsid w:val="00B400A0"/>
    <w:rsid w:val="00B45E88"/>
    <w:rsid w:val="00B46395"/>
    <w:rsid w:val="00B46CC8"/>
    <w:rsid w:val="00B64E15"/>
    <w:rsid w:val="00B657C3"/>
    <w:rsid w:val="00B668D6"/>
    <w:rsid w:val="00B7187A"/>
    <w:rsid w:val="00B71F57"/>
    <w:rsid w:val="00B8047D"/>
    <w:rsid w:val="00B81C80"/>
    <w:rsid w:val="00B8240C"/>
    <w:rsid w:val="00B825AA"/>
    <w:rsid w:val="00B85F34"/>
    <w:rsid w:val="00B92385"/>
    <w:rsid w:val="00BA1AC2"/>
    <w:rsid w:val="00BB06E6"/>
    <w:rsid w:val="00BB590F"/>
    <w:rsid w:val="00BB5E86"/>
    <w:rsid w:val="00BC0531"/>
    <w:rsid w:val="00BC064D"/>
    <w:rsid w:val="00BD3ED1"/>
    <w:rsid w:val="00BD7357"/>
    <w:rsid w:val="00BE0CFB"/>
    <w:rsid w:val="00BE0FF9"/>
    <w:rsid w:val="00BE145D"/>
    <w:rsid w:val="00BE153C"/>
    <w:rsid w:val="00BE56CD"/>
    <w:rsid w:val="00BF07FF"/>
    <w:rsid w:val="00BF0823"/>
    <w:rsid w:val="00C00289"/>
    <w:rsid w:val="00C01584"/>
    <w:rsid w:val="00C027F1"/>
    <w:rsid w:val="00C02B02"/>
    <w:rsid w:val="00C03A7A"/>
    <w:rsid w:val="00C04627"/>
    <w:rsid w:val="00C0586F"/>
    <w:rsid w:val="00C24BE9"/>
    <w:rsid w:val="00C25E96"/>
    <w:rsid w:val="00C27B1D"/>
    <w:rsid w:val="00C32121"/>
    <w:rsid w:val="00C3258C"/>
    <w:rsid w:val="00C3429F"/>
    <w:rsid w:val="00C37025"/>
    <w:rsid w:val="00C37061"/>
    <w:rsid w:val="00C37CE9"/>
    <w:rsid w:val="00C407A7"/>
    <w:rsid w:val="00C46026"/>
    <w:rsid w:val="00C46A54"/>
    <w:rsid w:val="00C47BB2"/>
    <w:rsid w:val="00C5372C"/>
    <w:rsid w:val="00C53B86"/>
    <w:rsid w:val="00C60427"/>
    <w:rsid w:val="00C63C9F"/>
    <w:rsid w:val="00C6638A"/>
    <w:rsid w:val="00C70A2F"/>
    <w:rsid w:val="00C732A9"/>
    <w:rsid w:val="00C73BC2"/>
    <w:rsid w:val="00C751C7"/>
    <w:rsid w:val="00C8121E"/>
    <w:rsid w:val="00C82604"/>
    <w:rsid w:val="00C906BE"/>
    <w:rsid w:val="00C93985"/>
    <w:rsid w:val="00C978DC"/>
    <w:rsid w:val="00CA2D63"/>
    <w:rsid w:val="00CA4A90"/>
    <w:rsid w:val="00CB0BFE"/>
    <w:rsid w:val="00CB43CF"/>
    <w:rsid w:val="00CB510E"/>
    <w:rsid w:val="00CB59C4"/>
    <w:rsid w:val="00CB674A"/>
    <w:rsid w:val="00CB69E3"/>
    <w:rsid w:val="00CB6D3B"/>
    <w:rsid w:val="00CC18A5"/>
    <w:rsid w:val="00CD056C"/>
    <w:rsid w:val="00CD29D4"/>
    <w:rsid w:val="00CD476D"/>
    <w:rsid w:val="00CE2410"/>
    <w:rsid w:val="00CE41E1"/>
    <w:rsid w:val="00CF1412"/>
    <w:rsid w:val="00CF18AA"/>
    <w:rsid w:val="00CF5132"/>
    <w:rsid w:val="00CF7D64"/>
    <w:rsid w:val="00D03520"/>
    <w:rsid w:val="00D07E51"/>
    <w:rsid w:val="00D1436F"/>
    <w:rsid w:val="00D1469E"/>
    <w:rsid w:val="00D148C5"/>
    <w:rsid w:val="00D15389"/>
    <w:rsid w:val="00D32095"/>
    <w:rsid w:val="00D357A7"/>
    <w:rsid w:val="00D426AC"/>
    <w:rsid w:val="00D427AC"/>
    <w:rsid w:val="00D51455"/>
    <w:rsid w:val="00D51C08"/>
    <w:rsid w:val="00D5238B"/>
    <w:rsid w:val="00D52985"/>
    <w:rsid w:val="00D73022"/>
    <w:rsid w:val="00D743EB"/>
    <w:rsid w:val="00D7786A"/>
    <w:rsid w:val="00D879F6"/>
    <w:rsid w:val="00D87E98"/>
    <w:rsid w:val="00D9026D"/>
    <w:rsid w:val="00D9748D"/>
    <w:rsid w:val="00D97F43"/>
    <w:rsid w:val="00DA264F"/>
    <w:rsid w:val="00DA42FC"/>
    <w:rsid w:val="00DB32C3"/>
    <w:rsid w:val="00DC1D83"/>
    <w:rsid w:val="00DC2FCE"/>
    <w:rsid w:val="00DC3D56"/>
    <w:rsid w:val="00DC40FD"/>
    <w:rsid w:val="00DC46CA"/>
    <w:rsid w:val="00DC572E"/>
    <w:rsid w:val="00DC619B"/>
    <w:rsid w:val="00DD4C37"/>
    <w:rsid w:val="00DD595E"/>
    <w:rsid w:val="00DE0691"/>
    <w:rsid w:val="00DE2D5B"/>
    <w:rsid w:val="00DE5B33"/>
    <w:rsid w:val="00DF0117"/>
    <w:rsid w:val="00DF1059"/>
    <w:rsid w:val="00DF32E6"/>
    <w:rsid w:val="00DF42AE"/>
    <w:rsid w:val="00E006B9"/>
    <w:rsid w:val="00E01A50"/>
    <w:rsid w:val="00E02C16"/>
    <w:rsid w:val="00E0318A"/>
    <w:rsid w:val="00E0391A"/>
    <w:rsid w:val="00E0498E"/>
    <w:rsid w:val="00E05FED"/>
    <w:rsid w:val="00E07EB5"/>
    <w:rsid w:val="00E17218"/>
    <w:rsid w:val="00E17288"/>
    <w:rsid w:val="00E30BE5"/>
    <w:rsid w:val="00E30D15"/>
    <w:rsid w:val="00E31DC9"/>
    <w:rsid w:val="00E35833"/>
    <w:rsid w:val="00E35DE9"/>
    <w:rsid w:val="00E405E4"/>
    <w:rsid w:val="00E54DF7"/>
    <w:rsid w:val="00E575D9"/>
    <w:rsid w:val="00E579E6"/>
    <w:rsid w:val="00E601CF"/>
    <w:rsid w:val="00E63336"/>
    <w:rsid w:val="00E7141B"/>
    <w:rsid w:val="00E739DA"/>
    <w:rsid w:val="00E76EAD"/>
    <w:rsid w:val="00E772A0"/>
    <w:rsid w:val="00E80589"/>
    <w:rsid w:val="00E903F1"/>
    <w:rsid w:val="00EA480A"/>
    <w:rsid w:val="00EA4E7A"/>
    <w:rsid w:val="00EB60B4"/>
    <w:rsid w:val="00EB6CB8"/>
    <w:rsid w:val="00EB7DEF"/>
    <w:rsid w:val="00EC0546"/>
    <w:rsid w:val="00EC74A0"/>
    <w:rsid w:val="00EC7F94"/>
    <w:rsid w:val="00ED1C95"/>
    <w:rsid w:val="00ED5058"/>
    <w:rsid w:val="00EE7413"/>
    <w:rsid w:val="00EF2B5E"/>
    <w:rsid w:val="00EF3AF6"/>
    <w:rsid w:val="00EF54DD"/>
    <w:rsid w:val="00EF71E9"/>
    <w:rsid w:val="00EF7A01"/>
    <w:rsid w:val="00F0397B"/>
    <w:rsid w:val="00F0414F"/>
    <w:rsid w:val="00F0425D"/>
    <w:rsid w:val="00F111D2"/>
    <w:rsid w:val="00F116D6"/>
    <w:rsid w:val="00F16942"/>
    <w:rsid w:val="00F16AEF"/>
    <w:rsid w:val="00F24BD2"/>
    <w:rsid w:val="00F256AD"/>
    <w:rsid w:val="00F258F0"/>
    <w:rsid w:val="00F3060B"/>
    <w:rsid w:val="00F337C2"/>
    <w:rsid w:val="00F36A48"/>
    <w:rsid w:val="00F37555"/>
    <w:rsid w:val="00F37DA1"/>
    <w:rsid w:val="00F43302"/>
    <w:rsid w:val="00F441F7"/>
    <w:rsid w:val="00F54485"/>
    <w:rsid w:val="00F56158"/>
    <w:rsid w:val="00F62E08"/>
    <w:rsid w:val="00F63588"/>
    <w:rsid w:val="00F63EA3"/>
    <w:rsid w:val="00F71923"/>
    <w:rsid w:val="00F72A53"/>
    <w:rsid w:val="00F73BF4"/>
    <w:rsid w:val="00F76F4B"/>
    <w:rsid w:val="00F80372"/>
    <w:rsid w:val="00F82C18"/>
    <w:rsid w:val="00F8300F"/>
    <w:rsid w:val="00F92566"/>
    <w:rsid w:val="00F9347E"/>
    <w:rsid w:val="00F9645A"/>
    <w:rsid w:val="00F975BE"/>
    <w:rsid w:val="00FA09F1"/>
    <w:rsid w:val="00FA28E3"/>
    <w:rsid w:val="00FA399C"/>
    <w:rsid w:val="00FB0086"/>
    <w:rsid w:val="00FB3007"/>
    <w:rsid w:val="00FC3083"/>
    <w:rsid w:val="00FD04BF"/>
    <w:rsid w:val="00FD0806"/>
    <w:rsid w:val="00FD4B53"/>
    <w:rsid w:val="00FD6300"/>
    <w:rsid w:val="00FD7578"/>
    <w:rsid w:val="00FE332A"/>
    <w:rsid w:val="00FE5885"/>
    <w:rsid w:val="00FE7375"/>
    <w:rsid w:val="00FE7642"/>
    <w:rsid w:val="00FF08C0"/>
    <w:rsid w:val="00FF0F55"/>
    <w:rsid w:val="00FF4967"/>
    <w:rsid w:val="00FF6CB1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21F7"/>
  <w15:chartTrackingRefBased/>
  <w15:docId w15:val="{D14B81D0-9D55-49BF-819B-26D74E83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0A0"/>
  </w:style>
  <w:style w:type="paragraph" w:styleId="Naslov1">
    <w:name w:val="heading 1"/>
    <w:basedOn w:val="Normal"/>
    <w:next w:val="Normal"/>
    <w:link w:val="Naslov1Char"/>
    <w:uiPriority w:val="9"/>
    <w:qFormat/>
    <w:rsid w:val="006427F5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427F5"/>
    <w:pPr>
      <w:keepNext/>
      <w:keepLines/>
      <w:spacing w:before="160" w:after="12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522">
    <w:name w:val="box_455522"/>
    <w:basedOn w:val="Normal"/>
    <w:rsid w:val="00BC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F0397B"/>
  </w:style>
  <w:style w:type="paragraph" w:styleId="Odlomakpopisa">
    <w:name w:val="List Paragraph"/>
    <w:basedOn w:val="Normal"/>
    <w:uiPriority w:val="34"/>
    <w:qFormat/>
    <w:rsid w:val="00F0397B"/>
    <w:pPr>
      <w:ind w:left="720"/>
      <w:contextualSpacing/>
    </w:pPr>
  </w:style>
  <w:style w:type="character" w:customStyle="1" w:styleId="sub">
    <w:name w:val="sub"/>
    <w:basedOn w:val="Zadanifontodlomka"/>
    <w:rsid w:val="00E76EAD"/>
  </w:style>
  <w:style w:type="table" w:styleId="Reetkatablice">
    <w:name w:val="Table Grid"/>
    <w:basedOn w:val="Obinatablica"/>
    <w:uiPriority w:val="39"/>
    <w:rsid w:val="007C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75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0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D39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Zadanifontodlomka"/>
    <w:rsid w:val="00E579E6"/>
  </w:style>
  <w:style w:type="character" w:styleId="Referencakomentara">
    <w:name w:val="annotation reference"/>
    <w:basedOn w:val="Zadanifontodlomka"/>
    <w:uiPriority w:val="99"/>
    <w:semiHidden/>
    <w:unhideWhenUsed/>
    <w:rsid w:val="006908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908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9086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908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9086A"/>
    <w:rPr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6427F5"/>
    <w:pPr>
      <w:spacing w:before="120" w:after="12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27F5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Bezproreda">
    <w:name w:val="No Spacing"/>
    <w:uiPriority w:val="1"/>
    <w:qFormat/>
    <w:rsid w:val="006427F5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427F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427F5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2852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30337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339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0204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</w:divsChild>
    </w:div>
    <w:div w:id="18209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A9BC-5C99-4CDE-A74B-6839A213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122</Pages>
  <Words>38827</Words>
  <Characters>221314</Characters>
  <Application>Microsoft Office Word</Application>
  <DocSecurity>0</DocSecurity>
  <Lines>1844</Lines>
  <Paragraphs>519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Stipetić</dc:creator>
  <cp:keywords/>
  <dc:description/>
  <cp:lastModifiedBy>Damir Bartolić</cp:lastModifiedBy>
  <cp:revision>192</cp:revision>
  <cp:lastPrinted>2020-11-10T12:11:00Z</cp:lastPrinted>
  <dcterms:created xsi:type="dcterms:W3CDTF">2020-10-21T10:02:00Z</dcterms:created>
  <dcterms:modified xsi:type="dcterms:W3CDTF">2020-11-27T10:14:00Z</dcterms:modified>
</cp:coreProperties>
</file>