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0213BB" w:rsidRPr="0097347E" w14:paraId="04D6E18D" w14:textId="77777777" w:rsidTr="00FD4E84">
        <w:tc>
          <w:tcPr>
            <w:tcW w:w="9923" w:type="dxa"/>
            <w:gridSpan w:val="4"/>
            <w:shd w:val="clear" w:color="auto" w:fill="auto"/>
          </w:tcPr>
          <w:p w14:paraId="25BCF34E" w14:textId="77777777" w:rsidR="000213BB" w:rsidRPr="0097347E" w:rsidRDefault="000213BB" w:rsidP="00FD4E84">
            <w:pPr>
              <w:jc w:val="center"/>
              <w:rPr>
                <w:b/>
              </w:rPr>
            </w:pPr>
            <w:r w:rsidRPr="0097347E">
              <w:rPr>
                <w:b/>
              </w:rPr>
              <w:t>PRILOG 5.</w:t>
            </w:r>
          </w:p>
          <w:p w14:paraId="5CCECE8D" w14:textId="77777777" w:rsidR="000213BB" w:rsidRPr="0097347E" w:rsidRDefault="000213BB" w:rsidP="00FD4E84">
            <w:pPr>
              <w:jc w:val="center"/>
              <w:rPr>
                <w:b/>
              </w:rPr>
            </w:pPr>
            <w:r w:rsidRPr="0097347E">
              <w:rPr>
                <w:b/>
              </w:rPr>
              <w:t>OBRAZAC NAKNADNE PROCJENE UČINAKA PROPISA</w:t>
            </w:r>
          </w:p>
        </w:tc>
      </w:tr>
      <w:tr w:rsidR="000213BB" w:rsidRPr="0097347E" w14:paraId="2778BD86" w14:textId="77777777" w:rsidTr="00FD4E84">
        <w:tc>
          <w:tcPr>
            <w:tcW w:w="851" w:type="dxa"/>
          </w:tcPr>
          <w:p w14:paraId="42978808" w14:textId="77777777" w:rsidR="000213BB" w:rsidRPr="0097347E" w:rsidRDefault="000213BB" w:rsidP="00FD4E84">
            <w:pPr>
              <w:rPr>
                <w:b/>
              </w:rPr>
            </w:pPr>
            <w:r w:rsidRPr="0097347E">
              <w:rPr>
                <w:b/>
              </w:rPr>
              <w:t>1.</w:t>
            </w:r>
          </w:p>
        </w:tc>
        <w:tc>
          <w:tcPr>
            <w:tcW w:w="9072" w:type="dxa"/>
            <w:gridSpan w:val="3"/>
          </w:tcPr>
          <w:p w14:paraId="4A4A8262" w14:textId="77777777" w:rsidR="000213BB" w:rsidRPr="0097347E" w:rsidRDefault="000213BB" w:rsidP="00FD4E84">
            <w:pPr>
              <w:rPr>
                <w:b/>
              </w:rPr>
            </w:pPr>
            <w:r w:rsidRPr="0097347E">
              <w:rPr>
                <w:b/>
              </w:rPr>
              <w:t>OPĆE INFORMACIJE</w:t>
            </w:r>
          </w:p>
        </w:tc>
      </w:tr>
      <w:tr w:rsidR="000213BB" w:rsidRPr="0097347E" w14:paraId="238BDEE1" w14:textId="77777777" w:rsidTr="00EF473F">
        <w:tc>
          <w:tcPr>
            <w:tcW w:w="851" w:type="dxa"/>
          </w:tcPr>
          <w:p w14:paraId="5E0B81F0" w14:textId="77777777" w:rsidR="000213BB" w:rsidRPr="0097347E" w:rsidRDefault="000213BB" w:rsidP="00FD4E84">
            <w:r w:rsidRPr="0097347E">
              <w:t>1.1.</w:t>
            </w:r>
          </w:p>
        </w:tc>
        <w:tc>
          <w:tcPr>
            <w:tcW w:w="2698" w:type="dxa"/>
          </w:tcPr>
          <w:p w14:paraId="7A84C03B" w14:textId="77777777" w:rsidR="000213BB" w:rsidRPr="0097347E" w:rsidRDefault="000213BB" w:rsidP="00FD4E84">
            <w:r w:rsidRPr="0097347E">
              <w:t>Naziv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51CF94CA" w14:textId="5009741E" w:rsidR="000213BB" w:rsidRPr="0097347E" w:rsidRDefault="00FD4E84" w:rsidP="00B43E76">
            <w:r>
              <w:t xml:space="preserve">Zakon o </w:t>
            </w:r>
            <w:r w:rsidR="00777A22">
              <w:t xml:space="preserve">izmjenama i dopunama Zakona o </w:t>
            </w:r>
            <w:r>
              <w:t xml:space="preserve">porezu na </w:t>
            </w:r>
            <w:r w:rsidR="00B43E76">
              <w:t xml:space="preserve">dohodak </w:t>
            </w:r>
          </w:p>
        </w:tc>
      </w:tr>
      <w:tr w:rsidR="000213BB" w:rsidRPr="0097347E" w14:paraId="4923F3D5" w14:textId="77777777" w:rsidTr="00EF473F">
        <w:tc>
          <w:tcPr>
            <w:tcW w:w="851" w:type="dxa"/>
          </w:tcPr>
          <w:p w14:paraId="47F21AE1" w14:textId="77777777" w:rsidR="000213BB" w:rsidRPr="0097347E" w:rsidRDefault="000213BB" w:rsidP="00FD4E84">
            <w:r w:rsidRPr="0097347E">
              <w:t>1.2.</w:t>
            </w:r>
          </w:p>
        </w:tc>
        <w:tc>
          <w:tcPr>
            <w:tcW w:w="2698" w:type="dxa"/>
          </w:tcPr>
          <w:p w14:paraId="2DFE0BF8" w14:textId="77777777" w:rsidR="000213BB" w:rsidRPr="0097347E" w:rsidRDefault="000213BB" w:rsidP="00FD4E84">
            <w:r w:rsidRPr="0097347E">
              <w:t>Broj "Narodnih novina"</w:t>
            </w:r>
          </w:p>
        </w:tc>
        <w:tc>
          <w:tcPr>
            <w:tcW w:w="6374" w:type="dxa"/>
            <w:gridSpan w:val="2"/>
            <w:shd w:val="clear" w:color="auto" w:fill="auto"/>
          </w:tcPr>
          <w:p w14:paraId="061E07F5" w14:textId="21E41EF0" w:rsidR="000213BB" w:rsidRPr="00777A22" w:rsidRDefault="00333737" w:rsidP="00FD4E84">
            <w:r w:rsidRPr="00B94962">
              <w:t>106/18</w:t>
            </w:r>
          </w:p>
        </w:tc>
      </w:tr>
      <w:tr w:rsidR="000213BB" w:rsidRPr="0097347E" w14:paraId="67E78491" w14:textId="77777777" w:rsidTr="00714FFC">
        <w:trPr>
          <w:trHeight w:val="1267"/>
        </w:trPr>
        <w:tc>
          <w:tcPr>
            <w:tcW w:w="851" w:type="dxa"/>
          </w:tcPr>
          <w:p w14:paraId="034E0434" w14:textId="77777777" w:rsidR="000213BB" w:rsidRPr="0097347E" w:rsidRDefault="000213BB" w:rsidP="00FD4E84">
            <w:r w:rsidRPr="0097347E">
              <w:t>1.3.</w:t>
            </w:r>
          </w:p>
        </w:tc>
        <w:tc>
          <w:tcPr>
            <w:tcW w:w="2698" w:type="dxa"/>
          </w:tcPr>
          <w:p w14:paraId="6303FFDA" w14:textId="77777777" w:rsidR="000213BB" w:rsidRPr="0097347E" w:rsidRDefault="000213BB" w:rsidP="00FD4E84">
            <w:r w:rsidRPr="0097347E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14:paraId="2B7B3A8C" w14:textId="77777777" w:rsidR="000213BB" w:rsidRPr="0097347E" w:rsidRDefault="000213BB" w:rsidP="00FD4E84">
            <w:r w:rsidRPr="00FB55AE">
              <w:rPr>
                <w:b/>
              </w:rPr>
              <w:t>Da</w:t>
            </w:r>
            <w:r w:rsidRPr="0097347E">
              <w:t>/Ne:</w:t>
            </w:r>
          </w:p>
          <w:p w14:paraId="3181CA01" w14:textId="77777777" w:rsidR="000213BB" w:rsidRPr="0097347E" w:rsidRDefault="000213BB" w:rsidP="00FD4E84"/>
        </w:tc>
        <w:tc>
          <w:tcPr>
            <w:tcW w:w="5386" w:type="dxa"/>
            <w:shd w:val="clear" w:color="auto" w:fill="auto"/>
          </w:tcPr>
          <w:p w14:paraId="649F817E" w14:textId="77777777" w:rsidR="00777A22" w:rsidRDefault="000213BB" w:rsidP="00777A22">
            <w:r w:rsidRPr="00777A22">
              <w:t>Naziv akta:</w:t>
            </w:r>
            <w:r w:rsidR="00C57BF0" w:rsidRPr="00777A22">
              <w:t xml:space="preserve"> </w:t>
            </w:r>
          </w:p>
          <w:p w14:paraId="69B434A6" w14:textId="7E2821A4" w:rsidR="00777A22" w:rsidRPr="00394A6D" w:rsidRDefault="00777A22" w:rsidP="00777A22">
            <w:pPr>
              <w:rPr>
                <w:sz w:val="22"/>
              </w:rPr>
            </w:pPr>
            <w:r w:rsidRPr="00394A6D">
              <w:rPr>
                <w:sz w:val="22"/>
              </w:rPr>
              <w:t>Program Vlade Republike Hrvatske za mandat 2016</w:t>
            </w:r>
            <w:r>
              <w:rPr>
                <w:sz w:val="22"/>
              </w:rPr>
              <w:t>.</w:t>
            </w:r>
            <w:r w:rsidRPr="00394A6D">
              <w:rPr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 w:rsidRPr="00394A6D">
              <w:rPr>
                <w:sz w:val="22"/>
              </w:rPr>
              <w:t xml:space="preserve"> 2020</w:t>
            </w:r>
            <w:r>
              <w:rPr>
                <w:sz w:val="22"/>
              </w:rPr>
              <w:t>.</w:t>
            </w:r>
          </w:p>
          <w:p w14:paraId="4154B945" w14:textId="44DF630A" w:rsidR="00777A22" w:rsidRPr="00394A6D" w:rsidRDefault="00777A22" w:rsidP="00777A22">
            <w:pPr>
              <w:shd w:val="clear" w:color="auto" w:fill="FFFFFF"/>
              <w:rPr>
                <w:sz w:val="22"/>
              </w:rPr>
            </w:pPr>
            <w:r w:rsidRPr="00394A6D">
              <w:rPr>
                <w:sz w:val="22"/>
              </w:rPr>
              <w:t>Opis mjere:</w:t>
            </w:r>
          </w:p>
          <w:p w14:paraId="6A54544C" w14:textId="77777777" w:rsidR="00777A22" w:rsidRPr="00394A6D" w:rsidRDefault="00777A22" w:rsidP="00777A22">
            <w:pPr>
              <w:shd w:val="clear" w:color="auto" w:fill="FFFFFF"/>
              <w:rPr>
                <w:sz w:val="22"/>
              </w:rPr>
            </w:pPr>
            <w:r w:rsidRPr="00394A6D">
              <w:rPr>
                <w:sz w:val="22"/>
              </w:rPr>
              <w:t>1.2. Razvoj obrtništva i poduzetništva</w:t>
            </w:r>
          </w:p>
          <w:p w14:paraId="07B5E38E" w14:textId="3F962577" w:rsidR="00482C7F" w:rsidRPr="0097347E" w:rsidRDefault="00482C7F" w:rsidP="00482C7F">
            <w:r>
              <w:t>7.2. Porezni sustav</w:t>
            </w:r>
          </w:p>
        </w:tc>
      </w:tr>
      <w:tr w:rsidR="000213BB" w:rsidRPr="0097347E" w14:paraId="2808B88D" w14:textId="77777777" w:rsidTr="00EF473F">
        <w:tc>
          <w:tcPr>
            <w:tcW w:w="851" w:type="dxa"/>
          </w:tcPr>
          <w:p w14:paraId="37D5A18B" w14:textId="77777777" w:rsidR="000213BB" w:rsidRPr="0097347E" w:rsidRDefault="000213BB" w:rsidP="00FD4E84">
            <w:r w:rsidRPr="0097347E">
              <w:t>1.4.</w:t>
            </w:r>
          </w:p>
        </w:tc>
        <w:tc>
          <w:tcPr>
            <w:tcW w:w="2698" w:type="dxa"/>
          </w:tcPr>
          <w:p w14:paraId="19A3166F" w14:textId="77777777" w:rsidR="000213BB" w:rsidRPr="0097347E" w:rsidRDefault="000213BB" w:rsidP="00FD4E84">
            <w:r w:rsidRPr="0097347E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14:paraId="20A05800" w14:textId="77777777" w:rsidR="000213BB" w:rsidRPr="0097347E" w:rsidRDefault="000213BB" w:rsidP="00FD4E84">
            <w:r w:rsidRPr="00FD4E84">
              <w:rPr>
                <w:b/>
              </w:rPr>
              <w:t>Da</w:t>
            </w:r>
            <w:r w:rsidRPr="0097347E">
              <w:t>/Ne:</w:t>
            </w:r>
          </w:p>
          <w:p w14:paraId="425CA9E7" w14:textId="77777777" w:rsidR="000213BB" w:rsidRPr="0097347E" w:rsidRDefault="000213BB" w:rsidP="00FD4E84"/>
        </w:tc>
        <w:tc>
          <w:tcPr>
            <w:tcW w:w="5386" w:type="dxa"/>
            <w:shd w:val="clear" w:color="auto" w:fill="auto"/>
          </w:tcPr>
          <w:p w14:paraId="77EEDBB4" w14:textId="77777777" w:rsidR="00482C7F" w:rsidRDefault="00482C7F" w:rsidP="00C57BF0">
            <w:r>
              <w:t>Naziv pravne stečevine EU:</w:t>
            </w:r>
          </w:p>
          <w:p w14:paraId="216F91F6" w14:textId="77777777" w:rsidR="00482C7F" w:rsidRDefault="00482C7F" w:rsidP="00C57BF0"/>
          <w:p w14:paraId="503F50B9" w14:textId="77777777" w:rsidR="00C57BF0" w:rsidRPr="000E66D8" w:rsidRDefault="00B43E76" w:rsidP="00FD4E84">
            <w:pPr>
              <w:rPr>
                <w:szCs w:val="24"/>
              </w:rPr>
            </w:pPr>
            <w:r>
              <w:t>NE</w:t>
            </w:r>
          </w:p>
        </w:tc>
      </w:tr>
      <w:tr w:rsidR="000213BB" w:rsidRPr="0097347E" w14:paraId="032BB508" w14:textId="77777777" w:rsidTr="00FD4E84">
        <w:trPr>
          <w:trHeight w:val="314"/>
        </w:trPr>
        <w:tc>
          <w:tcPr>
            <w:tcW w:w="851" w:type="dxa"/>
          </w:tcPr>
          <w:p w14:paraId="719CCFE9" w14:textId="77777777" w:rsidR="000213BB" w:rsidRPr="0097347E" w:rsidRDefault="000213BB" w:rsidP="00FD4E84">
            <w:pPr>
              <w:rPr>
                <w:b/>
              </w:rPr>
            </w:pPr>
            <w:r w:rsidRPr="0097347E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7E123EB" w14:textId="77777777" w:rsidR="000213BB" w:rsidRPr="0097347E" w:rsidRDefault="000213BB" w:rsidP="00FD4E84">
            <w:pPr>
              <w:rPr>
                <w:b/>
              </w:rPr>
            </w:pPr>
            <w:r w:rsidRPr="0097347E">
              <w:rPr>
                <w:b/>
              </w:rPr>
              <w:t>ANALIZA POSTIGNUTIH REZULTATA PRIMJENE ZAKONA</w:t>
            </w:r>
          </w:p>
        </w:tc>
      </w:tr>
      <w:tr w:rsidR="000213BB" w:rsidRPr="00E97DCE" w14:paraId="1ABFA9A2" w14:textId="77777777" w:rsidTr="00EF473F">
        <w:tc>
          <w:tcPr>
            <w:tcW w:w="851" w:type="dxa"/>
          </w:tcPr>
          <w:p w14:paraId="3ECCB266" w14:textId="77777777" w:rsidR="000213BB" w:rsidRPr="00E97DCE" w:rsidRDefault="000213BB" w:rsidP="00FD4E84">
            <w:r w:rsidRPr="00E97DCE">
              <w:t>2.1.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A94D9A4" w14:textId="77777777" w:rsidR="002312C0" w:rsidRPr="00E97DCE" w:rsidRDefault="0046760F" w:rsidP="00F42D3D">
            <w:pPr>
              <w:jc w:val="both"/>
              <w:rPr>
                <w:szCs w:val="24"/>
              </w:rPr>
            </w:pPr>
            <w:r w:rsidRPr="00E97DCE">
              <w:rPr>
                <w:color w:val="000000"/>
                <w:szCs w:val="24"/>
              </w:rPr>
              <w:t xml:space="preserve">U skladu s Programom Vlade Republike Hrvatske za mandat 2016. – 2020. provodi se cjelovita porezna reforma, koja obuhvaća sve segmente poreznog sustava, a posebno je usmjerena na pojednostavljenje sustava, širenje porezne baze i porezno rasterećenje građana i poduzetnika. </w:t>
            </w:r>
            <w:r w:rsidRPr="00E97DCE">
              <w:rPr>
                <w:szCs w:val="24"/>
              </w:rPr>
              <w:t xml:space="preserve">Temeljem analize utvrđeni su ciljevi reforme poreznog sustava i to: smanjenje ukupnog poreznog opterećenja, poticanje konkurentnosti gospodarstva, izgradnja socijalno pravednijeg poreznog sustava, stabilan, održiv i jednostavan porezni sustav, pojednostavljenje i pojeftinjenje porezne administracije kao i pružanje veće pravne sigurnosti poreznim obveznicima. </w:t>
            </w:r>
            <w:r w:rsidR="002312C0" w:rsidRPr="00E97DCE">
              <w:rPr>
                <w:szCs w:val="24"/>
              </w:rPr>
              <w:t xml:space="preserve"> </w:t>
            </w:r>
          </w:p>
          <w:p w14:paraId="02FC11C2" w14:textId="77777777" w:rsidR="002312C0" w:rsidRPr="00E97DCE" w:rsidRDefault="002312C0" w:rsidP="00F42D3D">
            <w:pPr>
              <w:jc w:val="both"/>
              <w:rPr>
                <w:szCs w:val="24"/>
              </w:rPr>
            </w:pPr>
          </w:p>
          <w:p w14:paraId="182A8407" w14:textId="34D7B262" w:rsidR="009D6320" w:rsidRPr="00E97DCE" w:rsidRDefault="00BB24D8" w:rsidP="00F42D3D">
            <w:pPr>
              <w:jc w:val="both"/>
              <w:rPr>
                <w:szCs w:val="24"/>
              </w:rPr>
            </w:pPr>
            <w:r w:rsidRPr="00E97DCE">
              <w:rPr>
                <w:bCs/>
                <w:szCs w:val="24"/>
              </w:rPr>
              <w:t>Dakle, jedan od ciljeva</w:t>
            </w:r>
            <w:r w:rsidR="00D60926" w:rsidRPr="00E97DCE">
              <w:rPr>
                <w:bCs/>
                <w:szCs w:val="24"/>
              </w:rPr>
              <w:t xml:space="preserve"> </w:t>
            </w:r>
            <w:r w:rsidRPr="00E97DCE">
              <w:rPr>
                <w:bCs/>
                <w:szCs w:val="24"/>
              </w:rPr>
              <w:t xml:space="preserve">je rasteretiti obveznike poreza na dohodak odnosno porezno rasteretiti rad i poduzetništvo kako bi se potaknulo zapošljavanje odnosno kako bi se pozitivno utjecalo na tržište rada, poduzetničku klimu, konkurentnost hrvatskih radnika na međunarodnom tržištu odnosno rast plaća </w:t>
            </w:r>
            <w:r w:rsidR="00E63A28" w:rsidRPr="00E97DCE">
              <w:rPr>
                <w:bCs/>
                <w:szCs w:val="24"/>
              </w:rPr>
              <w:t xml:space="preserve">visoko </w:t>
            </w:r>
            <w:r w:rsidRPr="00E97DCE">
              <w:rPr>
                <w:bCs/>
                <w:szCs w:val="24"/>
              </w:rPr>
              <w:t>kvalificiran</w:t>
            </w:r>
            <w:r w:rsidR="00777A22" w:rsidRPr="00E97DCE">
              <w:rPr>
                <w:bCs/>
                <w:szCs w:val="24"/>
              </w:rPr>
              <w:t>ih</w:t>
            </w:r>
            <w:r w:rsidRPr="00E97DCE">
              <w:rPr>
                <w:bCs/>
                <w:szCs w:val="24"/>
              </w:rPr>
              <w:t xml:space="preserve"> </w:t>
            </w:r>
            <w:r w:rsidR="00520140" w:rsidRPr="00E97DCE">
              <w:rPr>
                <w:bCs/>
                <w:szCs w:val="24"/>
              </w:rPr>
              <w:t>stručnjaka</w:t>
            </w:r>
            <w:r w:rsidRPr="00E97DCE">
              <w:rPr>
                <w:bCs/>
                <w:szCs w:val="24"/>
              </w:rPr>
              <w:t xml:space="preserve"> poput liječnika, IT stručnjaka, farmaceuta i dr. </w:t>
            </w:r>
            <w:r w:rsidR="00D60926" w:rsidRPr="00E97DCE">
              <w:rPr>
                <w:rFonts w:eastAsia="Times New Roman"/>
                <w:szCs w:val="24"/>
              </w:rPr>
              <w:t xml:space="preserve"> </w:t>
            </w:r>
            <w:r w:rsidR="00484B95" w:rsidRPr="00E97DCE">
              <w:rPr>
                <w:bCs/>
                <w:szCs w:val="24"/>
              </w:rPr>
              <w:t xml:space="preserve">Stoga je, a </w:t>
            </w:r>
            <w:r w:rsidR="00484B95" w:rsidRPr="00E97DCE">
              <w:rPr>
                <w:szCs w:val="24"/>
              </w:rPr>
              <w:t xml:space="preserve">kako bi se nastavilo ispunjenje zadanih ciljeva </w:t>
            </w:r>
            <w:r w:rsidR="009D6320" w:rsidRPr="00E97DCE">
              <w:rPr>
                <w:rFonts w:eastAsia="Times New Roman"/>
                <w:szCs w:val="24"/>
              </w:rPr>
              <w:t>započeo</w:t>
            </w:r>
            <w:r w:rsidR="00484B95" w:rsidRPr="00E97DCE">
              <w:rPr>
                <w:rFonts w:eastAsia="Times New Roman"/>
                <w:szCs w:val="24"/>
              </w:rPr>
              <w:t xml:space="preserve"> treći krug porezne reforme s primjenom od </w:t>
            </w:r>
            <w:r w:rsidR="009D6320" w:rsidRPr="00E97DCE">
              <w:rPr>
                <w:rFonts w:eastAsia="Times New Roman"/>
                <w:szCs w:val="24"/>
              </w:rPr>
              <w:t xml:space="preserve">1. siječnja 2019. kroz porezni paket od 9 zakona kojim su bile obuhvaćene </w:t>
            </w:r>
            <w:r w:rsidR="00777A22" w:rsidRPr="00E97DCE">
              <w:rPr>
                <w:rFonts w:eastAsia="Times New Roman"/>
                <w:szCs w:val="24"/>
              </w:rPr>
              <w:t>i</w:t>
            </w:r>
            <w:r w:rsidR="009D6320" w:rsidRPr="00E97DCE">
              <w:rPr>
                <w:rFonts w:eastAsia="Times New Roman"/>
                <w:szCs w:val="24"/>
              </w:rPr>
              <w:t xml:space="preserve">zmjene i dopune Zakona o porezu na dohodak. </w:t>
            </w:r>
            <w:r w:rsidR="00484B95" w:rsidRPr="00E97DCE">
              <w:rPr>
                <w:rFonts w:eastAsia="Times New Roman"/>
                <w:szCs w:val="24"/>
              </w:rPr>
              <w:t xml:space="preserve"> </w:t>
            </w:r>
            <w:r w:rsidR="00D60926" w:rsidRPr="00E97DCE">
              <w:rPr>
                <w:rFonts w:eastAsia="Times New Roman"/>
                <w:szCs w:val="24"/>
              </w:rPr>
              <w:t>Naime,</w:t>
            </w:r>
            <w:r w:rsidR="00484B95" w:rsidRPr="00E97DCE">
              <w:rPr>
                <w:rFonts w:eastAsia="Times New Roman"/>
                <w:szCs w:val="24"/>
              </w:rPr>
              <w:t xml:space="preserve"> </w:t>
            </w:r>
            <w:r w:rsidR="00484B95" w:rsidRPr="00E97DCE">
              <w:rPr>
                <w:szCs w:val="24"/>
              </w:rPr>
              <w:t>Zakon</w:t>
            </w:r>
            <w:r w:rsidR="00203CA4" w:rsidRPr="00E97DCE">
              <w:rPr>
                <w:szCs w:val="24"/>
              </w:rPr>
              <w:t>om</w:t>
            </w:r>
            <w:r w:rsidR="00484B95" w:rsidRPr="00E97DCE">
              <w:rPr>
                <w:szCs w:val="24"/>
              </w:rPr>
              <w:t xml:space="preserve"> o izmjenama i dopunama Zakona o porezu na dohodak (NN 106/18) </w:t>
            </w:r>
            <w:r w:rsidR="00D60926" w:rsidRPr="00E97DCE">
              <w:rPr>
                <w:szCs w:val="24"/>
              </w:rPr>
              <w:t xml:space="preserve">propisano je dodatno rasterećenje poreznih obveznika i pojednostavljenje sustava oporezivanja dohotka odnosno </w:t>
            </w:r>
            <w:r w:rsidR="00484B95" w:rsidRPr="00E97DCE">
              <w:rPr>
                <w:szCs w:val="24"/>
              </w:rPr>
              <w:t>u Zakonu o porezu na dohodak (NN 115/16)</w:t>
            </w:r>
            <w:r w:rsidR="00D60926" w:rsidRPr="00E97DCE">
              <w:rPr>
                <w:szCs w:val="24"/>
              </w:rPr>
              <w:t xml:space="preserve"> su</w:t>
            </w:r>
            <w:r w:rsidR="00484B95" w:rsidRPr="00E97DCE">
              <w:rPr>
                <w:szCs w:val="24"/>
              </w:rPr>
              <w:t xml:space="preserve"> izvršene</w:t>
            </w:r>
            <w:r w:rsidR="00D60926" w:rsidRPr="00E97DCE">
              <w:rPr>
                <w:szCs w:val="24"/>
              </w:rPr>
              <w:t xml:space="preserve"> </w:t>
            </w:r>
            <w:r w:rsidR="00484B95" w:rsidRPr="00E97DCE">
              <w:rPr>
                <w:szCs w:val="24"/>
              </w:rPr>
              <w:t>sljedeće izmjene i dopune koje su u primjeni od 1. siječnja 2019.</w:t>
            </w:r>
            <w:r w:rsidR="009D6320" w:rsidRPr="00E97DCE">
              <w:rPr>
                <w:rFonts w:eastAsia="Times New Roman"/>
                <w:szCs w:val="24"/>
              </w:rPr>
              <w:t>:</w:t>
            </w:r>
          </w:p>
          <w:p w14:paraId="6A193B16" w14:textId="7E77C88B" w:rsidR="00797A27" w:rsidRPr="00E97DCE" w:rsidRDefault="00797A27" w:rsidP="00797A27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 xml:space="preserve">povećan </w:t>
            </w:r>
            <w:r w:rsidR="000A3748" w:rsidRPr="00E97DCE">
              <w:rPr>
                <w:rFonts w:eastAsia="Times New Roman"/>
                <w:szCs w:val="24"/>
              </w:rPr>
              <w:t xml:space="preserve">je </w:t>
            </w:r>
            <w:r w:rsidRPr="00E97DCE">
              <w:rPr>
                <w:rFonts w:eastAsia="Times New Roman"/>
                <w:szCs w:val="24"/>
              </w:rPr>
              <w:t>iznos porezne osnovice</w:t>
            </w:r>
            <w:r w:rsidR="00777A22" w:rsidRPr="00E97DCE">
              <w:rPr>
                <w:rFonts w:eastAsia="Times New Roman"/>
                <w:szCs w:val="24"/>
              </w:rPr>
              <w:t>,</w:t>
            </w:r>
            <w:r w:rsidRPr="00E97DCE">
              <w:rPr>
                <w:rFonts w:eastAsia="Times New Roman"/>
                <w:szCs w:val="24"/>
              </w:rPr>
              <w:t xml:space="preserve"> odnosno propisano je da </w:t>
            </w:r>
            <w:r w:rsidRPr="00E97DCE">
              <w:rPr>
                <w:rFonts w:eastAsia="Times New Roman"/>
                <w:szCs w:val="24"/>
                <w:lang w:val="vi-VN"/>
              </w:rPr>
              <w:t xml:space="preserve">se porez na dohodak plaća </w:t>
            </w:r>
            <w:r w:rsidRPr="00E97DCE">
              <w:rPr>
                <w:rFonts w:eastAsia="Times New Roman"/>
                <w:bCs/>
                <w:szCs w:val="24"/>
                <w:lang w:val="vi-VN"/>
              </w:rPr>
              <w:t xml:space="preserve">po stopi od 24% na </w:t>
            </w:r>
            <w:r w:rsidRPr="00E97DCE">
              <w:rPr>
                <w:rFonts w:eastAsia="Times New Roman"/>
                <w:bCs/>
                <w:szCs w:val="24"/>
              </w:rPr>
              <w:t>mjesečnu poreznu osnovicu do 30.000,00 kn (godišnju do 360.000,00 kn) te po stopi od 36%</w:t>
            </w:r>
            <w:r w:rsidRPr="00E97DCE">
              <w:rPr>
                <w:rFonts w:eastAsia="Times New Roman"/>
                <w:szCs w:val="24"/>
              </w:rPr>
              <w:t xml:space="preserve"> na mjesečnu poreznu osnovicu koja prelazi iznos od 30.000,00 kn (godišnju </w:t>
            </w:r>
            <w:r w:rsidRPr="00E97DCE">
              <w:rPr>
                <w:rFonts w:eastAsia="Times New Roman"/>
                <w:szCs w:val="24"/>
                <w:lang w:val="vi-VN"/>
              </w:rPr>
              <w:t>360.000,00 kn</w:t>
            </w:r>
            <w:r w:rsidRPr="00E97DCE">
              <w:rPr>
                <w:rFonts w:eastAsia="Times New Roman"/>
                <w:szCs w:val="24"/>
              </w:rPr>
              <w:t xml:space="preserve">) </w:t>
            </w:r>
          </w:p>
          <w:p w14:paraId="216C358E" w14:textId="370ECE75" w:rsidR="00B179BD" w:rsidRPr="00E97DCE" w:rsidRDefault="00EF3925" w:rsidP="00B179BD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>izjednačen je porezni tretman</w:t>
            </w:r>
            <w:r w:rsidR="00E21F52" w:rsidRPr="00E97DCE">
              <w:rPr>
                <w:rFonts w:eastAsia="Times New Roman"/>
                <w:szCs w:val="24"/>
              </w:rPr>
              <w:t>, kao dohodak od kapitala,</w:t>
            </w:r>
            <w:r w:rsidRPr="00E97DCE">
              <w:rPr>
                <w:rFonts w:eastAsia="Times New Roman"/>
                <w:szCs w:val="24"/>
              </w:rPr>
              <w:t xml:space="preserve"> </w:t>
            </w:r>
            <w:r w:rsidR="00B179BD" w:rsidRPr="00E97DCE">
              <w:rPr>
                <w:rFonts w:eastAsia="Times New Roman"/>
                <w:szCs w:val="24"/>
                <w:lang w:val="vi-VN"/>
              </w:rPr>
              <w:t xml:space="preserve">dodjele ili opcijske kupnje vlastitih dionica koje poslodavci i isplatitelji primitka, odnosno plaće daju radnicima i fizičkim osobama </w:t>
            </w:r>
            <w:r w:rsidR="00B179BD" w:rsidRPr="00E97DCE">
              <w:rPr>
                <w:rFonts w:eastAsia="Times New Roman"/>
                <w:szCs w:val="24"/>
              </w:rPr>
              <w:t>ili drugim povezanim osobama</w:t>
            </w:r>
            <w:r w:rsidRPr="00E97DCE">
              <w:rPr>
                <w:rFonts w:eastAsia="Times New Roman"/>
                <w:szCs w:val="24"/>
              </w:rPr>
              <w:t xml:space="preserve"> </w:t>
            </w:r>
          </w:p>
          <w:p w14:paraId="05527EAA" w14:textId="75C06284" w:rsidR="00B179BD" w:rsidRPr="00E97DCE" w:rsidRDefault="00EF3925" w:rsidP="00B179BD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>snižen je iznos kamatne stope koja se smatra</w:t>
            </w:r>
            <w:r w:rsidR="00B179BD" w:rsidRPr="00E97DCE">
              <w:rPr>
                <w:rFonts w:eastAsia="Times New Roman"/>
                <w:szCs w:val="24"/>
              </w:rPr>
              <w:t xml:space="preserve"> povoljnij</w:t>
            </w:r>
            <w:r w:rsidRPr="00E97DCE">
              <w:rPr>
                <w:rFonts w:eastAsia="Times New Roman"/>
                <w:szCs w:val="24"/>
              </w:rPr>
              <w:t>om</w:t>
            </w:r>
            <w:r w:rsidR="00B179BD" w:rsidRPr="00E97DCE">
              <w:rPr>
                <w:rFonts w:eastAsia="Times New Roman"/>
                <w:szCs w:val="24"/>
              </w:rPr>
              <w:t xml:space="preserve"> kamat</w:t>
            </w:r>
            <w:r w:rsidRPr="00E97DCE">
              <w:rPr>
                <w:rFonts w:eastAsia="Times New Roman"/>
                <w:szCs w:val="24"/>
              </w:rPr>
              <w:t>nom stopom</w:t>
            </w:r>
            <w:r w:rsidR="00E21F52" w:rsidRPr="00E97DCE">
              <w:rPr>
                <w:rFonts w:eastAsia="Times New Roman"/>
                <w:szCs w:val="24"/>
              </w:rPr>
              <w:t xml:space="preserve"> s 3% na 2% godišnje</w:t>
            </w:r>
          </w:p>
          <w:p w14:paraId="418B0D21" w14:textId="57367232" w:rsidR="00E21F52" w:rsidRPr="00E97DCE" w:rsidRDefault="00EF3925" w:rsidP="00E21F52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 xml:space="preserve">prošireni su primici koji se </w:t>
            </w:r>
            <w:r w:rsidR="009D6320" w:rsidRPr="00E97DCE">
              <w:rPr>
                <w:rFonts w:eastAsia="Times New Roman"/>
                <w:szCs w:val="24"/>
              </w:rPr>
              <w:t xml:space="preserve">ne smatraju </w:t>
            </w:r>
            <w:r w:rsidRPr="00E97DCE">
              <w:rPr>
                <w:rFonts w:eastAsia="Times New Roman"/>
                <w:szCs w:val="24"/>
              </w:rPr>
              <w:t>dohotkom</w:t>
            </w:r>
            <w:r w:rsidR="00E21F52" w:rsidRPr="00E97DCE">
              <w:rPr>
                <w:rFonts w:eastAsia="Times New Roman"/>
                <w:szCs w:val="24"/>
              </w:rPr>
              <w:t xml:space="preserve"> te se dohotkom ne smatraju: troškovi prijevoza i smještaja u zdravstvene ustanove, dodjela udžbenika, radnih bilježnica i bilježnica koje jedinice lokalne i regionalne samouprave daju učenicima odnosno primicima od kojih se utvrđuje dohodak ne smatraju </w:t>
            </w:r>
            <w:r w:rsidR="000A3748" w:rsidRPr="00E97DCE">
              <w:rPr>
                <w:rFonts w:eastAsia="Times New Roman"/>
                <w:szCs w:val="24"/>
              </w:rPr>
              <w:t xml:space="preserve">se </w:t>
            </w:r>
            <w:r w:rsidR="00E21F52" w:rsidRPr="00E97DCE">
              <w:rPr>
                <w:rFonts w:eastAsia="Times New Roman"/>
                <w:szCs w:val="24"/>
              </w:rPr>
              <w:t xml:space="preserve">novčane naknade koje se isplaćuju </w:t>
            </w:r>
            <w:r w:rsidR="00E21F52" w:rsidRPr="00E97DCE">
              <w:rPr>
                <w:rFonts w:eastAsia="Times New Roman"/>
                <w:szCs w:val="24"/>
              </w:rPr>
              <w:lastRenderedPageBreak/>
              <w:t xml:space="preserve">po toj osnovi,  te formalni i neformalni programi obrazovanja nezaposlenih osoba i drugih socijalno ugroženih skupina koje bez naplate organiziraju pravne i/ili fizičke osobe, a koji se financiraju iz državnog proračuna i/ili proračuna lokalne i područne (regionalne) samouprave i/ili iz fondova i programa Europske unije i drugih međunarodnih fondova, što je jedna od mjera usmjerena na zapošljavanje nezaposlenih osoba. </w:t>
            </w:r>
          </w:p>
          <w:p w14:paraId="0E8372B3" w14:textId="7509B069" w:rsidR="00E21F52" w:rsidRPr="00E97DCE" w:rsidRDefault="00E21F52" w:rsidP="00E21F52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 xml:space="preserve">propisano </w:t>
            </w:r>
            <w:r w:rsidR="00777A22" w:rsidRPr="00E97DCE">
              <w:rPr>
                <w:rFonts w:eastAsia="Times New Roman"/>
                <w:szCs w:val="24"/>
              </w:rPr>
              <w:t xml:space="preserve">je </w:t>
            </w:r>
            <w:r w:rsidRPr="00E97DCE">
              <w:rPr>
                <w:rFonts w:eastAsia="Times New Roman"/>
                <w:szCs w:val="24"/>
              </w:rPr>
              <w:t>da se primici koje fizičke osobe ostvare na privremenim odnosno povremenim sezonskim poslovima u poljoprivredi smatraju konačnim drugim dohotkom na koji se plaća porez na dohodak po stopi od 12%</w:t>
            </w:r>
            <w:r w:rsidR="000B66E0" w:rsidRPr="00E97DCE">
              <w:rPr>
                <w:rFonts w:eastAsia="Times New Roman"/>
                <w:szCs w:val="24"/>
              </w:rPr>
              <w:t>,</w:t>
            </w:r>
            <w:r w:rsidRPr="00E97DCE">
              <w:rPr>
                <w:rFonts w:eastAsia="Times New Roman"/>
                <w:szCs w:val="24"/>
              </w:rPr>
              <w:t xml:space="preserve"> </w:t>
            </w:r>
            <w:r w:rsidR="000B66E0" w:rsidRPr="00E97DCE">
              <w:rPr>
                <w:rFonts w:eastAsia="Times New Roman"/>
                <w:szCs w:val="24"/>
              </w:rPr>
              <w:t>umjesto po stopi 24%</w:t>
            </w:r>
          </w:p>
          <w:p w14:paraId="52B203B8" w14:textId="3030F49F" w:rsidR="009D6320" w:rsidRPr="00E97DCE" w:rsidRDefault="009D6320" w:rsidP="00484B95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>proširen je obuhvat primitaka koji se ne uzima</w:t>
            </w:r>
            <w:r w:rsidR="000A3748" w:rsidRPr="00E97DCE">
              <w:rPr>
                <w:rFonts w:eastAsia="Times New Roman"/>
                <w:szCs w:val="24"/>
              </w:rPr>
              <w:t>ju</w:t>
            </w:r>
            <w:r w:rsidRPr="00E97DCE">
              <w:rPr>
                <w:rFonts w:eastAsia="Times New Roman"/>
                <w:szCs w:val="24"/>
              </w:rPr>
              <w:t xml:space="preserve"> u obzir pri utvrđivanju prava na osobni odbitak za uzdržavane članove</w:t>
            </w:r>
            <w:r w:rsidR="00F11659" w:rsidRPr="00E97DCE">
              <w:rPr>
                <w:rFonts w:eastAsia="Times New Roman"/>
                <w:szCs w:val="24"/>
              </w:rPr>
              <w:t xml:space="preserve"> </w:t>
            </w:r>
          </w:p>
          <w:p w14:paraId="3334579B" w14:textId="77777777" w:rsidR="005F0005" w:rsidRPr="00E97DCE" w:rsidRDefault="009D6320" w:rsidP="005F0005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 xml:space="preserve">ukinut je dohodak od osiguranja </w:t>
            </w:r>
          </w:p>
          <w:p w14:paraId="5516DC44" w14:textId="77777777" w:rsidR="00E21F52" w:rsidRPr="00E97DCE" w:rsidRDefault="00B179BD" w:rsidP="005F0005">
            <w:pPr>
              <w:numPr>
                <w:ilvl w:val="0"/>
                <w:numId w:val="17"/>
              </w:numPr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 xml:space="preserve">propisana </w:t>
            </w:r>
            <w:r w:rsidR="006A530D" w:rsidRPr="00E97DCE">
              <w:rPr>
                <w:rFonts w:eastAsia="Times New Roman"/>
                <w:szCs w:val="24"/>
              </w:rPr>
              <w:t xml:space="preserve">je </w:t>
            </w:r>
            <w:r w:rsidRPr="00E97DCE">
              <w:rPr>
                <w:rFonts w:eastAsia="Times New Roman"/>
                <w:szCs w:val="24"/>
              </w:rPr>
              <w:t>obveza jedinicama lokalne samouprave da do</w:t>
            </w:r>
            <w:r w:rsidR="00E21F52" w:rsidRPr="00E97DCE">
              <w:rPr>
                <w:rFonts w:eastAsia="Times New Roman"/>
                <w:szCs w:val="24"/>
              </w:rPr>
              <w:t>n</w:t>
            </w:r>
            <w:r w:rsidR="006A530D" w:rsidRPr="00E97DCE">
              <w:rPr>
                <w:rFonts w:eastAsia="Times New Roman"/>
                <w:szCs w:val="24"/>
              </w:rPr>
              <w:t>ose</w:t>
            </w:r>
            <w:r w:rsidRPr="00E97DCE">
              <w:rPr>
                <w:rFonts w:eastAsia="Times New Roman"/>
                <w:szCs w:val="24"/>
              </w:rPr>
              <w:t xml:space="preserve"> odluke o visini plaćanja paušalnog poreza po krevetu odnosno po smještajnoj jedinici u kampu</w:t>
            </w:r>
            <w:r w:rsidR="00E21F52" w:rsidRPr="00E97DCE">
              <w:rPr>
                <w:rFonts w:eastAsia="Times New Roman"/>
                <w:szCs w:val="24"/>
              </w:rPr>
              <w:t>.</w:t>
            </w:r>
          </w:p>
          <w:p w14:paraId="5775EB86" w14:textId="4CFE5BDC" w:rsidR="00F42D3D" w:rsidRPr="00E97DCE" w:rsidRDefault="00B179BD" w:rsidP="00E21F52">
            <w:pPr>
              <w:ind w:left="360"/>
              <w:contextualSpacing/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 xml:space="preserve"> </w:t>
            </w:r>
          </w:p>
          <w:p w14:paraId="062DDAD5" w14:textId="10AC96C4" w:rsidR="009503D5" w:rsidRPr="00E97DCE" w:rsidRDefault="00C07B93" w:rsidP="009503D5">
            <w:pPr>
              <w:jc w:val="both"/>
              <w:rPr>
                <w:bCs/>
                <w:szCs w:val="24"/>
              </w:rPr>
            </w:pPr>
            <w:r w:rsidRPr="00E97DCE">
              <w:t xml:space="preserve">Primjena ovih izmjena u sustavu poreza na dohodak pozitivno je utjecala na povećanje raspoloživog dohotka stanovništva, a time i na povećanu potrošnju kućanstava. </w:t>
            </w:r>
            <w:r w:rsidR="009503D5" w:rsidRPr="00E97DCE">
              <w:t xml:space="preserve">Naime, </w:t>
            </w:r>
            <w:r w:rsidR="009503D5" w:rsidRPr="00E97DCE">
              <w:rPr>
                <w:szCs w:val="24"/>
              </w:rPr>
              <w:t xml:space="preserve">povećanje porezne osnovice rezultiralo je rastom plaća </w:t>
            </w:r>
            <w:r w:rsidR="009503D5" w:rsidRPr="00E97DCE">
              <w:rPr>
                <w:rStyle w:val="defaultparagraphfont-000018"/>
                <w:rFonts w:ascii="Times New Roman" w:hAnsi="Times New Roman"/>
              </w:rPr>
              <w:t>hrvatskih radnika na tržištu rada, osobito radnika u sektoru visokih tehnologija</w:t>
            </w:r>
            <w:r w:rsidR="009503D5" w:rsidRPr="00E97DCE">
              <w:rPr>
                <w:szCs w:val="24"/>
              </w:rPr>
              <w:t xml:space="preserve"> </w:t>
            </w:r>
            <w:r w:rsidR="00744BE5" w:rsidRPr="00E97DCE">
              <w:rPr>
                <w:szCs w:val="24"/>
              </w:rPr>
              <w:t xml:space="preserve">što je omogućilo </w:t>
            </w:r>
            <w:r w:rsidR="009503D5" w:rsidRPr="00E97DCE">
              <w:rPr>
                <w:szCs w:val="24"/>
              </w:rPr>
              <w:t xml:space="preserve">smanjen odljev visokokvalificiranih radnika iz Republike Hrvatske. Isto je dovelo i do pozitivnog utjecaja na konkurentnost visokoobrazovanih radnika u odnosu na zemlje u okruženju. Također, </w:t>
            </w:r>
            <w:r w:rsidR="00EF3925" w:rsidRPr="00E97DCE">
              <w:rPr>
                <w:szCs w:val="24"/>
              </w:rPr>
              <w:t xml:space="preserve">izjednačavanjem poreznog tretmana </w:t>
            </w:r>
            <w:r w:rsidR="009503D5" w:rsidRPr="00E97DCE">
              <w:rPr>
                <w:szCs w:val="24"/>
                <w:lang w:val="vi-VN"/>
              </w:rPr>
              <w:t xml:space="preserve">primitka </w:t>
            </w:r>
            <w:r w:rsidR="00EF3925" w:rsidRPr="00E97DCE">
              <w:rPr>
                <w:szCs w:val="24"/>
              </w:rPr>
              <w:t>ostvarenih</w:t>
            </w:r>
            <w:r w:rsidR="009503D5" w:rsidRPr="00E97DCE">
              <w:rPr>
                <w:szCs w:val="24"/>
                <w:lang w:val="vi-VN"/>
              </w:rPr>
              <w:t xml:space="preserve"> po osnovi dodjele ili opcijske kupnje vlastitih dionica </w:t>
            </w:r>
            <w:r w:rsidR="00FD7B20" w:rsidRPr="00E97DCE">
              <w:rPr>
                <w:szCs w:val="24"/>
              </w:rPr>
              <w:t>tj.</w:t>
            </w:r>
            <w:r w:rsidR="00EF3925" w:rsidRPr="00E97DCE">
              <w:rPr>
                <w:szCs w:val="24"/>
              </w:rPr>
              <w:t xml:space="preserve"> niž</w:t>
            </w:r>
            <w:r w:rsidR="000A3748" w:rsidRPr="00E97DCE">
              <w:rPr>
                <w:szCs w:val="24"/>
              </w:rPr>
              <w:t>im</w:t>
            </w:r>
            <w:r w:rsidR="00EF3925" w:rsidRPr="00E97DCE">
              <w:rPr>
                <w:szCs w:val="24"/>
              </w:rPr>
              <w:t xml:space="preserve"> opterećenje</w:t>
            </w:r>
            <w:r w:rsidR="007B2454" w:rsidRPr="00E97DCE">
              <w:rPr>
                <w:szCs w:val="24"/>
              </w:rPr>
              <w:t>m</w:t>
            </w:r>
            <w:r w:rsidR="00EF3925" w:rsidRPr="00E97DCE">
              <w:rPr>
                <w:szCs w:val="24"/>
              </w:rPr>
              <w:t xml:space="preserve"> tako ostvarenih primitaka javnim davanjima</w:t>
            </w:r>
            <w:r w:rsidR="009503D5" w:rsidRPr="00E97DCE">
              <w:rPr>
                <w:bCs/>
                <w:szCs w:val="24"/>
              </w:rPr>
              <w:t xml:space="preserve">, </w:t>
            </w:r>
            <w:r w:rsidR="00744BE5" w:rsidRPr="00E97DCE">
              <w:rPr>
                <w:bCs/>
                <w:szCs w:val="24"/>
              </w:rPr>
              <w:t xml:space="preserve">omogućeno </w:t>
            </w:r>
            <w:r w:rsidR="009503D5" w:rsidRPr="00E97DCE">
              <w:rPr>
                <w:bCs/>
                <w:szCs w:val="24"/>
              </w:rPr>
              <w:t xml:space="preserve">je </w:t>
            </w:r>
            <w:r w:rsidR="006217B0" w:rsidRPr="00E97DCE">
              <w:rPr>
                <w:bCs/>
                <w:szCs w:val="24"/>
              </w:rPr>
              <w:t>učestalije</w:t>
            </w:r>
            <w:r w:rsidR="009503D5" w:rsidRPr="00E97DCE">
              <w:rPr>
                <w:bCs/>
                <w:szCs w:val="24"/>
              </w:rPr>
              <w:t xml:space="preserve"> nagrađivanj</w:t>
            </w:r>
            <w:r w:rsidR="00744BE5" w:rsidRPr="00E97DCE">
              <w:rPr>
                <w:bCs/>
                <w:szCs w:val="24"/>
              </w:rPr>
              <w:t>e</w:t>
            </w:r>
            <w:r w:rsidR="009503D5" w:rsidRPr="00E97DCE">
              <w:rPr>
                <w:bCs/>
                <w:szCs w:val="24"/>
              </w:rPr>
              <w:t xml:space="preserve"> radnika </w:t>
            </w:r>
            <w:r w:rsidR="006217B0" w:rsidRPr="00E97DCE">
              <w:rPr>
                <w:bCs/>
                <w:szCs w:val="24"/>
              </w:rPr>
              <w:t>i</w:t>
            </w:r>
            <w:r w:rsidR="009503D5" w:rsidRPr="00E97DCE">
              <w:rPr>
                <w:bCs/>
                <w:szCs w:val="24"/>
              </w:rPr>
              <w:t xml:space="preserve"> posljedično sprečavanj</w:t>
            </w:r>
            <w:r w:rsidR="00072C94" w:rsidRPr="00E97DCE">
              <w:rPr>
                <w:bCs/>
                <w:szCs w:val="24"/>
              </w:rPr>
              <w:t>e</w:t>
            </w:r>
            <w:r w:rsidR="009503D5" w:rsidRPr="00E97DCE">
              <w:rPr>
                <w:bCs/>
                <w:szCs w:val="24"/>
              </w:rPr>
              <w:t xml:space="preserve"> </w:t>
            </w:r>
            <w:r w:rsidR="006217B0" w:rsidRPr="00E97DCE">
              <w:rPr>
                <w:bCs/>
                <w:szCs w:val="24"/>
              </w:rPr>
              <w:t>radnika</w:t>
            </w:r>
            <w:r w:rsidR="009503D5" w:rsidRPr="00E97DCE">
              <w:rPr>
                <w:bCs/>
                <w:szCs w:val="24"/>
              </w:rPr>
              <w:t xml:space="preserve"> za odlaskom iz zemlje. </w:t>
            </w:r>
            <w:r w:rsidR="006217B0" w:rsidRPr="00E97DCE">
              <w:rPr>
                <w:bCs/>
                <w:szCs w:val="24"/>
              </w:rPr>
              <w:t xml:space="preserve">U prilog navedenom dovelo je </w:t>
            </w:r>
            <w:r w:rsidR="003C7A25" w:rsidRPr="00E97DCE">
              <w:rPr>
                <w:bCs/>
                <w:szCs w:val="24"/>
              </w:rPr>
              <w:t xml:space="preserve">i </w:t>
            </w:r>
            <w:r w:rsidR="000477BD" w:rsidRPr="00E97DCE">
              <w:rPr>
                <w:bCs/>
                <w:szCs w:val="24"/>
              </w:rPr>
              <w:t>propisivanje s</w:t>
            </w:r>
            <w:r w:rsidR="006217B0" w:rsidRPr="00E97DCE">
              <w:rPr>
                <w:bCs/>
                <w:szCs w:val="24"/>
              </w:rPr>
              <w:t>manjene kamatne stope</w:t>
            </w:r>
            <w:r w:rsidR="000477BD" w:rsidRPr="00E97DCE">
              <w:rPr>
                <w:bCs/>
                <w:szCs w:val="24"/>
              </w:rPr>
              <w:t xml:space="preserve"> koja se smatra </w:t>
            </w:r>
            <w:r w:rsidR="006217B0" w:rsidRPr="00E97DCE">
              <w:rPr>
                <w:bCs/>
                <w:szCs w:val="24"/>
              </w:rPr>
              <w:t xml:space="preserve"> povoljnij</w:t>
            </w:r>
            <w:r w:rsidR="000477BD" w:rsidRPr="00E97DCE">
              <w:rPr>
                <w:bCs/>
                <w:szCs w:val="24"/>
              </w:rPr>
              <w:t>om kamatom.</w:t>
            </w:r>
          </w:p>
          <w:p w14:paraId="626DBC25" w14:textId="77777777" w:rsidR="00D85E58" w:rsidRPr="00E97DCE" w:rsidRDefault="00D85E58" w:rsidP="00D85E58">
            <w:pPr>
              <w:jc w:val="both"/>
              <w:rPr>
                <w:bCs/>
                <w:szCs w:val="24"/>
              </w:rPr>
            </w:pPr>
          </w:p>
          <w:p w14:paraId="26D7CD84" w14:textId="33BE9ACF" w:rsidR="00D85E58" w:rsidRPr="00E97DCE" w:rsidRDefault="00D85E58" w:rsidP="00D85E58">
            <w:pPr>
              <w:jc w:val="both"/>
              <w:rPr>
                <w:bCs/>
                <w:szCs w:val="24"/>
              </w:rPr>
            </w:pPr>
            <w:r w:rsidRPr="00E97DCE">
              <w:rPr>
                <w:bCs/>
                <w:szCs w:val="24"/>
              </w:rPr>
              <w:t>U nastavku se daje komparativni prikaz mjesečnog obračuna plaće prije i nakon 1. siječnja 2019. na primjerima poreznih obveznika s prebivalištem u Gradu Zagrebu koji ostvaruju plaću u bruto iznosima od 30.000,00 kn i 35.000,00 kuna.</w:t>
            </w:r>
          </w:p>
          <w:p w14:paraId="1C013558" w14:textId="75684376" w:rsidR="00D85E58" w:rsidRPr="00E97DCE" w:rsidRDefault="00D85E58" w:rsidP="009503D5">
            <w:pPr>
              <w:jc w:val="both"/>
              <w:rPr>
                <w:bCs/>
                <w:szCs w:val="24"/>
              </w:rPr>
            </w:pPr>
          </w:p>
          <w:tbl>
            <w:tblPr>
              <w:tblpPr w:leftFromText="180" w:rightFromText="180" w:vertAnchor="text" w:horzAnchor="margin" w:tblpXSpec="right" w:tblpY="-140"/>
              <w:tblOverlap w:val="never"/>
              <w:tblW w:w="8790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12"/>
              <w:gridCol w:w="1520"/>
              <w:gridCol w:w="1129"/>
              <w:gridCol w:w="917"/>
              <w:gridCol w:w="1112"/>
            </w:tblGrid>
            <w:tr w:rsidR="00EE1C05" w:rsidRPr="00E97DCE" w14:paraId="23F0EA32" w14:textId="77777777" w:rsidTr="009733A4">
              <w:trPr>
                <w:trHeight w:val="255"/>
              </w:trPr>
              <w:tc>
                <w:tcPr>
                  <w:tcW w:w="4112" w:type="dxa"/>
                  <w:vMerge w:val="restart"/>
                  <w:shd w:val="clear" w:color="auto" w:fill="auto"/>
                  <w:noWrap/>
                  <w:vAlign w:val="bottom"/>
                </w:tcPr>
                <w:p w14:paraId="7F4B5779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Opis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center"/>
                </w:tcPr>
                <w:p w14:paraId="02B05F44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Iznos</w:t>
                  </w:r>
                </w:p>
              </w:tc>
              <w:tc>
                <w:tcPr>
                  <w:tcW w:w="1129" w:type="dxa"/>
                  <w:tcBorders>
                    <w:bottom w:val="single" w:sz="4" w:space="0" w:color="auto"/>
                  </w:tcBorders>
                  <w:vAlign w:val="center"/>
                </w:tcPr>
                <w:p w14:paraId="43435C3D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Iznos</w:t>
                  </w:r>
                </w:p>
              </w:tc>
              <w:tc>
                <w:tcPr>
                  <w:tcW w:w="917" w:type="dxa"/>
                </w:tcPr>
                <w:p w14:paraId="0A36744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Iznos</w:t>
                  </w:r>
                </w:p>
              </w:tc>
              <w:tc>
                <w:tcPr>
                  <w:tcW w:w="1112" w:type="dxa"/>
                  <w:tcBorders>
                    <w:bottom w:val="single" w:sz="4" w:space="0" w:color="auto"/>
                  </w:tcBorders>
                  <w:vAlign w:val="center"/>
                </w:tcPr>
                <w:p w14:paraId="661738F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Iznos</w:t>
                  </w:r>
                </w:p>
              </w:tc>
            </w:tr>
            <w:tr w:rsidR="00EE1C05" w:rsidRPr="00E97DCE" w14:paraId="348E035B" w14:textId="77777777" w:rsidTr="009733A4">
              <w:trPr>
                <w:trHeight w:val="255"/>
              </w:trPr>
              <w:tc>
                <w:tcPr>
                  <w:tcW w:w="4112" w:type="dxa"/>
                  <w:vMerge/>
                  <w:shd w:val="clear" w:color="auto" w:fill="auto"/>
                  <w:noWrap/>
                  <w:vAlign w:val="bottom"/>
                </w:tcPr>
                <w:p w14:paraId="6C5535CF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center"/>
                </w:tcPr>
                <w:p w14:paraId="2E831853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Mjesečno</w:t>
                  </w:r>
                </w:p>
                <w:p w14:paraId="7648EF1B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do 31.12.2018.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09DF89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Mjesečno</w:t>
                  </w:r>
                </w:p>
                <w:p w14:paraId="00D16703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od</w:t>
                  </w: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 xml:space="preserve"> </w:t>
                  </w: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01.01.2019.</w:t>
                  </w:r>
                </w:p>
              </w:tc>
              <w:tc>
                <w:tcPr>
                  <w:tcW w:w="917" w:type="dxa"/>
                </w:tcPr>
                <w:p w14:paraId="7C698234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Mjesečno</w:t>
                  </w:r>
                </w:p>
                <w:p w14:paraId="76B4F3DC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do 31.12.2018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6FC24C1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Mjesečno</w:t>
                  </w:r>
                </w:p>
                <w:p w14:paraId="621AADE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od</w:t>
                  </w: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 xml:space="preserve"> </w:t>
                  </w: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01.01.2019.</w:t>
                  </w:r>
                </w:p>
              </w:tc>
            </w:tr>
            <w:tr w:rsidR="00EE1C05" w:rsidRPr="00E97DCE" w14:paraId="5245F946" w14:textId="77777777" w:rsidTr="009733A4">
              <w:trPr>
                <w:trHeight w:val="99"/>
              </w:trPr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2399BE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3D3EE9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9A33642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auto"/>
                  </w:tcBorders>
                </w:tcPr>
                <w:p w14:paraId="55652BA3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5.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547E5C2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6.</w:t>
                  </w:r>
                </w:p>
              </w:tc>
            </w:tr>
            <w:tr w:rsidR="00EE1C05" w:rsidRPr="00E97DCE" w14:paraId="06B338F2" w14:textId="77777777" w:rsidTr="009733A4">
              <w:trPr>
                <w:trHeight w:val="255"/>
              </w:trPr>
              <w:tc>
                <w:tcPr>
                  <w:tcW w:w="4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78DC4D" w14:textId="77777777" w:rsidR="009733A4" w:rsidRPr="00E97DCE" w:rsidRDefault="009733A4" w:rsidP="00D85E58">
                  <w:pPr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 xml:space="preserve">Plaća 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C92C69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30.000,00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B9BEF0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30.000,00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FDEF4B3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35.000,00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75E4614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35.000,00</w:t>
                  </w:r>
                </w:p>
              </w:tc>
            </w:tr>
            <w:tr w:rsidR="00EE1C05" w:rsidRPr="00E97DCE" w14:paraId="7034FCC2" w14:textId="77777777" w:rsidTr="009733A4">
              <w:trPr>
                <w:trHeight w:val="255"/>
              </w:trPr>
              <w:tc>
                <w:tcPr>
                  <w:tcW w:w="4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9C60ED" w14:textId="77777777" w:rsidR="009733A4" w:rsidRPr="00E97DCE" w:rsidRDefault="009733A4" w:rsidP="00D85E58">
                  <w:pPr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Doprinosi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6E3800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6.000,00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56737D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6.000,00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D5CC6F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7.000,00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C108117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7.000,00</w:t>
                  </w:r>
                </w:p>
              </w:tc>
            </w:tr>
            <w:tr w:rsidR="00EE1C05" w:rsidRPr="00E97DCE" w14:paraId="46824EE9" w14:textId="77777777" w:rsidTr="009733A4">
              <w:trPr>
                <w:trHeight w:val="255"/>
              </w:trPr>
              <w:tc>
                <w:tcPr>
                  <w:tcW w:w="4112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D1A187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Dohodak</w:t>
                  </w:r>
                </w:p>
              </w:tc>
              <w:tc>
                <w:tcPr>
                  <w:tcW w:w="152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419699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24.000,00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93B24FA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24.000,00</w:t>
                  </w:r>
                </w:p>
              </w:tc>
              <w:tc>
                <w:tcPr>
                  <w:tcW w:w="917" w:type="dxa"/>
                  <w:tcBorders>
                    <w:top w:val="single" w:sz="4" w:space="0" w:color="auto"/>
                  </w:tcBorders>
                </w:tcPr>
                <w:p w14:paraId="7D0669E7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28.000,00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19B003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28.000,00</w:t>
                  </w:r>
                </w:p>
              </w:tc>
            </w:tr>
            <w:tr w:rsidR="00EE1C05" w:rsidRPr="00E97DCE" w14:paraId="4C410281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101A292C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Osobni odbitak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bottom"/>
                </w:tcPr>
                <w:p w14:paraId="360207C4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3.800,00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6F0B642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3.800,00</w:t>
                  </w:r>
                </w:p>
              </w:tc>
              <w:tc>
                <w:tcPr>
                  <w:tcW w:w="917" w:type="dxa"/>
                </w:tcPr>
                <w:p w14:paraId="5B8CC376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3.800,00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337CA1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3.800,00</w:t>
                  </w:r>
                </w:p>
              </w:tc>
            </w:tr>
            <w:tr w:rsidR="00EE1C05" w:rsidRPr="00E97DCE" w14:paraId="55C55D60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7509FCC8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Porezna osnovica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bottom"/>
                </w:tcPr>
                <w:p w14:paraId="0D711D34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20.200,00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77A0053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20.200,00</w:t>
                  </w:r>
                </w:p>
              </w:tc>
              <w:tc>
                <w:tcPr>
                  <w:tcW w:w="917" w:type="dxa"/>
                </w:tcPr>
                <w:p w14:paraId="2E6B3EFA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24.200,00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35BD9F4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24.200,00</w:t>
                  </w:r>
                </w:p>
              </w:tc>
            </w:tr>
            <w:tr w:rsidR="00EE1C05" w:rsidRPr="00E97DCE" w14:paraId="42D5797C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0F9C0FC2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 xml:space="preserve">Porezna osnovica za primjenu stope 24% 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</w:tcPr>
                <w:p w14:paraId="0C774B6C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17.500,00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795356A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20.200,00</w:t>
                  </w:r>
                </w:p>
              </w:tc>
              <w:tc>
                <w:tcPr>
                  <w:tcW w:w="917" w:type="dxa"/>
                </w:tcPr>
                <w:p w14:paraId="122F12C8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17.500,00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2F02C0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24.200,00</w:t>
                  </w:r>
                </w:p>
              </w:tc>
            </w:tr>
            <w:tr w:rsidR="00EE1C05" w:rsidRPr="00E97DCE" w14:paraId="0AA7D4F5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12A25055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 xml:space="preserve">Porezna osnovica za primjenu stope 36% 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center"/>
                </w:tcPr>
                <w:p w14:paraId="2CADC21D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2.700,00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0FC9CB7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  <w:p w14:paraId="1614EB94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17" w:type="dxa"/>
                  <w:vAlign w:val="center"/>
                </w:tcPr>
                <w:p w14:paraId="3B9E511A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6.700,00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39A1F19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</w:tc>
            </w:tr>
            <w:tr w:rsidR="00EE1C05" w:rsidRPr="00E97DCE" w14:paraId="7277B8A5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63A16A6F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Porez po stopi 24%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bottom"/>
                </w:tcPr>
                <w:p w14:paraId="07EC910F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4.200.00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9859031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4.848,00</w:t>
                  </w:r>
                </w:p>
              </w:tc>
              <w:tc>
                <w:tcPr>
                  <w:tcW w:w="917" w:type="dxa"/>
                </w:tcPr>
                <w:p w14:paraId="33F973EE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4.200,00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03E139EC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5.808,00</w:t>
                  </w:r>
                </w:p>
              </w:tc>
            </w:tr>
            <w:tr w:rsidR="00EE1C05" w:rsidRPr="00E97DCE" w14:paraId="6577CFCC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75F38EB2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Porez po stopi 36%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bottom"/>
                </w:tcPr>
                <w:p w14:paraId="752DDEC1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972,00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BC7890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917" w:type="dxa"/>
                </w:tcPr>
                <w:p w14:paraId="30E08F36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2.412,00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1E2D0FA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</w:p>
              </w:tc>
            </w:tr>
            <w:tr w:rsidR="00EE1C05" w:rsidRPr="00E97DCE" w14:paraId="46595563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406BC22A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Ukupno porez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bottom"/>
                </w:tcPr>
                <w:p w14:paraId="20D96DA6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5.172,00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0504B03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4.848,00</w:t>
                  </w:r>
                </w:p>
              </w:tc>
              <w:tc>
                <w:tcPr>
                  <w:tcW w:w="917" w:type="dxa"/>
                </w:tcPr>
                <w:p w14:paraId="335AA22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6.612,00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70B44C0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5.808,00</w:t>
                  </w:r>
                </w:p>
              </w:tc>
            </w:tr>
            <w:tr w:rsidR="00EE1C05" w:rsidRPr="00E97DCE" w14:paraId="74604C42" w14:textId="77777777" w:rsidTr="009733A4">
              <w:trPr>
                <w:trHeight w:val="255"/>
              </w:trPr>
              <w:tc>
                <w:tcPr>
                  <w:tcW w:w="4112" w:type="dxa"/>
                  <w:shd w:val="clear" w:color="auto" w:fill="auto"/>
                  <w:noWrap/>
                  <w:vAlign w:val="bottom"/>
                </w:tcPr>
                <w:p w14:paraId="6C2D966C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Prirez (18%)</w:t>
                  </w:r>
                </w:p>
              </w:tc>
              <w:tc>
                <w:tcPr>
                  <w:tcW w:w="1520" w:type="dxa"/>
                  <w:shd w:val="clear" w:color="auto" w:fill="auto"/>
                  <w:noWrap/>
                  <w:vAlign w:val="bottom"/>
                </w:tcPr>
                <w:p w14:paraId="055A5EB5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930,96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6EFEB71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872,64</w:t>
                  </w:r>
                </w:p>
              </w:tc>
              <w:tc>
                <w:tcPr>
                  <w:tcW w:w="917" w:type="dxa"/>
                </w:tcPr>
                <w:p w14:paraId="6D2835E6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1.190,16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AA8AF77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1.045,44</w:t>
                  </w:r>
                </w:p>
              </w:tc>
            </w:tr>
            <w:tr w:rsidR="00EE1C05" w:rsidRPr="00E97DCE" w14:paraId="5CB50594" w14:textId="77777777" w:rsidTr="009733A4">
              <w:trPr>
                <w:trHeight w:val="255"/>
              </w:trPr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5A6CA0" w14:textId="77777777" w:rsidR="009733A4" w:rsidRPr="00E97DCE" w:rsidRDefault="009733A4" w:rsidP="00D85E58">
                  <w:pPr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Porez i prirez ukupno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BEBB5C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bCs/>
                      <w:sz w:val="14"/>
                      <w:szCs w:val="14"/>
                    </w:rPr>
                    <w:t>6.102,96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2268ED0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5.720,64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auto"/>
                  </w:tcBorders>
                </w:tcPr>
                <w:p w14:paraId="5C41ABF6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7.802,16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E6ED382" w14:textId="77777777" w:rsidR="009733A4" w:rsidRPr="00E97DCE" w:rsidRDefault="009733A4" w:rsidP="00D85E58">
                  <w:pPr>
                    <w:jc w:val="center"/>
                    <w:rPr>
                      <w:rFonts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cs="Arial"/>
                      <w:b/>
                      <w:sz w:val="14"/>
                      <w:szCs w:val="14"/>
                    </w:rPr>
                    <w:t>6.853,44</w:t>
                  </w:r>
                </w:p>
              </w:tc>
            </w:tr>
            <w:tr w:rsidR="00EE1C05" w:rsidRPr="00E97DCE" w14:paraId="1F0A532A" w14:textId="77777777" w:rsidTr="009733A4">
              <w:trPr>
                <w:trHeight w:val="255"/>
              </w:trPr>
              <w:tc>
                <w:tcPr>
                  <w:tcW w:w="4112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645979" w14:textId="746D181D" w:rsidR="009733A4" w:rsidRPr="00E97DCE" w:rsidRDefault="009733A4" w:rsidP="009733A4">
                  <w:pPr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ascii="Arial" w:hAnsi="Arial" w:cs="Arial"/>
                      <w:b/>
                      <w:sz w:val="14"/>
                      <w:szCs w:val="14"/>
                    </w:rPr>
                    <w:t>Iznos plaće za isplatu</w:t>
                  </w:r>
                </w:p>
              </w:tc>
              <w:tc>
                <w:tcPr>
                  <w:tcW w:w="1520" w:type="dxa"/>
                  <w:tcBorders>
                    <w:bottom w:val="single" w:sz="4" w:space="0" w:color="auto"/>
                  </w:tcBorders>
                  <w:shd w:val="clear" w:color="auto" w:fill="auto"/>
                  <w:noWrap/>
                </w:tcPr>
                <w:p w14:paraId="39FE8211" w14:textId="4C3043AD" w:rsidR="009733A4" w:rsidRPr="00E97DCE" w:rsidRDefault="009733A4" w:rsidP="009733A4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</w:rPr>
                  </w:pPr>
                  <w:r w:rsidRPr="00E97DCE">
                    <w:rPr>
                      <w:rFonts w:ascii="Arial" w:hAnsi="Arial" w:cs="Arial"/>
                      <w:sz w:val="14"/>
                      <w:szCs w:val="14"/>
                    </w:rPr>
                    <w:t>17.897,04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3D09CDD" w14:textId="72A11BBC" w:rsidR="009733A4" w:rsidRPr="00E97DCE" w:rsidRDefault="009733A4" w:rsidP="009733A4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ascii="Arial" w:hAnsi="Arial" w:cs="Arial"/>
                      <w:sz w:val="14"/>
                      <w:szCs w:val="14"/>
                    </w:rPr>
                    <w:t>18.279,36</w:t>
                  </w:r>
                </w:p>
              </w:tc>
              <w:tc>
                <w:tcPr>
                  <w:tcW w:w="917" w:type="dxa"/>
                  <w:tcBorders>
                    <w:bottom w:val="single" w:sz="4" w:space="0" w:color="auto"/>
                  </w:tcBorders>
                </w:tcPr>
                <w:p w14:paraId="251ED08F" w14:textId="29B1FDF9" w:rsidR="009733A4" w:rsidRPr="00E97DCE" w:rsidRDefault="009733A4" w:rsidP="009733A4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ascii="Arial" w:hAnsi="Arial" w:cs="Arial"/>
                      <w:sz w:val="14"/>
                      <w:szCs w:val="14"/>
                    </w:rPr>
                    <w:t>20.197,84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2A33C49C" w14:textId="2C690AE8" w:rsidR="009733A4" w:rsidRPr="00E97DCE" w:rsidRDefault="009733A4" w:rsidP="009733A4">
                  <w:pPr>
                    <w:jc w:val="center"/>
                    <w:rPr>
                      <w:rFonts w:ascii="Arial" w:hAnsi="Arial" w:cs="Arial"/>
                      <w:b/>
                      <w:sz w:val="14"/>
                      <w:szCs w:val="14"/>
                    </w:rPr>
                  </w:pPr>
                  <w:r w:rsidRPr="00E97DCE">
                    <w:rPr>
                      <w:rFonts w:ascii="Arial" w:hAnsi="Arial" w:cs="Arial"/>
                      <w:sz w:val="14"/>
                      <w:szCs w:val="14"/>
                    </w:rPr>
                    <w:t>21.146,56</w:t>
                  </w:r>
                </w:p>
              </w:tc>
            </w:tr>
          </w:tbl>
          <w:p w14:paraId="12DBA7F1" w14:textId="2E8B2C5A" w:rsidR="00D85E58" w:rsidRPr="00E97DCE" w:rsidRDefault="00D85E58" w:rsidP="00D85E58">
            <w:pPr>
              <w:jc w:val="both"/>
              <w:rPr>
                <w:bCs/>
                <w:szCs w:val="24"/>
              </w:rPr>
            </w:pPr>
            <w:r w:rsidRPr="00E97DCE">
              <w:rPr>
                <w:bCs/>
                <w:szCs w:val="24"/>
              </w:rPr>
              <w:t xml:space="preserve">Dakle, poreznom obvezniku sa mjesečnom bruto plaćom od </w:t>
            </w:r>
            <w:r w:rsidR="009733A4" w:rsidRPr="00E97DCE">
              <w:rPr>
                <w:bCs/>
                <w:szCs w:val="24"/>
              </w:rPr>
              <w:t>30.000,00</w:t>
            </w:r>
            <w:r w:rsidRPr="00E97DCE">
              <w:rPr>
                <w:bCs/>
                <w:szCs w:val="24"/>
              </w:rPr>
              <w:t xml:space="preserve"> kn koji nema uzdržavanih članova niti invalidnost neto-plaća </w:t>
            </w:r>
            <w:r w:rsidR="00F064CD" w:rsidRPr="00E97DCE">
              <w:rPr>
                <w:bCs/>
                <w:szCs w:val="24"/>
              </w:rPr>
              <w:t>j</w:t>
            </w:r>
            <w:r w:rsidRPr="00E97DCE">
              <w:rPr>
                <w:bCs/>
                <w:szCs w:val="24"/>
              </w:rPr>
              <w:t>e poveća</w:t>
            </w:r>
            <w:r w:rsidR="00F064CD" w:rsidRPr="00E97DCE">
              <w:rPr>
                <w:bCs/>
                <w:szCs w:val="24"/>
              </w:rPr>
              <w:t>na</w:t>
            </w:r>
            <w:r w:rsidRPr="00E97DCE">
              <w:rPr>
                <w:bCs/>
                <w:szCs w:val="24"/>
              </w:rPr>
              <w:t xml:space="preserve"> za 382,32 kn obzirom da</w:t>
            </w:r>
            <w:r w:rsidR="009733A4" w:rsidRPr="00E97DCE">
              <w:rPr>
                <w:bCs/>
                <w:szCs w:val="24"/>
              </w:rPr>
              <w:t xml:space="preserve"> je</w:t>
            </w:r>
            <w:r w:rsidRPr="00E97DCE">
              <w:rPr>
                <w:bCs/>
                <w:szCs w:val="24"/>
              </w:rPr>
              <w:t xml:space="preserve"> istom dio porezne osnovice koji podliježe plaćanju poreza po stopi od 36% </w:t>
            </w:r>
            <w:r w:rsidR="00F064CD" w:rsidRPr="00E97DCE">
              <w:rPr>
                <w:bCs/>
                <w:szCs w:val="24"/>
              </w:rPr>
              <w:t xml:space="preserve">do 1. siječnja 2019. </w:t>
            </w:r>
            <w:r w:rsidRPr="00E97DCE">
              <w:rPr>
                <w:bCs/>
                <w:szCs w:val="24"/>
              </w:rPr>
              <w:lastRenderedPageBreak/>
              <w:t>iznosi</w:t>
            </w:r>
            <w:r w:rsidR="00F064CD" w:rsidRPr="00E97DCE">
              <w:rPr>
                <w:bCs/>
                <w:szCs w:val="24"/>
              </w:rPr>
              <w:t>o</w:t>
            </w:r>
            <w:r w:rsidRPr="00E97DCE">
              <w:rPr>
                <w:bCs/>
                <w:szCs w:val="24"/>
              </w:rPr>
              <w:t xml:space="preserve"> 2.700,00 kn, dok mu nakon 1. siječnja 2019. ukupna porezna osnovica podlije</w:t>
            </w:r>
            <w:r w:rsidR="00F064CD" w:rsidRPr="00E97DCE">
              <w:rPr>
                <w:bCs/>
                <w:szCs w:val="24"/>
              </w:rPr>
              <w:t>že</w:t>
            </w:r>
            <w:r w:rsidRPr="00E97DCE">
              <w:rPr>
                <w:bCs/>
                <w:szCs w:val="24"/>
              </w:rPr>
              <w:t xml:space="preserve"> plaćanju poreza po stopi od 24%.</w:t>
            </w:r>
          </w:p>
          <w:p w14:paraId="0FC676B6" w14:textId="6EE3D4A2" w:rsidR="00D85E58" w:rsidRPr="00E97DCE" w:rsidRDefault="00D85E58" w:rsidP="00D85E58">
            <w:pPr>
              <w:jc w:val="both"/>
              <w:rPr>
                <w:bCs/>
                <w:szCs w:val="24"/>
              </w:rPr>
            </w:pPr>
            <w:r w:rsidRPr="00E97DCE">
              <w:rPr>
                <w:bCs/>
                <w:szCs w:val="24"/>
              </w:rPr>
              <w:t xml:space="preserve">Poreznom obvezniku koji ostvaruje mjesečnu bruto plaću od 35.000,00 kn neto-plaća </w:t>
            </w:r>
            <w:r w:rsidR="00F064CD" w:rsidRPr="00E97DCE">
              <w:rPr>
                <w:bCs/>
                <w:szCs w:val="24"/>
              </w:rPr>
              <w:t xml:space="preserve">je </w:t>
            </w:r>
            <w:r w:rsidRPr="00E97DCE">
              <w:rPr>
                <w:bCs/>
                <w:szCs w:val="24"/>
              </w:rPr>
              <w:t>poveća</w:t>
            </w:r>
            <w:r w:rsidR="00F064CD" w:rsidRPr="00E97DCE">
              <w:rPr>
                <w:bCs/>
                <w:szCs w:val="24"/>
              </w:rPr>
              <w:t>na</w:t>
            </w:r>
            <w:r w:rsidRPr="00E97DCE">
              <w:rPr>
                <w:bCs/>
                <w:szCs w:val="24"/>
              </w:rPr>
              <w:t xml:space="preserve"> za 948,72 kn obzirom da mu </w:t>
            </w:r>
            <w:r w:rsidR="00F064CD" w:rsidRPr="00E97DCE">
              <w:rPr>
                <w:bCs/>
                <w:szCs w:val="24"/>
              </w:rPr>
              <w:t xml:space="preserve">je </w:t>
            </w:r>
            <w:r w:rsidRPr="00E97DCE">
              <w:rPr>
                <w:bCs/>
                <w:szCs w:val="24"/>
              </w:rPr>
              <w:t xml:space="preserve">dio porezne osnovice koji podliježe plaćanju poreza po stopi od 36% </w:t>
            </w:r>
            <w:r w:rsidR="00F064CD" w:rsidRPr="00E97DCE">
              <w:rPr>
                <w:bCs/>
                <w:szCs w:val="24"/>
              </w:rPr>
              <w:t xml:space="preserve">do 1. siječnja 2019.  </w:t>
            </w:r>
            <w:r w:rsidRPr="00E97DCE">
              <w:rPr>
                <w:bCs/>
                <w:szCs w:val="24"/>
              </w:rPr>
              <w:t>iznosi</w:t>
            </w:r>
            <w:r w:rsidR="00F064CD" w:rsidRPr="00E97DCE">
              <w:rPr>
                <w:bCs/>
                <w:szCs w:val="24"/>
              </w:rPr>
              <w:t>o</w:t>
            </w:r>
            <w:r w:rsidRPr="00E97DCE">
              <w:rPr>
                <w:bCs/>
                <w:szCs w:val="24"/>
              </w:rPr>
              <w:t xml:space="preserve"> 6.700,00 kn, dok mu nakon 1. siječnja 2019. ukupna porezna osnovica podlijegati plaćanju poreza po stopi od 24%.</w:t>
            </w:r>
          </w:p>
          <w:p w14:paraId="3561304E" w14:textId="77777777" w:rsidR="00955E89" w:rsidRPr="00E97DCE" w:rsidRDefault="00955E89" w:rsidP="00D85E58">
            <w:pPr>
              <w:jc w:val="both"/>
              <w:rPr>
                <w:bCs/>
                <w:szCs w:val="24"/>
              </w:rPr>
            </w:pPr>
          </w:p>
          <w:p w14:paraId="771A1072" w14:textId="6C86F813" w:rsidR="0042294D" w:rsidRPr="00E97DCE" w:rsidRDefault="0042294D" w:rsidP="00D85E58">
            <w:pPr>
              <w:jc w:val="both"/>
              <w:rPr>
                <w:bCs/>
                <w:szCs w:val="24"/>
              </w:rPr>
            </w:pPr>
            <w:r w:rsidRPr="00E97DCE">
              <w:rPr>
                <w:bCs/>
                <w:szCs w:val="24"/>
              </w:rPr>
              <w:t>Dakle, razvidno je kako s povećanjem bruto plaće raste i raspoloživi dohodak poreznog obveznika</w:t>
            </w:r>
            <w:r w:rsidR="00955E89" w:rsidRPr="00E97DCE">
              <w:rPr>
                <w:bCs/>
                <w:szCs w:val="24"/>
              </w:rPr>
              <w:t>.</w:t>
            </w:r>
          </w:p>
          <w:p w14:paraId="350EB5C6" w14:textId="4CED94D8" w:rsidR="00D85E58" w:rsidRPr="00E97DCE" w:rsidRDefault="00D85E58" w:rsidP="009503D5">
            <w:pPr>
              <w:jc w:val="both"/>
              <w:rPr>
                <w:bCs/>
                <w:szCs w:val="24"/>
              </w:rPr>
            </w:pPr>
          </w:p>
          <w:p w14:paraId="51740479" w14:textId="0A49861F" w:rsidR="00DC5E1A" w:rsidRPr="00E97DCE" w:rsidRDefault="00DC5E1A" w:rsidP="009503D5">
            <w:pPr>
              <w:jc w:val="both"/>
              <w:rPr>
                <w:bCs/>
                <w:szCs w:val="24"/>
              </w:rPr>
            </w:pPr>
            <w:bookmarkStart w:id="0" w:name="_Hlk51075675"/>
            <w:r w:rsidRPr="00E97DCE">
              <w:rPr>
                <w:bCs/>
                <w:szCs w:val="24"/>
              </w:rPr>
              <w:t xml:space="preserve">Nadalje, do </w:t>
            </w:r>
            <w:r w:rsidR="00DD6830" w:rsidRPr="00E97DCE">
              <w:rPr>
                <w:bCs/>
                <w:szCs w:val="24"/>
              </w:rPr>
              <w:t>stupanja na snagu Zakona</w:t>
            </w:r>
            <w:r w:rsidR="003A6082" w:rsidRPr="00E97DCE">
              <w:rPr>
                <w:bCs/>
                <w:szCs w:val="24"/>
              </w:rPr>
              <w:t>,</w:t>
            </w:r>
            <w:r w:rsidR="00DD6830" w:rsidRPr="00E97DCE">
              <w:rPr>
                <w:bCs/>
                <w:szCs w:val="24"/>
              </w:rPr>
              <w:t xml:space="preserve"> dohodak od opcijske kupnje vlastitih dionica bio je tretiran ovisno o statusu fizičkih osoba s isplatiteljem. Tako je primjerice na ostvare</w:t>
            </w:r>
            <w:r w:rsidR="003A6082" w:rsidRPr="00E97DCE">
              <w:rPr>
                <w:bCs/>
                <w:szCs w:val="24"/>
              </w:rPr>
              <w:t>ni</w:t>
            </w:r>
            <w:r w:rsidR="00DD6830" w:rsidRPr="00E97DCE">
              <w:rPr>
                <w:bCs/>
                <w:szCs w:val="24"/>
              </w:rPr>
              <w:t xml:space="preserve"> </w:t>
            </w:r>
            <w:r w:rsidR="003A6082" w:rsidRPr="00E97DCE">
              <w:rPr>
                <w:bCs/>
                <w:szCs w:val="24"/>
              </w:rPr>
              <w:t xml:space="preserve">primitak </w:t>
            </w:r>
            <w:r w:rsidR="00DD6830" w:rsidRPr="00E97DCE">
              <w:rPr>
                <w:bCs/>
                <w:szCs w:val="24"/>
              </w:rPr>
              <w:t xml:space="preserve">od kapitala po osnovi dodjele ili opcijske kupnje vlastitih dionica kojeg su ostvarili radnici društva u tijeku poreznog razdoblja u </w:t>
            </w:r>
            <w:r w:rsidR="003A6082" w:rsidRPr="00E97DCE">
              <w:rPr>
                <w:bCs/>
                <w:szCs w:val="24"/>
              </w:rPr>
              <w:t xml:space="preserve">neto - </w:t>
            </w:r>
            <w:r w:rsidR="00DD6830" w:rsidRPr="00E97DCE">
              <w:rPr>
                <w:bCs/>
                <w:szCs w:val="24"/>
              </w:rPr>
              <w:t>iznosu 100,00 kn</w:t>
            </w:r>
            <w:r w:rsidR="003A6082" w:rsidRPr="00E97DCE">
              <w:rPr>
                <w:bCs/>
                <w:szCs w:val="24"/>
              </w:rPr>
              <w:t>,</w:t>
            </w:r>
            <w:r w:rsidR="00DD6830" w:rsidRPr="00E97DCE">
              <w:rPr>
                <w:bCs/>
                <w:szCs w:val="24"/>
              </w:rPr>
              <w:t xml:space="preserve"> </w:t>
            </w:r>
            <w:r w:rsidR="003A6082" w:rsidRPr="00E97DCE">
              <w:rPr>
                <w:bCs/>
                <w:szCs w:val="24"/>
              </w:rPr>
              <w:t xml:space="preserve">ukupan trošak isplatitelja </w:t>
            </w:r>
            <w:r w:rsidR="00DD6830" w:rsidRPr="00E97DCE">
              <w:rPr>
                <w:bCs/>
                <w:szCs w:val="24"/>
              </w:rPr>
              <w:t xml:space="preserve"> iznosi</w:t>
            </w:r>
            <w:r w:rsidR="003A6082" w:rsidRPr="00E97DCE">
              <w:rPr>
                <w:bCs/>
                <w:szCs w:val="24"/>
              </w:rPr>
              <w:t>o</w:t>
            </w:r>
            <w:r w:rsidR="00DD6830" w:rsidRPr="00E97DCE">
              <w:rPr>
                <w:bCs/>
                <w:szCs w:val="24"/>
              </w:rPr>
              <w:t xml:space="preserve"> 204,39</w:t>
            </w:r>
            <w:r w:rsidR="003A6082" w:rsidRPr="00E97DCE">
              <w:rPr>
                <w:bCs/>
                <w:szCs w:val="24"/>
              </w:rPr>
              <w:t xml:space="preserve"> kn dok je nakon propisivanja odredbi da se dohotkom od kapitala smatra i </w:t>
            </w:r>
            <w:r w:rsidR="00DD6830" w:rsidRPr="00E97DCE">
              <w:rPr>
                <w:bCs/>
                <w:szCs w:val="24"/>
              </w:rPr>
              <w:t xml:space="preserve"> </w:t>
            </w:r>
            <w:r w:rsidR="003A6082" w:rsidRPr="00E97DCE">
              <w:rPr>
                <w:bCs/>
                <w:szCs w:val="24"/>
              </w:rPr>
              <w:t xml:space="preserve">dohodak od kapitala po osnovi dodjele ili opcijske kupnje dionica koje isplatitelji plaće daju radnicima, ukupan trošak isplatitelja na neto </w:t>
            </w:r>
            <w:r w:rsidR="00DF6084" w:rsidRPr="00E97DCE">
              <w:rPr>
                <w:bCs/>
                <w:szCs w:val="24"/>
              </w:rPr>
              <w:t>-</w:t>
            </w:r>
            <w:r w:rsidR="003A6082" w:rsidRPr="00E97DCE">
              <w:rPr>
                <w:bCs/>
                <w:szCs w:val="24"/>
              </w:rPr>
              <w:t xml:space="preserve"> primitak radnika </w:t>
            </w:r>
            <w:r w:rsidR="00DF6084" w:rsidRPr="00E97DCE">
              <w:rPr>
                <w:bCs/>
                <w:szCs w:val="24"/>
              </w:rPr>
              <w:t>od</w:t>
            </w:r>
            <w:r w:rsidR="003A6082" w:rsidRPr="00E97DCE">
              <w:rPr>
                <w:bCs/>
                <w:szCs w:val="24"/>
              </w:rPr>
              <w:t xml:space="preserve"> 100,00 kn po toj osnovi</w:t>
            </w:r>
            <w:r w:rsidR="00DF6084" w:rsidRPr="00E97DCE">
              <w:rPr>
                <w:bCs/>
                <w:szCs w:val="24"/>
              </w:rPr>
              <w:t xml:space="preserve"> znatno</w:t>
            </w:r>
            <w:r w:rsidR="003A6082" w:rsidRPr="00E97DCE">
              <w:rPr>
                <w:bCs/>
                <w:szCs w:val="24"/>
              </w:rPr>
              <w:t xml:space="preserve"> smanjen te iznosi 173,85 kn (ukupan trošak u konkretnom slučaju smanjen za</w:t>
            </w:r>
            <w:r w:rsidR="009E3B66" w:rsidRPr="00E97DCE">
              <w:rPr>
                <w:bCs/>
                <w:szCs w:val="24"/>
              </w:rPr>
              <w:t xml:space="preserve"> </w:t>
            </w:r>
            <w:r w:rsidR="009F1E53" w:rsidRPr="00E97DCE">
              <w:rPr>
                <w:bCs/>
                <w:szCs w:val="24"/>
              </w:rPr>
              <w:t>oko</w:t>
            </w:r>
            <w:r w:rsidR="003A6082" w:rsidRPr="00E97DCE">
              <w:rPr>
                <w:bCs/>
                <w:szCs w:val="24"/>
              </w:rPr>
              <w:t xml:space="preserve"> 15%)</w:t>
            </w:r>
            <w:r w:rsidR="00970E05" w:rsidRPr="00E97DCE">
              <w:rPr>
                <w:bCs/>
                <w:szCs w:val="24"/>
              </w:rPr>
              <w:t>.</w:t>
            </w:r>
          </w:p>
          <w:bookmarkEnd w:id="0"/>
          <w:p w14:paraId="29180FFC" w14:textId="77777777" w:rsidR="00DC5E1A" w:rsidRPr="00E97DCE" w:rsidRDefault="00DC5E1A" w:rsidP="009503D5">
            <w:pPr>
              <w:jc w:val="both"/>
              <w:rPr>
                <w:bCs/>
                <w:szCs w:val="24"/>
              </w:rPr>
            </w:pPr>
          </w:p>
          <w:p w14:paraId="42D2D90A" w14:textId="6FC0130F" w:rsidR="000477BD" w:rsidRPr="00E97DCE" w:rsidRDefault="000477BD" w:rsidP="000477BD">
            <w:pPr>
              <w:jc w:val="both"/>
              <w:rPr>
                <w:szCs w:val="24"/>
              </w:rPr>
            </w:pPr>
            <w:r w:rsidRPr="00E97DCE">
              <w:rPr>
                <w:bCs/>
                <w:szCs w:val="24"/>
              </w:rPr>
              <w:t>Izmjenama koje se odnose na proširenje primitaka</w:t>
            </w:r>
            <w:r w:rsidR="00E21F52" w:rsidRPr="00E97DCE">
              <w:rPr>
                <w:bCs/>
                <w:szCs w:val="24"/>
              </w:rPr>
              <w:t xml:space="preserve"> koji se ne smatraju dohotkom</w:t>
            </w:r>
            <w:r w:rsidRPr="00E97DCE">
              <w:rPr>
                <w:szCs w:val="24"/>
              </w:rPr>
              <w:t xml:space="preserve"> posti</w:t>
            </w:r>
            <w:r w:rsidR="0065625E" w:rsidRPr="00E97DCE">
              <w:rPr>
                <w:szCs w:val="24"/>
              </w:rPr>
              <w:t>gnuto</w:t>
            </w:r>
            <w:r w:rsidRPr="00E97DCE">
              <w:rPr>
                <w:szCs w:val="24"/>
              </w:rPr>
              <w:t xml:space="preserve"> </w:t>
            </w:r>
            <w:r w:rsidR="0065625E" w:rsidRPr="00E97DCE">
              <w:rPr>
                <w:szCs w:val="24"/>
              </w:rPr>
              <w:t>j</w:t>
            </w:r>
            <w:r w:rsidRPr="00E97DCE">
              <w:rPr>
                <w:szCs w:val="24"/>
              </w:rPr>
              <w:t>e dodatn</w:t>
            </w:r>
            <w:r w:rsidR="00195D1B" w:rsidRPr="00E97DCE">
              <w:rPr>
                <w:szCs w:val="24"/>
              </w:rPr>
              <w:t xml:space="preserve">o </w:t>
            </w:r>
            <w:r w:rsidRPr="00E97DCE">
              <w:rPr>
                <w:noProof/>
                <w:szCs w:val="24"/>
              </w:rPr>
              <w:t>rasterećenje obveznika poreza na dohodak</w:t>
            </w:r>
            <w:r w:rsidR="00195D1B" w:rsidRPr="00E97DCE">
              <w:rPr>
                <w:noProof/>
                <w:szCs w:val="24"/>
              </w:rPr>
              <w:t>,</w:t>
            </w:r>
            <w:r w:rsidR="00195D1B" w:rsidRPr="00E97DCE">
              <w:rPr>
                <w:szCs w:val="24"/>
              </w:rPr>
              <w:t xml:space="preserve"> socijalna pravednost te</w:t>
            </w:r>
            <w:r w:rsidRPr="00E97DCE">
              <w:rPr>
                <w:noProof/>
                <w:szCs w:val="24"/>
              </w:rPr>
              <w:t xml:space="preserve"> </w:t>
            </w:r>
            <w:r w:rsidR="00195D1B" w:rsidRPr="00E97DCE">
              <w:rPr>
                <w:noProof/>
                <w:szCs w:val="24"/>
              </w:rPr>
              <w:t xml:space="preserve">je </w:t>
            </w:r>
            <w:r w:rsidRPr="00E97DCE">
              <w:rPr>
                <w:szCs w:val="24"/>
              </w:rPr>
              <w:t>stvoreno poticajno okruženje za poduzetništvo i zapošljavanje.</w:t>
            </w:r>
          </w:p>
          <w:p w14:paraId="5122D216" w14:textId="4D3B7D42" w:rsidR="00C07B93" w:rsidRPr="00E97DCE" w:rsidRDefault="000477BD" w:rsidP="00C07B93">
            <w:pPr>
              <w:jc w:val="both"/>
              <w:rPr>
                <w:szCs w:val="24"/>
              </w:rPr>
            </w:pPr>
            <w:r w:rsidRPr="00E97DCE">
              <w:rPr>
                <w:szCs w:val="24"/>
              </w:rPr>
              <w:t xml:space="preserve"> </w:t>
            </w:r>
          </w:p>
          <w:p w14:paraId="76A1C553" w14:textId="6601C202" w:rsidR="0046760F" w:rsidRPr="00E97DCE" w:rsidRDefault="000B66E0" w:rsidP="0046760F">
            <w:pPr>
              <w:jc w:val="both"/>
            </w:pPr>
            <w:r w:rsidRPr="00E97DCE">
              <w:t>Smanjenje stope poreza s 24% na 12% pri</w:t>
            </w:r>
            <w:r w:rsidR="00183ED0" w:rsidRPr="00E97DCE">
              <w:t xml:space="preserve"> oporezivanj</w:t>
            </w:r>
            <w:r w:rsidRPr="00E97DCE">
              <w:t>u</w:t>
            </w:r>
            <w:r w:rsidR="00183ED0" w:rsidRPr="00E97DCE">
              <w:t xml:space="preserve"> primitaka koje fizičke osobe ostvare na privremenim odnosno povremenim sezonskim poslovima</w:t>
            </w:r>
            <w:r w:rsidR="00894E62" w:rsidRPr="00E97DCE">
              <w:t xml:space="preserve"> </w:t>
            </w:r>
            <w:r w:rsidR="00C07B93" w:rsidRPr="00E97DCE">
              <w:t xml:space="preserve">dovele </w:t>
            </w:r>
            <w:r w:rsidR="00894E62" w:rsidRPr="00E97DCE">
              <w:t>su osim do</w:t>
            </w:r>
            <w:r w:rsidR="00183ED0" w:rsidRPr="00E97DCE">
              <w:t xml:space="preserve"> porezno</w:t>
            </w:r>
            <w:r w:rsidR="00894E62" w:rsidRPr="00E97DCE">
              <w:t>g</w:t>
            </w:r>
            <w:r w:rsidR="00183ED0" w:rsidRPr="00E97DCE">
              <w:t xml:space="preserve"> rasterećenj</w:t>
            </w:r>
            <w:r w:rsidR="00894E62" w:rsidRPr="00E97DCE">
              <w:t>a porezn</w:t>
            </w:r>
            <w:r w:rsidR="001756F1" w:rsidRPr="00E97DCE">
              <w:t>ih</w:t>
            </w:r>
            <w:r w:rsidR="00894E62" w:rsidRPr="00E97DCE">
              <w:t xml:space="preserve"> obveznika</w:t>
            </w:r>
            <w:r w:rsidR="00183ED0" w:rsidRPr="00E97DCE">
              <w:t xml:space="preserve"> </w:t>
            </w:r>
            <w:r w:rsidR="00C07B93" w:rsidRPr="00E97DCE">
              <w:t xml:space="preserve">i do administrativnog rasterećenja </w:t>
            </w:r>
            <w:r w:rsidR="00203CA4" w:rsidRPr="00E97DCE">
              <w:t>istih</w:t>
            </w:r>
            <w:r w:rsidR="00C07B93" w:rsidRPr="00E97DCE">
              <w:t xml:space="preserve">. </w:t>
            </w:r>
            <w:r w:rsidR="00FB3E03" w:rsidRPr="00E97DCE">
              <w:t>Naime, prema propisima o porezu na dohodak važećim do stupanja na snagu Zakona primici koje su ostvaril</w:t>
            </w:r>
            <w:r w:rsidR="00B0074B" w:rsidRPr="00E97DCE">
              <w:t>e</w:t>
            </w:r>
            <w:r w:rsidR="00FB3E03" w:rsidRPr="00E97DCE">
              <w:t xml:space="preserve"> osobe na privremenim, odnosno povremenim sezonskim poslovima u poljoprivredi smatrale su se drugim dohotkom koji se ne smatra konačnim te su podlijegali plaćanju poreza na dohodak po stopi od 24% i uključivali se u godišnji obračun poreza na dohodak</w:t>
            </w:r>
            <w:r w:rsidR="001756F1" w:rsidRPr="00E97DCE">
              <w:t xml:space="preserve"> pri čemu je možebitno tako ostvaren dohodak u godišnjem obračunu djelom podlijegao i plaćanju poreza na dohodak po stopi od 36%. </w:t>
            </w:r>
            <w:r w:rsidR="0046760F" w:rsidRPr="00E97DCE">
              <w:t xml:space="preserve">Tako je </w:t>
            </w:r>
            <w:r w:rsidR="0046760F" w:rsidRPr="00E97DCE">
              <w:rPr>
                <w:rFonts w:eastAsia="Times New Roman"/>
              </w:rPr>
              <w:t xml:space="preserve">u 2018. godini po osnovi obavljanja povremenih sezonskih poslova u poljoprivredi </w:t>
            </w:r>
            <w:r w:rsidR="005F319F" w:rsidRPr="00E97DCE">
              <w:rPr>
                <w:rFonts w:eastAsia="Times New Roman"/>
              </w:rPr>
              <w:t>evidentirano</w:t>
            </w:r>
            <w:r w:rsidR="0046760F" w:rsidRPr="00E97DCE">
              <w:rPr>
                <w:rFonts w:eastAsia="Times New Roman"/>
              </w:rPr>
              <w:t xml:space="preserve"> 10.103 stjecatelja</w:t>
            </w:r>
            <w:r w:rsidR="005F319F" w:rsidRPr="00E97DCE">
              <w:rPr>
                <w:rFonts w:eastAsia="Times New Roman"/>
              </w:rPr>
              <w:t>, a</w:t>
            </w:r>
            <w:r w:rsidR="0046760F" w:rsidRPr="00E97DCE">
              <w:rPr>
                <w:rFonts w:eastAsia="Times New Roman"/>
              </w:rPr>
              <w:t xml:space="preserve"> obveza poreza i prireza porezu na dohodak </w:t>
            </w:r>
            <w:r w:rsidR="005F319F" w:rsidRPr="00E97DCE">
              <w:rPr>
                <w:rFonts w:eastAsia="Times New Roman"/>
              </w:rPr>
              <w:t xml:space="preserve">po osnovi tako ostvarenih primitaka </w:t>
            </w:r>
            <w:r w:rsidR="0046760F" w:rsidRPr="00E97DCE">
              <w:rPr>
                <w:rFonts w:eastAsia="Times New Roman"/>
              </w:rPr>
              <w:t>iznosila</w:t>
            </w:r>
            <w:r w:rsidR="005F319F" w:rsidRPr="00E97DCE">
              <w:rPr>
                <w:rFonts w:eastAsia="Times New Roman"/>
              </w:rPr>
              <w:t xml:space="preserve"> je</w:t>
            </w:r>
            <w:r w:rsidR="0046760F" w:rsidRPr="00E97DCE">
              <w:rPr>
                <w:rFonts w:eastAsia="Times New Roman"/>
              </w:rPr>
              <w:t xml:space="preserve"> 19.241.489 kn</w:t>
            </w:r>
            <w:r w:rsidR="005F319F" w:rsidRPr="00E97DCE">
              <w:rPr>
                <w:rFonts w:eastAsia="Times New Roman"/>
              </w:rPr>
              <w:t xml:space="preserve">, </w:t>
            </w:r>
            <w:r w:rsidR="0046760F" w:rsidRPr="00E97DCE">
              <w:rPr>
                <w:rFonts w:eastAsia="Times New Roman"/>
              </w:rPr>
              <w:t xml:space="preserve"> dok je </w:t>
            </w:r>
            <w:r w:rsidR="0046760F" w:rsidRPr="00E97DCE">
              <w:t xml:space="preserve">u 2019. godini </w:t>
            </w:r>
            <w:r w:rsidR="005F319F" w:rsidRPr="00E97DCE">
              <w:t>evidentirano</w:t>
            </w:r>
            <w:r w:rsidR="0046760F" w:rsidRPr="00E97DCE">
              <w:t xml:space="preserve"> 9.631 stjecatelja</w:t>
            </w:r>
            <w:r w:rsidR="005F319F" w:rsidRPr="00E97DCE">
              <w:t>, a</w:t>
            </w:r>
            <w:r w:rsidR="0046760F" w:rsidRPr="00E97DCE">
              <w:t xml:space="preserve"> obveza poreza i prireza porezu na dohodak iznosila 8.776.160 kn pri čemu se može zaključiti kako se radi o znatnom poreznom rasterećenju.</w:t>
            </w:r>
          </w:p>
          <w:p w14:paraId="1F3EBED0" w14:textId="6235D124" w:rsidR="00894E62" w:rsidRPr="00E97DCE" w:rsidRDefault="0046760F" w:rsidP="002312C0">
            <w:pPr>
              <w:pStyle w:val="Odlomakpopisa"/>
            </w:pPr>
            <w:r w:rsidRPr="00E97DCE">
              <w:t xml:space="preserve">  </w:t>
            </w:r>
          </w:p>
          <w:p w14:paraId="5E8D201B" w14:textId="6C7CAB47" w:rsidR="00183E08" w:rsidRPr="00E97DCE" w:rsidRDefault="00183E08" w:rsidP="000E3027">
            <w:pPr>
              <w:jc w:val="both"/>
              <w:rPr>
                <w:szCs w:val="24"/>
              </w:rPr>
            </w:pPr>
            <w:r w:rsidRPr="00E97DCE">
              <w:rPr>
                <w:szCs w:val="24"/>
              </w:rPr>
              <w:t>P</w:t>
            </w:r>
            <w:r w:rsidR="001756F1" w:rsidRPr="00E97DCE">
              <w:rPr>
                <w:szCs w:val="24"/>
              </w:rPr>
              <w:t>ropisivanje</w:t>
            </w:r>
            <w:r w:rsidR="005F319F" w:rsidRPr="00E97DCE">
              <w:rPr>
                <w:szCs w:val="24"/>
              </w:rPr>
              <w:t>m</w:t>
            </w:r>
            <w:r w:rsidR="001756F1" w:rsidRPr="00E97DCE">
              <w:rPr>
                <w:szCs w:val="24"/>
              </w:rPr>
              <w:t xml:space="preserve"> </w:t>
            </w:r>
            <w:r w:rsidRPr="00E97DCE">
              <w:rPr>
                <w:szCs w:val="24"/>
              </w:rPr>
              <w:t xml:space="preserve">izuzeća </w:t>
            </w:r>
            <w:r w:rsidR="001756F1" w:rsidRPr="00E97DCE">
              <w:rPr>
                <w:szCs w:val="24"/>
              </w:rPr>
              <w:t>da se</w:t>
            </w:r>
            <w:r w:rsidR="000E3027" w:rsidRPr="00E97DCE">
              <w:rPr>
                <w:szCs w:val="24"/>
              </w:rPr>
              <w:t xml:space="preserve"> pri utvrđivanju prava na osobni odbitak za uzdržavane članove ne uzimaju u obzir</w:t>
            </w:r>
            <w:r w:rsidR="005F319F" w:rsidRPr="00E97DCE">
              <w:rPr>
                <w:szCs w:val="24"/>
              </w:rPr>
              <w:t>:</w:t>
            </w:r>
            <w:r w:rsidR="000E3027" w:rsidRPr="00E97DCE">
              <w:rPr>
                <w:szCs w:val="24"/>
              </w:rPr>
              <w:t xml:space="preserve"> stipendije</w:t>
            </w:r>
            <w:r w:rsidRPr="00E97DCE">
              <w:rPr>
                <w:szCs w:val="24"/>
              </w:rPr>
              <w:t>,</w:t>
            </w:r>
            <w:r w:rsidR="000E3027" w:rsidRPr="00E97DCE">
              <w:rPr>
                <w:szCs w:val="24"/>
              </w:rPr>
              <w:t xml:space="preserve"> nagrade za izvrsnost učenika i studenata isplaćene iz proračuna i bespovratna sredstva koja se isplaćuju iz proračuna, fondova i programa Europske unije i drugih međunarodnih fondova i programa</w:t>
            </w:r>
            <w:r w:rsidR="005F319F" w:rsidRPr="00E97DCE">
              <w:rPr>
                <w:szCs w:val="24"/>
              </w:rPr>
              <w:t xml:space="preserve">, </w:t>
            </w:r>
            <w:r w:rsidR="000E3027" w:rsidRPr="00E97DCE">
              <w:rPr>
                <w:szCs w:val="24"/>
              </w:rPr>
              <w:t>potpore djetetu za školovanje</w:t>
            </w:r>
            <w:r w:rsidRPr="00E97DCE">
              <w:rPr>
                <w:szCs w:val="24"/>
              </w:rPr>
              <w:t>,</w:t>
            </w:r>
            <w:r w:rsidR="001756F1" w:rsidRPr="00E97DCE">
              <w:rPr>
                <w:szCs w:val="24"/>
              </w:rPr>
              <w:t xml:space="preserve"> </w:t>
            </w:r>
            <w:r w:rsidRPr="00E97DCE">
              <w:rPr>
                <w:szCs w:val="24"/>
              </w:rPr>
              <w:t>odštete od osiguranja isplaćene zbog teške ozljede i priznate invalidnosti</w:t>
            </w:r>
            <w:r w:rsidR="006217B0" w:rsidRPr="00E97DCE">
              <w:rPr>
                <w:szCs w:val="24"/>
              </w:rPr>
              <w:t>,</w:t>
            </w:r>
            <w:r w:rsidRPr="00E97DCE">
              <w:rPr>
                <w:szCs w:val="24"/>
              </w:rPr>
              <w:t xml:space="preserve"> </w:t>
            </w:r>
            <w:r w:rsidR="001756F1" w:rsidRPr="00E97DCE">
              <w:rPr>
                <w:szCs w:val="24"/>
              </w:rPr>
              <w:t xml:space="preserve">znatno se olakšalo obiteljima s djecom </w:t>
            </w:r>
            <w:r w:rsidR="005F319F" w:rsidRPr="00E97DCE">
              <w:rPr>
                <w:szCs w:val="24"/>
              </w:rPr>
              <w:t>obzirom da roditelji</w:t>
            </w:r>
            <w:r w:rsidR="001756F1" w:rsidRPr="00E97DCE">
              <w:rPr>
                <w:szCs w:val="24"/>
              </w:rPr>
              <w:t xml:space="preserve"> neovisno o ostvarenim primicima djece po navedenim osnovama mogu </w:t>
            </w:r>
            <w:r w:rsidR="005F319F" w:rsidRPr="00E97DCE">
              <w:rPr>
                <w:szCs w:val="24"/>
              </w:rPr>
              <w:t xml:space="preserve">i dalje </w:t>
            </w:r>
            <w:r w:rsidR="001756F1" w:rsidRPr="00E97DCE">
              <w:rPr>
                <w:szCs w:val="24"/>
              </w:rPr>
              <w:t>koristiti</w:t>
            </w:r>
            <w:r w:rsidR="006217B0" w:rsidRPr="00E97DCE">
              <w:rPr>
                <w:szCs w:val="24"/>
              </w:rPr>
              <w:t xml:space="preserve"> </w:t>
            </w:r>
            <w:r w:rsidR="005F319F" w:rsidRPr="00E97DCE">
              <w:rPr>
                <w:szCs w:val="24"/>
              </w:rPr>
              <w:t xml:space="preserve">tu </w:t>
            </w:r>
            <w:r w:rsidR="006217B0" w:rsidRPr="00E97DCE">
              <w:rPr>
                <w:szCs w:val="24"/>
              </w:rPr>
              <w:t>djecu</w:t>
            </w:r>
            <w:r w:rsidR="001756F1" w:rsidRPr="00E97DCE">
              <w:rPr>
                <w:szCs w:val="24"/>
              </w:rPr>
              <w:t xml:space="preserve"> kao uzdržavane članove. Navedeno izuzeće dovelo je do povećanja neto raspoloživog dohotka </w:t>
            </w:r>
            <w:r w:rsidR="006217B0" w:rsidRPr="00E97DCE">
              <w:rPr>
                <w:szCs w:val="24"/>
              </w:rPr>
              <w:t>roditelja</w:t>
            </w:r>
            <w:r w:rsidR="001756F1" w:rsidRPr="00E97DCE">
              <w:rPr>
                <w:szCs w:val="24"/>
              </w:rPr>
              <w:t xml:space="preserve"> </w:t>
            </w:r>
            <w:r w:rsidR="005F319F" w:rsidRPr="00E97DCE">
              <w:rPr>
                <w:szCs w:val="24"/>
              </w:rPr>
              <w:t xml:space="preserve">koji su djecu koristili kao uzdržavane članove </w:t>
            </w:r>
            <w:r w:rsidR="001756F1" w:rsidRPr="00E97DCE">
              <w:rPr>
                <w:szCs w:val="24"/>
              </w:rPr>
              <w:t xml:space="preserve">te </w:t>
            </w:r>
            <w:r w:rsidR="005F319F" w:rsidRPr="00E97DCE">
              <w:rPr>
                <w:szCs w:val="24"/>
              </w:rPr>
              <w:t>slijedom toga</w:t>
            </w:r>
            <w:r w:rsidR="001756F1" w:rsidRPr="00E97DCE">
              <w:rPr>
                <w:szCs w:val="24"/>
              </w:rPr>
              <w:t xml:space="preserve"> i do povećanja potrošnje.</w:t>
            </w:r>
            <w:r w:rsidRPr="00E97DCE">
              <w:rPr>
                <w:szCs w:val="24"/>
              </w:rPr>
              <w:t xml:space="preserve"> </w:t>
            </w:r>
            <w:r w:rsidR="005F319F" w:rsidRPr="00E97DCE">
              <w:rPr>
                <w:szCs w:val="24"/>
              </w:rPr>
              <w:t>O</w:t>
            </w:r>
            <w:r w:rsidR="006217B0" w:rsidRPr="00E97DCE">
              <w:rPr>
                <w:szCs w:val="24"/>
              </w:rPr>
              <w:t xml:space="preserve">sim što se olakšalo roditeljima djece </w:t>
            </w:r>
            <w:r w:rsidRPr="00E97DCE">
              <w:rPr>
                <w:szCs w:val="24"/>
              </w:rPr>
              <w:t xml:space="preserve">potaknulo </w:t>
            </w:r>
            <w:r w:rsidR="005F319F" w:rsidRPr="00E97DCE">
              <w:rPr>
                <w:szCs w:val="24"/>
              </w:rPr>
              <w:t xml:space="preserve">se </w:t>
            </w:r>
            <w:r w:rsidR="006217B0" w:rsidRPr="00E97DCE">
              <w:rPr>
                <w:szCs w:val="24"/>
              </w:rPr>
              <w:t>i</w:t>
            </w:r>
            <w:r w:rsidRPr="00E97DCE">
              <w:rPr>
                <w:szCs w:val="24"/>
              </w:rPr>
              <w:t xml:space="preserve"> bolje korištenje programa</w:t>
            </w:r>
            <w:r w:rsidR="006217B0" w:rsidRPr="00E97DCE">
              <w:rPr>
                <w:szCs w:val="24"/>
              </w:rPr>
              <w:t xml:space="preserve"> s </w:t>
            </w:r>
            <w:r w:rsidRPr="00E97DCE">
              <w:rPr>
                <w:szCs w:val="24"/>
              </w:rPr>
              <w:t>cilj</w:t>
            </w:r>
            <w:r w:rsidR="006217B0" w:rsidRPr="00E97DCE">
              <w:rPr>
                <w:szCs w:val="24"/>
              </w:rPr>
              <w:t>em</w:t>
            </w:r>
            <w:r w:rsidRPr="00E97DCE">
              <w:rPr>
                <w:szCs w:val="24"/>
              </w:rPr>
              <w:t xml:space="preserve"> stjecanja novih znanja i vještina</w:t>
            </w:r>
            <w:r w:rsidR="00E85CD8" w:rsidRPr="00E97DCE">
              <w:rPr>
                <w:szCs w:val="24"/>
              </w:rPr>
              <w:t>,</w:t>
            </w:r>
            <w:r w:rsidR="006217B0" w:rsidRPr="00E97DCE">
              <w:rPr>
                <w:szCs w:val="24"/>
              </w:rPr>
              <w:t xml:space="preserve"> a isto je ujedno i</w:t>
            </w:r>
            <w:r w:rsidRPr="00E97DCE">
              <w:rPr>
                <w:szCs w:val="24"/>
              </w:rPr>
              <w:t xml:space="preserve"> demografsk</w:t>
            </w:r>
            <w:r w:rsidR="006217B0" w:rsidRPr="00E97DCE">
              <w:rPr>
                <w:szCs w:val="24"/>
              </w:rPr>
              <w:t>a</w:t>
            </w:r>
            <w:r w:rsidRPr="00E97DCE">
              <w:rPr>
                <w:szCs w:val="24"/>
              </w:rPr>
              <w:t xml:space="preserve"> mjer</w:t>
            </w:r>
            <w:r w:rsidR="006217B0" w:rsidRPr="00E97DCE">
              <w:rPr>
                <w:szCs w:val="24"/>
              </w:rPr>
              <w:t>a kao</w:t>
            </w:r>
            <w:r w:rsidRPr="00E97DCE">
              <w:rPr>
                <w:szCs w:val="24"/>
              </w:rPr>
              <w:t xml:space="preserve"> i mjer</w:t>
            </w:r>
            <w:r w:rsidR="006217B0" w:rsidRPr="00E97DCE">
              <w:rPr>
                <w:szCs w:val="24"/>
              </w:rPr>
              <w:t>a</w:t>
            </w:r>
            <w:r w:rsidRPr="00E97DCE">
              <w:rPr>
                <w:szCs w:val="24"/>
              </w:rPr>
              <w:t xml:space="preserve"> za </w:t>
            </w:r>
            <w:r w:rsidR="006217B0" w:rsidRPr="00E97DCE">
              <w:rPr>
                <w:szCs w:val="24"/>
              </w:rPr>
              <w:t xml:space="preserve">kontinuirano </w:t>
            </w:r>
            <w:r w:rsidRPr="00E97DCE">
              <w:rPr>
                <w:szCs w:val="24"/>
              </w:rPr>
              <w:t>poticanje izvrsnosti kod mladih ljudi</w:t>
            </w:r>
            <w:r w:rsidR="006217B0" w:rsidRPr="00E97DCE">
              <w:rPr>
                <w:szCs w:val="24"/>
              </w:rPr>
              <w:t>.</w:t>
            </w:r>
          </w:p>
          <w:p w14:paraId="54A724D8" w14:textId="4501B403" w:rsidR="005F319F" w:rsidRPr="00E97DCE" w:rsidRDefault="005F319F" w:rsidP="000E3027">
            <w:pPr>
              <w:jc w:val="both"/>
              <w:rPr>
                <w:szCs w:val="24"/>
              </w:rPr>
            </w:pPr>
            <w:r w:rsidRPr="00E97DCE">
              <w:rPr>
                <w:szCs w:val="24"/>
              </w:rPr>
              <w:lastRenderedPageBreak/>
              <w:t xml:space="preserve">Naime, prema dotadašnjem zakonskom rješenju mladi ljudi, studenti, primarno slabijeg imovnog stanja su nerijetko odustajali od određenih programa iz razloga </w:t>
            </w:r>
            <w:r w:rsidR="00B0074B" w:rsidRPr="00E97DCE">
              <w:rPr>
                <w:szCs w:val="24"/>
              </w:rPr>
              <w:t>što</w:t>
            </w:r>
            <w:r w:rsidRPr="00E97DCE">
              <w:rPr>
                <w:szCs w:val="24"/>
              </w:rPr>
              <w:t xml:space="preserve"> nisu mogli biti uzdržavani članovi svojim roditeljima.</w:t>
            </w:r>
          </w:p>
          <w:p w14:paraId="09A5F71E" w14:textId="77777777" w:rsidR="00B179BD" w:rsidRPr="00E97DCE" w:rsidRDefault="00B179BD" w:rsidP="000E3027">
            <w:pPr>
              <w:jc w:val="both"/>
              <w:rPr>
                <w:szCs w:val="24"/>
              </w:rPr>
            </w:pPr>
          </w:p>
          <w:p w14:paraId="0BC7B4F0" w14:textId="1AC2599C" w:rsidR="0046760F" w:rsidRPr="00E97DCE" w:rsidRDefault="00183E08" w:rsidP="0046760F">
            <w:pPr>
              <w:jc w:val="both"/>
              <w:rPr>
                <w:szCs w:val="24"/>
              </w:rPr>
            </w:pPr>
            <w:r w:rsidRPr="00E97DCE">
              <w:rPr>
                <w:szCs w:val="24"/>
              </w:rPr>
              <w:t xml:space="preserve">Tako je </w:t>
            </w:r>
            <w:r w:rsidR="0046760F" w:rsidRPr="00E97DCE">
              <w:rPr>
                <w:szCs w:val="24"/>
              </w:rPr>
              <w:t xml:space="preserve">broj stjecatelja koji </w:t>
            </w:r>
            <w:r w:rsidR="004A01A3" w:rsidRPr="00E97DCE">
              <w:rPr>
                <w:szCs w:val="24"/>
              </w:rPr>
              <w:t>su</w:t>
            </w:r>
            <w:r w:rsidR="0046760F" w:rsidRPr="00E97DCE">
              <w:rPr>
                <w:szCs w:val="24"/>
              </w:rPr>
              <w:t xml:space="preserve"> ostvari</w:t>
            </w:r>
            <w:r w:rsidR="004A01A3" w:rsidRPr="00E97DCE">
              <w:rPr>
                <w:szCs w:val="24"/>
              </w:rPr>
              <w:t>li</w:t>
            </w:r>
            <w:r w:rsidR="0046760F" w:rsidRPr="00E97DCE">
              <w:rPr>
                <w:szCs w:val="24"/>
              </w:rPr>
              <w:t xml:space="preserve"> primitke po osnovi stipendija iznad 15.000,00 kn </w:t>
            </w:r>
            <w:r w:rsidR="00E85CD8" w:rsidRPr="00E97DCE">
              <w:rPr>
                <w:szCs w:val="24"/>
              </w:rPr>
              <w:t xml:space="preserve">u 2018. godini te nisu mogli biti uzdržavani članovi </w:t>
            </w:r>
            <w:r w:rsidR="0046760F" w:rsidRPr="00E97DCE">
              <w:rPr>
                <w:szCs w:val="24"/>
              </w:rPr>
              <w:t>iznosio 5.666</w:t>
            </w:r>
            <w:r w:rsidR="004A01A3" w:rsidRPr="00E97DCE">
              <w:rPr>
                <w:szCs w:val="24"/>
              </w:rPr>
              <w:t xml:space="preserve">, </w:t>
            </w:r>
            <w:r w:rsidR="0046760F" w:rsidRPr="00E97DCE">
              <w:rPr>
                <w:szCs w:val="24"/>
              </w:rPr>
              <w:t>dok je u  2019. godini broj porastao na 7.885</w:t>
            </w:r>
            <w:r w:rsidR="00E85CD8" w:rsidRPr="00E97DCE">
              <w:rPr>
                <w:szCs w:val="24"/>
              </w:rPr>
              <w:t xml:space="preserve"> te se može zaključiti da je </w:t>
            </w:r>
            <w:r w:rsidR="00643768" w:rsidRPr="00E97DCE">
              <w:rPr>
                <w:szCs w:val="24"/>
              </w:rPr>
              <w:t xml:space="preserve">u 2019. godini </w:t>
            </w:r>
            <w:r w:rsidR="00E85CD8" w:rsidRPr="00E97DCE">
              <w:rPr>
                <w:szCs w:val="24"/>
              </w:rPr>
              <w:t>39% više korisnika stipendije moglo biti uzdržavanim članom</w:t>
            </w:r>
            <w:r w:rsidR="00643768" w:rsidRPr="00E97DCE">
              <w:rPr>
                <w:szCs w:val="24"/>
              </w:rPr>
              <w:t xml:space="preserve"> u odnosu na 2018.godinu</w:t>
            </w:r>
            <w:r w:rsidR="0046760F" w:rsidRPr="00E97DCE">
              <w:rPr>
                <w:szCs w:val="24"/>
              </w:rPr>
              <w:t>.</w:t>
            </w:r>
            <w:r w:rsidR="00E85CD8" w:rsidRPr="00E97DCE">
              <w:rPr>
                <w:szCs w:val="24"/>
              </w:rPr>
              <w:t xml:space="preserve"> </w:t>
            </w:r>
          </w:p>
          <w:p w14:paraId="488CBF45" w14:textId="77777777" w:rsidR="0046760F" w:rsidRPr="00E97DCE" w:rsidRDefault="0046760F" w:rsidP="0046760F">
            <w:pPr>
              <w:jc w:val="both"/>
              <w:rPr>
                <w:szCs w:val="24"/>
              </w:rPr>
            </w:pPr>
          </w:p>
          <w:p w14:paraId="3C8E5B2E" w14:textId="447411E0" w:rsidR="00183E08" w:rsidRPr="00E97DCE" w:rsidRDefault="00183E08" w:rsidP="000E3027">
            <w:pPr>
              <w:jc w:val="both"/>
              <w:rPr>
                <w:szCs w:val="24"/>
              </w:rPr>
            </w:pPr>
            <w:r w:rsidRPr="00E97DCE">
              <w:rPr>
                <w:szCs w:val="24"/>
              </w:rPr>
              <w:t>Proširivanje odredbi o uzdržavanim članovima odnosno</w:t>
            </w:r>
            <w:r w:rsidR="003C7A25" w:rsidRPr="00E97DCE">
              <w:rPr>
                <w:szCs w:val="24"/>
              </w:rPr>
              <w:t xml:space="preserve"> propisivanje mogućnosti za</w:t>
            </w:r>
            <w:r w:rsidRPr="00E97DCE">
              <w:rPr>
                <w:szCs w:val="24"/>
              </w:rPr>
              <w:t xml:space="preserve"> priznavanjem prava na poreznu olakšicu za poočima i pomajku te obrnuto</w:t>
            </w:r>
            <w:r w:rsidR="004A01A3" w:rsidRPr="00E97DCE">
              <w:rPr>
                <w:szCs w:val="24"/>
              </w:rPr>
              <w:t>, imalo je također</w:t>
            </w:r>
            <w:r w:rsidRPr="00E97DCE">
              <w:rPr>
                <w:szCs w:val="24"/>
              </w:rPr>
              <w:t xml:space="preserve"> </w:t>
            </w:r>
            <w:r w:rsidR="00C5630D" w:rsidRPr="00E97DCE">
              <w:rPr>
                <w:szCs w:val="24"/>
              </w:rPr>
              <w:t>pozitiv</w:t>
            </w:r>
            <w:r w:rsidR="004A01A3" w:rsidRPr="00E97DCE">
              <w:rPr>
                <w:szCs w:val="24"/>
              </w:rPr>
              <w:t xml:space="preserve">an </w:t>
            </w:r>
            <w:r w:rsidR="00C5630D" w:rsidRPr="00E97DCE">
              <w:rPr>
                <w:szCs w:val="24"/>
              </w:rPr>
              <w:t>utjeca</w:t>
            </w:r>
            <w:r w:rsidR="004A01A3" w:rsidRPr="00E97DCE">
              <w:rPr>
                <w:szCs w:val="24"/>
              </w:rPr>
              <w:t>j</w:t>
            </w:r>
            <w:r w:rsidR="00C5630D" w:rsidRPr="00E97DCE">
              <w:rPr>
                <w:szCs w:val="24"/>
              </w:rPr>
              <w:t xml:space="preserve"> na obitelji </w:t>
            </w:r>
            <w:r w:rsidRPr="00E97DCE">
              <w:rPr>
                <w:szCs w:val="24"/>
              </w:rPr>
              <w:t xml:space="preserve">s djecom. </w:t>
            </w:r>
          </w:p>
          <w:p w14:paraId="65EFD480" w14:textId="77777777" w:rsidR="00183E08" w:rsidRPr="00E97DCE" w:rsidRDefault="00183E08" w:rsidP="000E3027">
            <w:pPr>
              <w:jc w:val="both"/>
              <w:rPr>
                <w:szCs w:val="24"/>
              </w:rPr>
            </w:pPr>
          </w:p>
          <w:p w14:paraId="74964537" w14:textId="58051037" w:rsidR="0046760F" w:rsidRPr="00E97DCE" w:rsidRDefault="006217B0" w:rsidP="0046760F">
            <w:pPr>
              <w:jc w:val="both"/>
              <w:rPr>
                <w:szCs w:val="24"/>
              </w:rPr>
            </w:pPr>
            <w:r w:rsidRPr="00E97DCE">
              <w:rPr>
                <w:szCs w:val="24"/>
              </w:rPr>
              <w:t>Ukidanje</w:t>
            </w:r>
            <w:r w:rsidR="000E3027" w:rsidRPr="00E97DCE">
              <w:rPr>
                <w:szCs w:val="24"/>
              </w:rPr>
              <w:t xml:space="preserve"> dohotk</w:t>
            </w:r>
            <w:r w:rsidRPr="00E97DCE">
              <w:rPr>
                <w:szCs w:val="24"/>
              </w:rPr>
              <w:t>a</w:t>
            </w:r>
            <w:r w:rsidR="000E3027" w:rsidRPr="00E97DCE">
              <w:rPr>
                <w:szCs w:val="24"/>
              </w:rPr>
              <w:t xml:space="preserve"> od osiguranja </w:t>
            </w:r>
            <w:r w:rsidRPr="00E97DCE">
              <w:rPr>
                <w:szCs w:val="24"/>
              </w:rPr>
              <w:t>dovelo je osim do osnaživanja dobrovoljne mirovinsk</w:t>
            </w:r>
            <w:r w:rsidR="00B179BD" w:rsidRPr="00E97DCE">
              <w:rPr>
                <w:szCs w:val="24"/>
              </w:rPr>
              <w:t>e</w:t>
            </w:r>
            <w:r w:rsidRPr="00E97DCE">
              <w:rPr>
                <w:szCs w:val="24"/>
              </w:rPr>
              <w:t xml:space="preserve"> štednj</w:t>
            </w:r>
            <w:r w:rsidR="00B179BD" w:rsidRPr="00E97DCE">
              <w:rPr>
                <w:szCs w:val="24"/>
              </w:rPr>
              <w:t>e</w:t>
            </w:r>
            <w:r w:rsidRPr="00E97DCE">
              <w:rPr>
                <w:szCs w:val="24"/>
              </w:rPr>
              <w:t xml:space="preserve"> i do </w:t>
            </w:r>
            <w:r w:rsidR="00B179BD" w:rsidRPr="00E97DCE">
              <w:rPr>
                <w:szCs w:val="24"/>
              </w:rPr>
              <w:t xml:space="preserve">dodatnog </w:t>
            </w:r>
            <w:r w:rsidRPr="00E97DCE">
              <w:rPr>
                <w:szCs w:val="24"/>
              </w:rPr>
              <w:t xml:space="preserve">poreznog rasterećenja poreznih obveznika. </w:t>
            </w:r>
            <w:r w:rsidR="0046760F" w:rsidRPr="00E97DCE">
              <w:rPr>
                <w:szCs w:val="24"/>
              </w:rPr>
              <w:t>Naime</w:t>
            </w:r>
            <w:r w:rsidR="004A01A3" w:rsidRPr="00E97DCE">
              <w:rPr>
                <w:szCs w:val="24"/>
              </w:rPr>
              <w:t>,</w:t>
            </w:r>
            <w:r w:rsidR="0046760F" w:rsidRPr="00E97DCE">
              <w:rPr>
                <w:szCs w:val="24"/>
              </w:rPr>
              <w:t xml:space="preserve"> </w:t>
            </w:r>
            <w:r w:rsidR="00643768" w:rsidRPr="00E97DCE">
              <w:rPr>
                <w:szCs w:val="24"/>
              </w:rPr>
              <w:t xml:space="preserve">s obzirom da u 2019. nije postojala obveza uplate poreza na dohodak i prireza porezu na dohodak </w:t>
            </w:r>
            <w:r w:rsidR="0046760F" w:rsidRPr="00E97DCE">
              <w:rPr>
                <w:szCs w:val="24"/>
              </w:rPr>
              <w:t xml:space="preserve">po osnovi dohotka od osiguranja u </w:t>
            </w:r>
            <w:r w:rsidR="00643768" w:rsidRPr="00E97DCE">
              <w:rPr>
                <w:szCs w:val="24"/>
              </w:rPr>
              <w:t xml:space="preserve">odnosu na </w:t>
            </w:r>
            <w:r w:rsidR="0046760F" w:rsidRPr="00E97DCE">
              <w:rPr>
                <w:szCs w:val="24"/>
              </w:rPr>
              <w:t>2018. godin</w:t>
            </w:r>
            <w:r w:rsidR="00643768" w:rsidRPr="00E97DCE">
              <w:rPr>
                <w:szCs w:val="24"/>
              </w:rPr>
              <w:t>u</w:t>
            </w:r>
            <w:r w:rsidR="0046760F" w:rsidRPr="00E97DCE">
              <w:rPr>
                <w:szCs w:val="24"/>
              </w:rPr>
              <w:t xml:space="preserve"> </w:t>
            </w:r>
            <w:r w:rsidR="004A01A3" w:rsidRPr="00E97DCE">
              <w:rPr>
                <w:szCs w:val="24"/>
              </w:rPr>
              <w:t>ukupn</w:t>
            </w:r>
            <w:r w:rsidR="00643768" w:rsidRPr="00E97DCE">
              <w:rPr>
                <w:szCs w:val="24"/>
              </w:rPr>
              <w:t>o porezno rasterećenje je</w:t>
            </w:r>
            <w:r w:rsidR="0046760F" w:rsidRPr="00E97DCE">
              <w:rPr>
                <w:szCs w:val="24"/>
              </w:rPr>
              <w:t xml:space="preserve"> iznosil</w:t>
            </w:r>
            <w:r w:rsidR="00643768" w:rsidRPr="00E97DCE">
              <w:rPr>
                <w:szCs w:val="24"/>
              </w:rPr>
              <w:t>o</w:t>
            </w:r>
            <w:r w:rsidR="0046760F" w:rsidRPr="00E97DCE">
              <w:rPr>
                <w:szCs w:val="24"/>
              </w:rPr>
              <w:t xml:space="preserve"> 26.824.193 kn.</w:t>
            </w:r>
          </w:p>
          <w:p w14:paraId="3B4C8D89" w14:textId="77777777" w:rsidR="00B179BD" w:rsidRPr="00E97DCE" w:rsidRDefault="00B179BD" w:rsidP="00C12272">
            <w:pPr>
              <w:jc w:val="both"/>
              <w:rPr>
                <w:szCs w:val="24"/>
              </w:rPr>
            </w:pPr>
          </w:p>
          <w:p w14:paraId="6195DF33" w14:textId="33DEA720" w:rsidR="00A742C0" w:rsidRPr="00E97DCE" w:rsidRDefault="00B179BD" w:rsidP="00C12272">
            <w:pPr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>Propisivanjem obveze jedinicama lokalne samouprave da don</w:t>
            </w:r>
            <w:r w:rsidR="004A01A3" w:rsidRPr="00E97DCE">
              <w:rPr>
                <w:rFonts w:eastAsia="Times New Roman"/>
                <w:szCs w:val="24"/>
              </w:rPr>
              <w:t>ose</w:t>
            </w:r>
            <w:r w:rsidRPr="00E97DCE">
              <w:rPr>
                <w:rFonts w:eastAsia="Times New Roman"/>
                <w:szCs w:val="24"/>
              </w:rPr>
              <w:t xml:space="preserve"> odluke o visini plaćanja paušalnog poreza po krevetu odnosno po smještajnoj jedinici u kampu u propisanom rasponu je osim usklađivanja visine poreznog opterećenja za iznajmljivače u turizmu (koji su do izmjena plaćali paušalni porez na dohodak koji je bio određen još 2004. godine) dana  mogućnost jedinicama lokalne samouprave da upravljaju visinom poreza u skladu s fiskalnim potrebama i ciljevima gospodarskog razvoja obzirom da iste imaju podatke o svim iznajmljivačima na svojem području te da prihodi od poreza na dohodak (uključujući i paušalni) pripada jedinicama lokalne samouprave.</w:t>
            </w:r>
            <w:r w:rsidR="004A01A3" w:rsidRPr="00E97DCE">
              <w:rPr>
                <w:rFonts w:eastAsia="Times New Roman"/>
                <w:szCs w:val="24"/>
              </w:rPr>
              <w:t xml:space="preserve"> </w:t>
            </w:r>
            <w:r w:rsidR="00A742C0" w:rsidRPr="00E97DCE">
              <w:rPr>
                <w:rFonts w:eastAsia="Times New Roman"/>
                <w:szCs w:val="24"/>
              </w:rPr>
              <w:t>U 2019. je u odnosu na 2018. povećan broj poreznih obveznika koji obavljaju djelatnost iznajmljivanja i organiziranja smještaja u turizmu za 5%, te se prihod jedinica lokalne samouprave po toj osnovi povećao za 15%.</w:t>
            </w:r>
          </w:p>
          <w:p w14:paraId="0B88D0D1" w14:textId="335363EC" w:rsidR="0046760F" w:rsidRPr="00E97DCE" w:rsidRDefault="00A742C0" w:rsidP="00C12272">
            <w:pPr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 xml:space="preserve">U 2018. godini u registru poreznih obveznika evidentirano je 92.474 aktivnih poreznih obveznika, a uplaćeno 151.374.495 kn poreza i prireza na dohodak od iznajmljivanja stanova, soba i postelja putnicima i turistima i organiziranja kampova koji se utvrđuje paušalno. U 2019. godini evidentirano je 96.802 aktivnih poreznih obveznika, a uplaćeno je 175.775.224 kn poreza i prireza na dohodak od iznajmljivanja stanova, soba i postelja putnicima i turistima i organiziranja kampova koji se utvrđuje paušalno. </w:t>
            </w:r>
          </w:p>
        </w:tc>
      </w:tr>
      <w:tr w:rsidR="000213BB" w:rsidRPr="00E97DCE" w14:paraId="7B05355B" w14:textId="77777777" w:rsidTr="00FD4E84">
        <w:trPr>
          <w:trHeight w:val="240"/>
        </w:trPr>
        <w:tc>
          <w:tcPr>
            <w:tcW w:w="851" w:type="dxa"/>
            <w:shd w:val="clear" w:color="auto" w:fill="auto"/>
          </w:tcPr>
          <w:p w14:paraId="45DB7F2C" w14:textId="77777777" w:rsidR="000213BB" w:rsidRPr="00E97DCE" w:rsidRDefault="000213BB" w:rsidP="00FD4E84">
            <w:pPr>
              <w:rPr>
                <w:b/>
              </w:rPr>
            </w:pPr>
            <w:r w:rsidRPr="00E97DCE">
              <w:rPr>
                <w:b/>
              </w:rPr>
              <w:lastRenderedPageBreak/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0AA943A" w14:textId="77777777" w:rsidR="000213BB" w:rsidRPr="00E97DCE" w:rsidRDefault="000213BB" w:rsidP="00FD4E84">
            <w:pPr>
              <w:rPr>
                <w:b/>
              </w:rPr>
            </w:pPr>
            <w:r w:rsidRPr="00E97DCE">
              <w:rPr>
                <w:b/>
              </w:rPr>
              <w:t xml:space="preserve">ANALIZA IZRAVNIH UČINAKA NASTALIH PRIMJENOM ZAKONA </w:t>
            </w:r>
          </w:p>
        </w:tc>
      </w:tr>
      <w:tr w:rsidR="000213BB" w:rsidRPr="00E97DCE" w14:paraId="7454D8E0" w14:textId="77777777" w:rsidTr="00EF473F">
        <w:tc>
          <w:tcPr>
            <w:tcW w:w="851" w:type="dxa"/>
          </w:tcPr>
          <w:p w14:paraId="11DCDE6B" w14:textId="77777777" w:rsidR="000213BB" w:rsidRPr="00E97DCE" w:rsidRDefault="000213BB" w:rsidP="00FD4E84">
            <w:r w:rsidRPr="00E97DCE">
              <w:t>3.1.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14D7A2C" w14:textId="77777777" w:rsidR="000213BB" w:rsidRPr="00E97DCE" w:rsidRDefault="000213BB" w:rsidP="00FD4E84">
            <w:r w:rsidRPr="00E97DCE">
              <w:rPr>
                <w:b/>
              </w:rPr>
              <w:t>Analiza gospodarskih učinaka primjene Zakona</w:t>
            </w:r>
          </w:p>
        </w:tc>
      </w:tr>
      <w:tr w:rsidR="000213BB" w:rsidRPr="00E97DCE" w14:paraId="25BC885E" w14:textId="77777777" w:rsidTr="00EF473F">
        <w:tc>
          <w:tcPr>
            <w:tcW w:w="851" w:type="dxa"/>
          </w:tcPr>
          <w:p w14:paraId="761102FB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0C0F9D46" w14:textId="77777777" w:rsidR="00BE34D0" w:rsidRPr="00E97DCE" w:rsidRDefault="004439B6" w:rsidP="00955E89">
            <w:pPr>
              <w:jc w:val="both"/>
              <w:rPr>
                <w:bCs/>
                <w:szCs w:val="24"/>
              </w:rPr>
            </w:pPr>
            <w:r w:rsidRPr="00E97DCE">
              <w:rPr>
                <w:rFonts w:asciiTheme="majorBidi" w:hAnsiTheme="majorBidi" w:cstheme="majorBidi"/>
              </w:rPr>
              <w:t xml:space="preserve">Primjena Zakona utjecala </w:t>
            </w:r>
            <w:r w:rsidR="003F7A9C" w:rsidRPr="00E97DCE">
              <w:rPr>
                <w:rFonts w:asciiTheme="majorBidi" w:hAnsiTheme="majorBidi" w:cstheme="majorBidi"/>
              </w:rPr>
              <w:t xml:space="preserve">je </w:t>
            </w:r>
            <w:r w:rsidRPr="00E97DCE">
              <w:rPr>
                <w:rFonts w:asciiTheme="majorBidi" w:hAnsiTheme="majorBidi" w:cstheme="majorBidi"/>
              </w:rPr>
              <w:t xml:space="preserve">na </w:t>
            </w:r>
            <w:r w:rsidR="00BD2D2B" w:rsidRPr="00E97DCE">
              <w:rPr>
                <w:rFonts w:asciiTheme="majorBidi" w:hAnsiTheme="majorBidi" w:cstheme="majorBidi"/>
              </w:rPr>
              <w:t xml:space="preserve">gospodarski rast </w:t>
            </w:r>
            <w:r w:rsidR="00E709E1" w:rsidRPr="00E97DCE">
              <w:rPr>
                <w:rFonts w:asciiTheme="majorBidi" w:hAnsiTheme="majorBidi" w:cstheme="majorBidi"/>
              </w:rPr>
              <w:t xml:space="preserve">odnosno </w:t>
            </w:r>
            <w:r w:rsidR="00491172" w:rsidRPr="00E97DCE">
              <w:rPr>
                <w:rFonts w:asciiTheme="majorBidi" w:hAnsiTheme="majorBidi" w:cstheme="majorBidi"/>
              </w:rPr>
              <w:t>rast</w:t>
            </w:r>
            <w:r w:rsidR="00E709E1" w:rsidRPr="00E97DCE">
              <w:rPr>
                <w:rFonts w:asciiTheme="majorBidi" w:hAnsiTheme="majorBidi" w:cstheme="majorBidi"/>
              </w:rPr>
              <w:t xml:space="preserve"> osobne potrošnje</w:t>
            </w:r>
            <w:r w:rsidR="00BD2D2B" w:rsidRPr="00E97DCE">
              <w:rPr>
                <w:rFonts w:asciiTheme="majorBidi" w:hAnsiTheme="majorBidi" w:cstheme="majorBidi"/>
              </w:rPr>
              <w:t xml:space="preserve">. </w:t>
            </w:r>
            <w:r w:rsidR="003D7C57" w:rsidRPr="00E97DCE">
              <w:rPr>
                <w:rFonts w:asciiTheme="majorBidi" w:hAnsiTheme="majorBidi" w:cstheme="majorBidi"/>
              </w:rPr>
              <w:t>U</w:t>
            </w:r>
            <w:r w:rsidRPr="00E97DCE">
              <w:rPr>
                <w:rFonts w:asciiTheme="majorBidi" w:hAnsiTheme="majorBidi" w:cstheme="majorBidi"/>
              </w:rPr>
              <w:t xml:space="preserve"> sustavu poreza na dohodak smanjeno je ukupno porezno opterećenje za obveznike poreza na dohodak</w:t>
            </w:r>
            <w:r w:rsidR="009037EB" w:rsidRPr="00E97DCE">
              <w:rPr>
                <w:rFonts w:asciiTheme="majorBidi" w:hAnsiTheme="majorBidi" w:cstheme="majorBidi"/>
              </w:rPr>
              <w:t xml:space="preserve"> i </w:t>
            </w:r>
            <w:r w:rsidR="00F11659" w:rsidRPr="00E97DCE">
              <w:rPr>
                <w:rFonts w:asciiTheme="majorBidi" w:hAnsiTheme="majorBidi" w:cstheme="majorBidi"/>
              </w:rPr>
              <w:t>to proširenjem poreznih razreda, dodatnim propisivanjem oslobođenja od plaćanja porez</w:t>
            </w:r>
            <w:r w:rsidR="00B0074B" w:rsidRPr="00E97DCE">
              <w:rPr>
                <w:rFonts w:asciiTheme="majorBidi" w:hAnsiTheme="majorBidi" w:cstheme="majorBidi"/>
              </w:rPr>
              <w:t>a</w:t>
            </w:r>
            <w:r w:rsidR="00F11659" w:rsidRPr="00E97DCE">
              <w:rPr>
                <w:rFonts w:asciiTheme="majorBidi" w:hAnsiTheme="majorBidi" w:cstheme="majorBidi"/>
              </w:rPr>
              <w:t xml:space="preserve"> na određen</w:t>
            </w:r>
            <w:r w:rsidR="00B94962" w:rsidRPr="00E97DCE">
              <w:rPr>
                <w:rFonts w:asciiTheme="majorBidi" w:hAnsiTheme="majorBidi" w:cstheme="majorBidi"/>
              </w:rPr>
              <w:t>e</w:t>
            </w:r>
            <w:r w:rsidR="00F11659" w:rsidRPr="00E97DCE">
              <w:rPr>
                <w:rFonts w:asciiTheme="majorBidi" w:hAnsiTheme="majorBidi" w:cstheme="majorBidi"/>
              </w:rPr>
              <w:t xml:space="preserve"> primit</w:t>
            </w:r>
            <w:r w:rsidR="00B94962" w:rsidRPr="00E97DCE">
              <w:rPr>
                <w:rFonts w:asciiTheme="majorBidi" w:hAnsiTheme="majorBidi" w:cstheme="majorBidi"/>
              </w:rPr>
              <w:t>ke</w:t>
            </w:r>
            <w:r w:rsidR="00F11659" w:rsidRPr="00E97DCE">
              <w:rPr>
                <w:rFonts w:asciiTheme="majorBidi" w:hAnsiTheme="majorBidi" w:cstheme="majorBidi"/>
              </w:rPr>
              <w:t>, proširenjem obuhvata primitaka koji se ne uzimaju u obzir pri utvrđivanju prava na osobni odbitak za uzdržavane članove</w:t>
            </w:r>
            <w:r w:rsidR="004A01A3" w:rsidRPr="00E97DCE">
              <w:rPr>
                <w:rFonts w:asciiTheme="majorBidi" w:hAnsiTheme="majorBidi" w:cstheme="majorBidi"/>
              </w:rPr>
              <w:t xml:space="preserve"> te</w:t>
            </w:r>
            <w:r w:rsidR="00F11659" w:rsidRPr="00E97DCE">
              <w:rPr>
                <w:rFonts w:asciiTheme="majorBidi" w:hAnsiTheme="majorBidi" w:cstheme="majorBidi"/>
              </w:rPr>
              <w:t xml:space="preserve"> ukidanjem dohotka od osiguranja</w:t>
            </w:r>
            <w:r w:rsidR="00091EDF" w:rsidRPr="00E97DCE">
              <w:rPr>
                <w:rFonts w:asciiTheme="majorBidi" w:hAnsiTheme="majorBidi" w:cstheme="majorBidi"/>
              </w:rPr>
              <w:t>.</w:t>
            </w:r>
            <w:r w:rsidR="004A01A3" w:rsidRPr="00E97DCE">
              <w:rPr>
                <w:rFonts w:asciiTheme="majorBidi" w:hAnsiTheme="majorBidi" w:cstheme="majorBidi"/>
              </w:rPr>
              <w:t xml:space="preserve"> </w:t>
            </w:r>
            <w:r w:rsidR="00F11659" w:rsidRPr="00E97DCE">
              <w:rPr>
                <w:rFonts w:asciiTheme="majorBidi" w:hAnsiTheme="majorBidi" w:cstheme="majorBidi"/>
              </w:rPr>
              <w:t>Proširenjem poreznog razreda, o</w:t>
            </w:r>
            <w:r w:rsidR="00091EDF" w:rsidRPr="00E97DCE">
              <w:rPr>
                <w:rFonts w:asciiTheme="majorBidi" w:hAnsiTheme="majorBidi" w:cstheme="majorBidi"/>
              </w:rPr>
              <w:t xml:space="preserve">sobama s višim dohotkom smanjene su porezne obveze, </w:t>
            </w:r>
            <w:r w:rsidR="00BE34D0" w:rsidRPr="00E97DCE">
              <w:rPr>
                <w:bCs/>
                <w:szCs w:val="24"/>
              </w:rPr>
              <w:t xml:space="preserve"> te im je </w:t>
            </w:r>
            <w:r w:rsidR="0042294D" w:rsidRPr="00E97DCE">
              <w:rPr>
                <w:bCs/>
                <w:szCs w:val="24"/>
              </w:rPr>
              <w:t>povećan raspoloživ</w:t>
            </w:r>
            <w:r w:rsidR="00BE34D0" w:rsidRPr="00E97DCE">
              <w:rPr>
                <w:bCs/>
                <w:szCs w:val="24"/>
              </w:rPr>
              <w:t>i</w:t>
            </w:r>
            <w:r w:rsidR="0042294D" w:rsidRPr="00E97DCE">
              <w:rPr>
                <w:bCs/>
                <w:szCs w:val="24"/>
              </w:rPr>
              <w:t xml:space="preserve"> doho</w:t>
            </w:r>
            <w:r w:rsidR="00BE34D0" w:rsidRPr="00E97DCE">
              <w:rPr>
                <w:bCs/>
                <w:szCs w:val="24"/>
              </w:rPr>
              <w:t>dak.</w:t>
            </w:r>
            <w:r w:rsidR="0042294D" w:rsidRPr="00E97DCE">
              <w:rPr>
                <w:bCs/>
                <w:szCs w:val="24"/>
              </w:rPr>
              <w:t xml:space="preserve"> </w:t>
            </w:r>
          </w:p>
          <w:p w14:paraId="0773F91C" w14:textId="77777777" w:rsidR="00BE34D0" w:rsidRPr="00E97DCE" w:rsidRDefault="00BE34D0" w:rsidP="00955E89">
            <w:pPr>
              <w:jc w:val="both"/>
              <w:rPr>
                <w:bCs/>
                <w:szCs w:val="24"/>
              </w:rPr>
            </w:pPr>
          </w:p>
          <w:p w14:paraId="388514A3" w14:textId="4E11443F" w:rsidR="0042294D" w:rsidRPr="00E97DCE" w:rsidRDefault="00BE34D0" w:rsidP="00955E89">
            <w:pPr>
              <w:jc w:val="both"/>
              <w:rPr>
                <w:bCs/>
                <w:szCs w:val="24"/>
              </w:rPr>
            </w:pPr>
            <w:r w:rsidRPr="00E97DCE">
              <w:rPr>
                <w:bCs/>
                <w:szCs w:val="24"/>
              </w:rPr>
              <w:t xml:space="preserve">Tako </w:t>
            </w:r>
            <w:r w:rsidR="00955E89" w:rsidRPr="00E97DCE">
              <w:rPr>
                <w:bCs/>
                <w:szCs w:val="24"/>
              </w:rPr>
              <w:t>primjerice</w:t>
            </w:r>
            <w:r w:rsidRPr="00E97DCE">
              <w:rPr>
                <w:bCs/>
                <w:szCs w:val="24"/>
              </w:rPr>
              <w:t>,</w:t>
            </w:r>
            <w:r w:rsidR="00955E89" w:rsidRPr="00E97DCE">
              <w:rPr>
                <w:bCs/>
                <w:szCs w:val="24"/>
              </w:rPr>
              <w:t xml:space="preserve"> </w:t>
            </w:r>
            <w:r w:rsidR="0042294D" w:rsidRPr="00E97DCE">
              <w:rPr>
                <w:bCs/>
                <w:szCs w:val="24"/>
              </w:rPr>
              <w:t>poreznom obvezniku sa mjesečnom bruto plaćom od 30.000,00 kn koji nema uzdržavanih članova niti invalidnost neto-plaća poveća</w:t>
            </w:r>
            <w:r w:rsidR="00955E89" w:rsidRPr="00E97DCE">
              <w:rPr>
                <w:bCs/>
                <w:szCs w:val="24"/>
              </w:rPr>
              <w:t>la</w:t>
            </w:r>
            <w:r w:rsidR="0042294D" w:rsidRPr="00E97DCE">
              <w:rPr>
                <w:bCs/>
                <w:szCs w:val="24"/>
              </w:rPr>
              <w:t xml:space="preserve"> za 382,32 </w:t>
            </w:r>
            <w:r w:rsidR="00955E89" w:rsidRPr="00E97DCE">
              <w:rPr>
                <w:bCs/>
                <w:szCs w:val="24"/>
              </w:rPr>
              <w:t>kn, a p</w:t>
            </w:r>
            <w:r w:rsidR="0042294D" w:rsidRPr="00E97DCE">
              <w:rPr>
                <w:bCs/>
                <w:szCs w:val="24"/>
              </w:rPr>
              <w:t xml:space="preserve">oreznom obvezniku koji ostvaruje mjesečnu bruto plaću od 35.000,00 kn neto-plaća </w:t>
            </w:r>
            <w:r w:rsidR="00955E89" w:rsidRPr="00E97DCE">
              <w:rPr>
                <w:bCs/>
                <w:szCs w:val="24"/>
              </w:rPr>
              <w:t>se</w:t>
            </w:r>
            <w:r w:rsidR="0042294D" w:rsidRPr="00E97DCE">
              <w:rPr>
                <w:bCs/>
                <w:szCs w:val="24"/>
              </w:rPr>
              <w:t xml:space="preserve"> poveć</w:t>
            </w:r>
            <w:r w:rsidR="00955E89" w:rsidRPr="00E97DCE">
              <w:rPr>
                <w:bCs/>
                <w:szCs w:val="24"/>
              </w:rPr>
              <w:t>ala</w:t>
            </w:r>
            <w:r w:rsidR="0042294D" w:rsidRPr="00E97DCE">
              <w:rPr>
                <w:bCs/>
                <w:szCs w:val="24"/>
              </w:rPr>
              <w:t xml:space="preserve"> za 948,72 kn</w:t>
            </w:r>
            <w:r w:rsidRPr="00E97DCE">
              <w:rPr>
                <w:bCs/>
                <w:szCs w:val="24"/>
              </w:rPr>
              <w:t xml:space="preserve"> (kao što je to prikazano u primjerima pod točkom 2.1.).</w:t>
            </w:r>
            <w:r w:rsidR="00955E89" w:rsidRPr="00E97DCE">
              <w:rPr>
                <w:bCs/>
                <w:szCs w:val="24"/>
              </w:rPr>
              <w:t xml:space="preserve"> Dakle, osobama koje </w:t>
            </w:r>
            <w:r w:rsidR="00955E89" w:rsidRPr="00E97DCE">
              <w:rPr>
                <w:bCs/>
                <w:szCs w:val="24"/>
              </w:rPr>
              <w:lastRenderedPageBreak/>
              <w:t xml:space="preserve">ostvaruju veće iznose dohotka raste i neto </w:t>
            </w:r>
            <w:r w:rsidR="00A57D87" w:rsidRPr="00E97DCE">
              <w:rPr>
                <w:bCs/>
                <w:szCs w:val="24"/>
              </w:rPr>
              <w:t>-</w:t>
            </w:r>
            <w:r w:rsidR="00955E89" w:rsidRPr="00E97DCE">
              <w:rPr>
                <w:bCs/>
                <w:szCs w:val="24"/>
              </w:rPr>
              <w:t xml:space="preserve"> plaća  što </w:t>
            </w:r>
            <w:r w:rsidR="00A57D87" w:rsidRPr="00E97DCE">
              <w:rPr>
                <w:bCs/>
                <w:szCs w:val="24"/>
              </w:rPr>
              <w:t xml:space="preserve"> je </w:t>
            </w:r>
            <w:r w:rsidR="00955E89" w:rsidRPr="00E97DCE">
              <w:rPr>
                <w:bCs/>
                <w:szCs w:val="24"/>
              </w:rPr>
              <w:t xml:space="preserve">posljedično </w:t>
            </w:r>
            <w:r w:rsidR="00A57D87" w:rsidRPr="00E97DCE">
              <w:rPr>
                <w:bCs/>
                <w:szCs w:val="24"/>
              </w:rPr>
              <w:t>utjecalo</w:t>
            </w:r>
            <w:r w:rsidR="00955E89" w:rsidRPr="00E97DCE">
              <w:rPr>
                <w:bCs/>
                <w:szCs w:val="24"/>
              </w:rPr>
              <w:t xml:space="preserve"> </w:t>
            </w:r>
            <w:r w:rsidR="00A57D87" w:rsidRPr="00E97DCE">
              <w:rPr>
                <w:bCs/>
                <w:szCs w:val="24"/>
              </w:rPr>
              <w:t xml:space="preserve">na </w:t>
            </w:r>
            <w:r w:rsidR="00955E89" w:rsidRPr="00E97DCE">
              <w:rPr>
                <w:bCs/>
                <w:szCs w:val="24"/>
              </w:rPr>
              <w:t>povećanj</w:t>
            </w:r>
            <w:r w:rsidR="00A57D87" w:rsidRPr="00E97DCE">
              <w:rPr>
                <w:bCs/>
                <w:szCs w:val="24"/>
              </w:rPr>
              <w:t>e</w:t>
            </w:r>
            <w:r w:rsidR="00955E89" w:rsidRPr="00E97DCE">
              <w:rPr>
                <w:bCs/>
                <w:szCs w:val="24"/>
              </w:rPr>
              <w:t xml:space="preserve"> potrošnje i samim tim pozitivno na gospodarski rast.</w:t>
            </w:r>
          </w:p>
          <w:p w14:paraId="09596CCF" w14:textId="77777777" w:rsidR="00BE34D0" w:rsidRPr="00E97DCE" w:rsidRDefault="00BE34D0" w:rsidP="00955E89">
            <w:pPr>
              <w:jc w:val="both"/>
              <w:rPr>
                <w:bCs/>
                <w:szCs w:val="24"/>
              </w:rPr>
            </w:pPr>
          </w:p>
          <w:p w14:paraId="7CA37496" w14:textId="79EF4A45" w:rsidR="00BE34D0" w:rsidRPr="00E97DCE" w:rsidRDefault="00BE34D0" w:rsidP="00BE34D0">
            <w:pPr>
              <w:jc w:val="both"/>
              <w:rPr>
                <w:bCs/>
                <w:color w:val="FF0000"/>
                <w:szCs w:val="24"/>
              </w:rPr>
            </w:pPr>
            <w:r w:rsidRPr="00E97DCE">
              <w:rPr>
                <w:bCs/>
                <w:szCs w:val="24"/>
              </w:rPr>
              <w:t>Time se potaknula konkurentnost hrvatskih radnika na tržištu rada osobito u sektoru visokih tehnologija, koji u pravilu</w:t>
            </w:r>
            <w:r w:rsidRPr="00E97DCE">
              <w:t xml:space="preserve"> </w:t>
            </w:r>
            <w:r w:rsidRPr="00E97DCE">
              <w:rPr>
                <w:bCs/>
                <w:szCs w:val="24"/>
              </w:rPr>
              <w:t>ostvaruju veće iznose dohotka, a povećanje neto – plaća je posljedično utjecalo na uvećanu potrošnju i gospodarski rast.</w:t>
            </w:r>
          </w:p>
        </w:tc>
      </w:tr>
      <w:tr w:rsidR="000213BB" w:rsidRPr="00E97DCE" w14:paraId="2AFE728B" w14:textId="77777777" w:rsidTr="00EF473F">
        <w:tc>
          <w:tcPr>
            <w:tcW w:w="851" w:type="dxa"/>
          </w:tcPr>
          <w:p w14:paraId="4CC84AF3" w14:textId="77777777" w:rsidR="000213BB" w:rsidRPr="00E97DCE" w:rsidRDefault="000213BB" w:rsidP="00FD4E84">
            <w:r w:rsidRPr="00E97DCE">
              <w:lastRenderedPageBreak/>
              <w:t>3.2.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3AF02D16" w14:textId="77777777" w:rsidR="000213BB" w:rsidRPr="00E97DCE" w:rsidRDefault="000213BB" w:rsidP="00FD4E84">
            <w:pPr>
              <w:rPr>
                <w:b/>
              </w:rPr>
            </w:pPr>
            <w:r w:rsidRPr="00E97DCE">
              <w:rPr>
                <w:b/>
              </w:rPr>
              <w:t xml:space="preserve">Analiza učinaka primjene Zakona na zaštitu tržišnog natjecanja </w:t>
            </w:r>
          </w:p>
        </w:tc>
      </w:tr>
      <w:tr w:rsidR="000213BB" w:rsidRPr="00E97DCE" w14:paraId="68E7BC94" w14:textId="77777777" w:rsidTr="00EF473F">
        <w:tc>
          <w:tcPr>
            <w:tcW w:w="851" w:type="dxa"/>
          </w:tcPr>
          <w:p w14:paraId="7E7D1842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20188D0C" w14:textId="77777777" w:rsidR="00C57BF0" w:rsidRPr="00E97DCE" w:rsidRDefault="00C2697B" w:rsidP="00944AC4">
            <w:pPr>
              <w:jc w:val="both"/>
            </w:pPr>
            <w:r w:rsidRPr="00E97DCE">
              <w:t>Primjena ovog Z</w:t>
            </w:r>
            <w:r w:rsidR="00A00D03" w:rsidRPr="00E97DCE">
              <w:t>akona nije rezultirala učincima na zaštitu tržišnog natjecanja.</w:t>
            </w:r>
          </w:p>
        </w:tc>
      </w:tr>
      <w:tr w:rsidR="000213BB" w:rsidRPr="00E97DCE" w14:paraId="7064B1EA" w14:textId="77777777" w:rsidTr="00EF473F">
        <w:tc>
          <w:tcPr>
            <w:tcW w:w="851" w:type="dxa"/>
          </w:tcPr>
          <w:p w14:paraId="1D3A74F3" w14:textId="77777777" w:rsidR="000213BB" w:rsidRPr="00E97DCE" w:rsidRDefault="000213BB" w:rsidP="00FD4E84">
            <w:r w:rsidRPr="00E97DCE">
              <w:t>3.3.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66A5596E" w14:textId="77777777" w:rsidR="000213BB" w:rsidRPr="00E97DCE" w:rsidRDefault="000213BB" w:rsidP="00FD4E84">
            <w:r w:rsidRPr="00E97DCE">
              <w:rPr>
                <w:b/>
              </w:rPr>
              <w:t>Analiza socijalnih učinaka primjene Zakona</w:t>
            </w:r>
          </w:p>
        </w:tc>
      </w:tr>
      <w:tr w:rsidR="000213BB" w:rsidRPr="00E97DCE" w14:paraId="083EDAA9" w14:textId="77777777" w:rsidTr="00EF473F">
        <w:tc>
          <w:tcPr>
            <w:tcW w:w="851" w:type="dxa"/>
          </w:tcPr>
          <w:p w14:paraId="620A5FDB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59F43269" w14:textId="178F1B0B" w:rsidR="0093573D" w:rsidRPr="00E97DCE" w:rsidRDefault="0017067D" w:rsidP="000477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7DCE">
              <w:rPr>
                <w:rFonts w:asciiTheme="majorBidi" w:hAnsiTheme="majorBidi" w:cstheme="majorBidi"/>
              </w:rPr>
              <w:t xml:space="preserve">Primjena Zakona </w:t>
            </w:r>
            <w:r w:rsidR="003E5997" w:rsidRPr="00E97DCE">
              <w:rPr>
                <w:rFonts w:asciiTheme="majorBidi" w:hAnsiTheme="majorBidi" w:cstheme="majorBidi"/>
              </w:rPr>
              <w:t xml:space="preserve">predstavlja jednu od mjera koja ima pozitivan utjecaj na </w:t>
            </w:r>
            <w:r w:rsidR="001B648F" w:rsidRPr="00E97DCE">
              <w:rPr>
                <w:rFonts w:asciiTheme="majorBidi" w:hAnsiTheme="majorBidi" w:cstheme="majorBidi"/>
              </w:rPr>
              <w:t>olakšavanje položaja obitelji s djecom.</w:t>
            </w:r>
            <w:r w:rsidR="003E5997" w:rsidRPr="00E97DCE">
              <w:rPr>
                <w:rFonts w:asciiTheme="majorBidi" w:hAnsiTheme="majorBidi" w:cstheme="majorBidi"/>
              </w:rPr>
              <w:t xml:space="preserve"> </w:t>
            </w:r>
            <w:r w:rsidR="002350A1" w:rsidRPr="00E97DCE">
              <w:rPr>
                <w:rFonts w:asciiTheme="majorBidi" w:hAnsiTheme="majorBidi" w:cstheme="majorBidi"/>
              </w:rPr>
              <w:t>Kao što je već ranije spomenut</w:t>
            </w:r>
            <w:r w:rsidR="00A57183" w:rsidRPr="00E97DCE">
              <w:rPr>
                <w:rFonts w:asciiTheme="majorBidi" w:hAnsiTheme="majorBidi" w:cstheme="majorBidi"/>
              </w:rPr>
              <w:t>o</w:t>
            </w:r>
            <w:r w:rsidR="002350A1" w:rsidRPr="00E97DCE">
              <w:rPr>
                <w:rFonts w:asciiTheme="majorBidi" w:hAnsiTheme="majorBidi" w:cstheme="majorBidi"/>
              </w:rPr>
              <w:t>,</w:t>
            </w:r>
            <w:r w:rsidR="003E5997" w:rsidRPr="00E97DCE">
              <w:rPr>
                <w:rFonts w:asciiTheme="majorBidi" w:hAnsiTheme="majorBidi" w:cstheme="majorBidi"/>
              </w:rPr>
              <w:t xml:space="preserve"> </w:t>
            </w:r>
            <w:r w:rsidR="00183ED0" w:rsidRPr="00E97DCE">
              <w:rPr>
                <w:rFonts w:asciiTheme="majorBidi" w:hAnsiTheme="majorBidi" w:cstheme="majorBidi"/>
              </w:rPr>
              <w:t>određeni primici su izuzeti od cenzusa za uzdržavanog člana</w:t>
            </w:r>
            <w:r w:rsidR="000477BD" w:rsidRPr="00E97DCE">
              <w:rPr>
                <w:rFonts w:asciiTheme="majorBidi" w:hAnsiTheme="majorBidi" w:cstheme="majorBidi"/>
              </w:rPr>
              <w:t>. Naime, prema zakonskom rješenju do stupanja navedenih izmjena, mladi ljudi, studenti, primarno slabijeg imovnog stanja su nerijetko odustajali od određenih programa iz razloga jer nisu mogli biti uzdržavani članovi svojim roditeljima.</w:t>
            </w:r>
            <w:r w:rsidR="000477BD" w:rsidRPr="00E97DCE">
              <w:rPr>
                <w:szCs w:val="24"/>
              </w:rPr>
              <w:t xml:space="preserve"> U prilog navedenom je i mjera o proširivanju odredbi o uzdržavanim članovima odnosno priznavanju prava na poreznu olakšicu za poočima i pomajku te obrnuto.</w:t>
            </w:r>
          </w:p>
        </w:tc>
      </w:tr>
      <w:tr w:rsidR="000213BB" w:rsidRPr="00E97DCE" w14:paraId="283763C9" w14:textId="77777777" w:rsidTr="00EF473F">
        <w:tc>
          <w:tcPr>
            <w:tcW w:w="851" w:type="dxa"/>
          </w:tcPr>
          <w:p w14:paraId="6E574A2D" w14:textId="77777777" w:rsidR="000213BB" w:rsidRPr="00E97DCE" w:rsidRDefault="000213BB" w:rsidP="00FD4E84">
            <w:r w:rsidRPr="00E97DCE">
              <w:t>3.4.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5C596D0" w14:textId="77777777" w:rsidR="000213BB" w:rsidRPr="00E97DCE" w:rsidRDefault="000213BB" w:rsidP="00FD4E84">
            <w:pPr>
              <w:rPr>
                <w:b/>
              </w:rPr>
            </w:pPr>
            <w:r w:rsidRPr="00E97DCE">
              <w:rPr>
                <w:b/>
              </w:rPr>
              <w:t>Analiza učinaka primjene Zakona na rad i tržište rada</w:t>
            </w:r>
          </w:p>
        </w:tc>
      </w:tr>
      <w:tr w:rsidR="000213BB" w:rsidRPr="00E97DCE" w14:paraId="2B9D1C54" w14:textId="77777777" w:rsidTr="00EF473F">
        <w:tc>
          <w:tcPr>
            <w:tcW w:w="851" w:type="dxa"/>
          </w:tcPr>
          <w:p w14:paraId="6FFBCEAA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69F65EBB" w14:textId="5D2935AC" w:rsidR="000F77A8" w:rsidRPr="00E97DCE" w:rsidRDefault="002B6435" w:rsidP="00D60926">
            <w:pPr>
              <w:jc w:val="both"/>
              <w:rPr>
                <w:rFonts w:asciiTheme="majorBidi" w:hAnsiTheme="majorBidi" w:cstheme="majorBidi"/>
              </w:rPr>
            </w:pPr>
            <w:r w:rsidRPr="00E97DCE">
              <w:rPr>
                <w:rFonts w:asciiTheme="majorBidi" w:hAnsiTheme="majorBidi" w:cstheme="majorBidi"/>
              </w:rPr>
              <w:t xml:space="preserve">Rezultati donošenja </w:t>
            </w:r>
            <w:r w:rsidR="00B94962" w:rsidRPr="00E97DCE">
              <w:rPr>
                <w:rFonts w:asciiTheme="majorBidi" w:hAnsiTheme="majorBidi" w:cstheme="majorBidi"/>
              </w:rPr>
              <w:t>izmjena i dopuna</w:t>
            </w:r>
            <w:r w:rsidRPr="00E97DCE">
              <w:rPr>
                <w:rFonts w:asciiTheme="majorBidi" w:hAnsiTheme="majorBidi" w:cstheme="majorBidi"/>
              </w:rPr>
              <w:t xml:space="preserve"> Zakona o porezu na dohodak očituju se u smanjenju ukupnog poreznog opterećenja za sve porezne obveznike</w:t>
            </w:r>
            <w:r w:rsidR="00491172" w:rsidRPr="00E97DCE">
              <w:rPr>
                <w:rFonts w:asciiTheme="majorBidi" w:hAnsiTheme="majorBidi" w:cstheme="majorBidi"/>
              </w:rPr>
              <w:t xml:space="preserve">, </w:t>
            </w:r>
            <w:r w:rsidR="00BE1034" w:rsidRPr="00E97DCE">
              <w:rPr>
                <w:rFonts w:asciiTheme="majorBidi" w:hAnsiTheme="majorBidi" w:cstheme="majorBidi"/>
              </w:rPr>
              <w:t xml:space="preserve">a </w:t>
            </w:r>
            <w:r w:rsidR="00491172" w:rsidRPr="00E97DCE">
              <w:rPr>
                <w:rFonts w:asciiTheme="majorBidi" w:hAnsiTheme="majorBidi" w:cstheme="majorBidi"/>
              </w:rPr>
              <w:t>posebno</w:t>
            </w:r>
            <w:r w:rsidR="00BE1034" w:rsidRPr="00E97DCE">
              <w:rPr>
                <w:rFonts w:asciiTheme="majorBidi" w:hAnsiTheme="majorBidi" w:cstheme="majorBidi"/>
              </w:rPr>
              <w:t xml:space="preserve"> za</w:t>
            </w:r>
            <w:r w:rsidR="00491172" w:rsidRPr="00E97DCE">
              <w:rPr>
                <w:rFonts w:asciiTheme="majorBidi" w:hAnsiTheme="majorBidi" w:cstheme="majorBidi"/>
              </w:rPr>
              <w:t xml:space="preserve"> one koji spadaju u više dohodovne razrede</w:t>
            </w:r>
            <w:r w:rsidR="00BE1034" w:rsidRPr="00E97DCE">
              <w:rPr>
                <w:rFonts w:asciiTheme="majorBidi" w:hAnsiTheme="majorBidi" w:cstheme="majorBidi"/>
              </w:rPr>
              <w:t xml:space="preserve">. Time se potiče </w:t>
            </w:r>
            <w:r w:rsidR="00516CD3" w:rsidRPr="00E97DCE">
              <w:rPr>
                <w:rFonts w:asciiTheme="majorBidi" w:hAnsiTheme="majorBidi" w:cstheme="majorBidi"/>
              </w:rPr>
              <w:t xml:space="preserve">konkurentnost visokoobrazovanih </w:t>
            </w:r>
            <w:r w:rsidR="00BE1034" w:rsidRPr="00E97DCE">
              <w:rPr>
                <w:rFonts w:asciiTheme="majorBidi" w:hAnsiTheme="majorBidi" w:cstheme="majorBidi"/>
              </w:rPr>
              <w:t>hrvatskih radnika na tržištu rada</w:t>
            </w:r>
            <w:r w:rsidR="00516CD3" w:rsidRPr="00E97DCE">
              <w:rPr>
                <w:rFonts w:asciiTheme="majorBidi" w:hAnsiTheme="majorBidi" w:cstheme="majorBidi"/>
              </w:rPr>
              <w:t>, a</w:t>
            </w:r>
            <w:r w:rsidR="00BE1034" w:rsidRPr="00E97DCE">
              <w:rPr>
                <w:rFonts w:asciiTheme="majorBidi" w:hAnsiTheme="majorBidi" w:cstheme="majorBidi"/>
              </w:rPr>
              <w:t xml:space="preserve"> osobito u sektoru visokih tehnologija. Također, stvoreni su i povoljniji uvjeti za hrvatska društva jer im je omogućeno zadržati stručnu radnu snagu u Republici Hrvatskoj odnosno poreznim rasterećenjem izaslanih radnika štiti se i razvija hrvatska izvozna industrija. </w:t>
            </w:r>
            <w:r w:rsidR="004A01A3" w:rsidRPr="00E97DCE">
              <w:rPr>
                <w:rFonts w:asciiTheme="majorBidi" w:hAnsiTheme="majorBidi" w:cstheme="majorBidi"/>
              </w:rPr>
              <w:t xml:space="preserve"> </w:t>
            </w:r>
            <w:r w:rsidR="000F77A8" w:rsidRPr="00E97DCE">
              <w:rPr>
                <w:rFonts w:asciiTheme="majorBidi" w:hAnsiTheme="majorBidi" w:cstheme="majorBidi"/>
              </w:rPr>
              <w:t xml:space="preserve">Povećanjem </w:t>
            </w:r>
            <w:r w:rsidR="00973092" w:rsidRPr="00E97DCE">
              <w:rPr>
                <w:rFonts w:asciiTheme="majorBidi" w:hAnsiTheme="majorBidi" w:cstheme="majorBidi"/>
              </w:rPr>
              <w:t>poreznih razreda</w:t>
            </w:r>
            <w:r w:rsidR="00EB2F06" w:rsidRPr="00E97DCE">
              <w:rPr>
                <w:rFonts w:asciiTheme="majorBidi" w:hAnsiTheme="majorBidi" w:cstheme="majorBidi"/>
              </w:rPr>
              <w:t>,</w:t>
            </w:r>
            <w:r w:rsidR="00973092" w:rsidRPr="00E97DCE">
              <w:rPr>
                <w:rFonts w:asciiTheme="majorBidi" w:hAnsiTheme="majorBidi" w:cstheme="majorBidi"/>
              </w:rPr>
              <w:t xml:space="preserve"> </w:t>
            </w:r>
            <w:r w:rsidR="00084AF2" w:rsidRPr="00E97DCE">
              <w:rPr>
                <w:rFonts w:asciiTheme="majorBidi" w:hAnsiTheme="majorBidi" w:cstheme="majorBidi"/>
              </w:rPr>
              <w:t xml:space="preserve">na poreznu osnovicu </w:t>
            </w:r>
            <w:r w:rsidR="00973092" w:rsidRPr="00E97DCE">
              <w:rPr>
                <w:rFonts w:asciiTheme="majorBidi" w:hAnsiTheme="majorBidi" w:cstheme="majorBidi"/>
              </w:rPr>
              <w:t xml:space="preserve">iznad </w:t>
            </w:r>
            <w:r w:rsidR="00F11659" w:rsidRPr="00E97DCE">
              <w:rPr>
                <w:rFonts w:asciiTheme="majorBidi" w:hAnsiTheme="majorBidi" w:cstheme="majorBidi"/>
              </w:rPr>
              <w:t>360</w:t>
            </w:r>
            <w:r w:rsidR="00973092" w:rsidRPr="00E97DCE">
              <w:rPr>
                <w:rFonts w:asciiTheme="majorBidi" w:hAnsiTheme="majorBidi" w:cstheme="majorBidi"/>
              </w:rPr>
              <w:t xml:space="preserve">.000,00 kn </w:t>
            </w:r>
            <w:r w:rsidR="00084AF2" w:rsidRPr="00E97DCE">
              <w:rPr>
                <w:rFonts w:asciiTheme="majorBidi" w:hAnsiTheme="majorBidi" w:cstheme="majorBidi"/>
              </w:rPr>
              <w:t xml:space="preserve">primjenjuje se </w:t>
            </w:r>
            <w:r w:rsidR="00FE7480" w:rsidRPr="00E97DCE">
              <w:rPr>
                <w:rFonts w:asciiTheme="majorBidi" w:hAnsiTheme="majorBidi" w:cstheme="majorBidi"/>
              </w:rPr>
              <w:t>porezn</w:t>
            </w:r>
            <w:r w:rsidR="00A57183" w:rsidRPr="00E97DCE">
              <w:rPr>
                <w:rFonts w:asciiTheme="majorBidi" w:hAnsiTheme="majorBidi" w:cstheme="majorBidi"/>
              </w:rPr>
              <w:t xml:space="preserve">a </w:t>
            </w:r>
            <w:r w:rsidR="00FE7480" w:rsidRPr="00E97DCE">
              <w:rPr>
                <w:rFonts w:asciiTheme="majorBidi" w:hAnsiTheme="majorBidi" w:cstheme="majorBidi"/>
              </w:rPr>
              <w:t>stop</w:t>
            </w:r>
            <w:r w:rsidR="00A57183" w:rsidRPr="00E97DCE">
              <w:rPr>
                <w:rFonts w:asciiTheme="majorBidi" w:hAnsiTheme="majorBidi" w:cstheme="majorBidi"/>
              </w:rPr>
              <w:t xml:space="preserve">a </w:t>
            </w:r>
            <w:r w:rsidR="00084AF2" w:rsidRPr="00E97DCE">
              <w:rPr>
                <w:rFonts w:asciiTheme="majorBidi" w:hAnsiTheme="majorBidi" w:cstheme="majorBidi"/>
              </w:rPr>
              <w:t>od</w:t>
            </w:r>
            <w:r w:rsidR="00FE7480" w:rsidRPr="00E97DCE">
              <w:rPr>
                <w:rFonts w:asciiTheme="majorBidi" w:hAnsiTheme="majorBidi" w:cstheme="majorBidi"/>
              </w:rPr>
              <w:t xml:space="preserve"> 36% te je postignuto </w:t>
            </w:r>
            <w:r w:rsidR="00973092" w:rsidRPr="00E97DCE">
              <w:rPr>
                <w:rFonts w:asciiTheme="majorBidi" w:hAnsiTheme="majorBidi" w:cstheme="majorBidi"/>
              </w:rPr>
              <w:t>porezno rasterećenje radnika s višim primanjima.</w:t>
            </w:r>
          </w:p>
        </w:tc>
      </w:tr>
      <w:tr w:rsidR="000213BB" w:rsidRPr="00E97DCE" w14:paraId="47AD5580" w14:textId="77777777" w:rsidTr="00EF473F">
        <w:tc>
          <w:tcPr>
            <w:tcW w:w="851" w:type="dxa"/>
          </w:tcPr>
          <w:p w14:paraId="455487AD" w14:textId="77777777" w:rsidR="000213BB" w:rsidRPr="00E97DCE" w:rsidRDefault="000213BB" w:rsidP="00FD4E84">
            <w:r w:rsidRPr="00E97DCE">
              <w:t>3.5.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6E5C46C" w14:textId="77777777" w:rsidR="000213BB" w:rsidRPr="00E97DCE" w:rsidRDefault="000213BB" w:rsidP="00FD4E84">
            <w:pPr>
              <w:rPr>
                <w:b/>
              </w:rPr>
            </w:pPr>
            <w:r w:rsidRPr="00E97DCE">
              <w:rPr>
                <w:b/>
              </w:rPr>
              <w:t>Analiza učinaka primjene Zakona na zaštitu okoliša</w:t>
            </w:r>
          </w:p>
        </w:tc>
      </w:tr>
      <w:tr w:rsidR="000213BB" w:rsidRPr="00E97DCE" w14:paraId="021D6714" w14:textId="77777777" w:rsidTr="00EF473F">
        <w:tc>
          <w:tcPr>
            <w:tcW w:w="851" w:type="dxa"/>
          </w:tcPr>
          <w:p w14:paraId="5FB5E96A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60C86025" w14:textId="77777777" w:rsidR="00C57BF0" w:rsidRPr="00E97DCE" w:rsidRDefault="00C2697B" w:rsidP="00944AC4">
            <w:pPr>
              <w:jc w:val="both"/>
            </w:pPr>
            <w:r w:rsidRPr="00E97DCE">
              <w:t>Primjena ovog Z</w:t>
            </w:r>
            <w:r w:rsidR="002F79E9" w:rsidRPr="00E97DCE">
              <w:t>akona nije rezultirala učincima na zaštitu okoliša.</w:t>
            </w:r>
          </w:p>
        </w:tc>
      </w:tr>
      <w:tr w:rsidR="000213BB" w:rsidRPr="00E97DCE" w14:paraId="08A93876" w14:textId="77777777" w:rsidTr="00EF473F">
        <w:tc>
          <w:tcPr>
            <w:tcW w:w="851" w:type="dxa"/>
          </w:tcPr>
          <w:p w14:paraId="3D081281" w14:textId="77777777" w:rsidR="000213BB" w:rsidRPr="00E97DCE" w:rsidRDefault="000213BB" w:rsidP="00FD4E84">
            <w:r w:rsidRPr="00E97DCE">
              <w:t>3.6.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79BAA718" w14:textId="77777777" w:rsidR="000213BB" w:rsidRPr="00E97DCE" w:rsidRDefault="000213BB" w:rsidP="00FD4E84">
            <w:pPr>
              <w:rPr>
                <w:b/>
              </w:rPr>
            </w:pPr>
            <w:r w:rsidRPr="00E97DCE">
              <w:rPr>
                <w:b/>
              </w:rPr>
              <w:t>Analiza učinaka primjene Zakona na zaštitu ljudskih prava</w:t>
            </w:r>
          </w:p>
        </w:tc>
      </w:tr>
      <w:tr w:rsidR="000213BB" w:rsidRPr="00E97DCE" w14:paraId="2E00D3F8" w14:textId="77777777" w:rsidTr="00EF473F">
        <w:tc>
          <w:tcPr>
            <w:tcW w:w="851" w:type="dxa"/>
          </w:tcPr>
          <w:p w14:paraId="5EE7BA57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7AE493A3" w14:textId="77777777" w:rsidR="00C57BF0" w:rsidRPr="00E97DCE" w:rsidRDefault="00C2697B" w:rsidP="00944AC4">
            <w:pPr>
              <w:jc w:val="both"/>
            </w:pPr>
            <w:r w:rsidRPr="00E97DCE">
              <w:t>Primjena ovog Z</w:t>
            </w:r>
            <w:r w:rsidR="002F79E9" w:rsidRPr="00E97DCE">
              <w:t>akona nije rezultirala učincima na zaštitu ljudskih prava.</w:t>
            </w:r>
          </w:p>
        </w:tc>
      </w:tr>
      <w:tr w:rsidR="000213BB" w:rsidRPr="00E97DCE" w14:paraId="54D2825D" w14:textId="77777777" w:rsidTr="00EF473F">
        <w:tc>
          <w:tcPr>
            <w:tcW w:w="851" w:type="dxa"/>
          </w:tcPr>
          <w:p w14:paraId="70D09F64" w14:textId="77777777" w:rsidR="000213BB" w:rsidRPr="00E97DCE" w:rsidRDefault="000213BB" w:rsidP="00FD4E84">
            <w:r w:rsidRPr="00E97DCE"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0E7FB86A" w14:textId="77777777" w:rsidR="000213BB" w:rsidRPr="00E97DCE" w:rsidRDefault="000213BB" w:rsidP="00FD4E84">
            <w:pPr>
              <w:rPr>
                <w:b/>
              </w:rPr>
            </w:pPr>
            <w:r w:rsidRPr="00E97DCE">
              <w:rPr>
                <w:b/>
              </w:rPr>
              <w:t>SAVJETOVANJE I KONZULTACIJE</w:t>
            </w:r>
          </w:p>
        </w:tc>
      </w:tr>
      <w:tr w:rsidR="000213BB" w:rsidRPr="00E97DCE" w14:paraId="5BFF78AC" w14:textId="77777777" w:rsidTr="00060463">
        <w:trPr>
          <w:trHeight w:val="264"/>
        </w:trPr>
        <w:tc>
          <w:tcPr>
            <w:tcW w:w="851" w:type="dxa"/>
          </w:tcPr>
          <w:p w14:paraId="2AE00B0B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701475FE" w14:textId="77777777" w:rsidR="000213BB" w:rsidRPr="00E97DCE" w:rsidRDefault="000213BB" w:rsidP="00FD4E84">
            <w:pPr>
              <w:jc w:val="both"/>
              <w:rPr>
                <w:szCs w:val="24"/>
              </w:rPr>
            </w:pPr>
          </w:p>
        </w:tc>
      </w:tr>
      <w:tr w:rsidR="000213BB" w:rsidRPr="00E97DCE" w14:paraId="27B4B005" w14:textId="77777777" w:rsidTr="00EF473F">
        <w:tc>
          <w:tcPr>
            <w:tcW w:w="851" w:type="dxa"/>
          </w:tcPr>
          <w:p w14:paraId="72C551CC" w14:textId="77777777" w:rsidR="000213BB" w:rsidRPr="00E97DCE" w:rsidRDefault="000213BB" w:rsidP="00FD4E84">
            <w:r w:rsidRPr="00E97DCE">
              <w:t>5.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16DFEDDB" w14:textId="77777777" w:rsidR="000213BB" w:rsidRPr="00E97DCE" w:rsidRDefault="000213BB" w:rsidP="00FD4E84">
            <w:r w:rsidRPr="00E97DCE">
              <w:rPr>
                <w:b/>
              </w:rPr>
              <w:t>PREPORUKA O DALJNJEM POSTUPANJU</w:t>
            </w:r>
          </w:p>
        </w:tc>
      </w:tr>
      <w:tr w:rsidR="000213BB" w:rsidRPr="00E97DCE" w14:paraId="7701CC10" w14:textId="77777777" w:rsidTr="00E3246D">
        <w:trPr>
          <w:trHeight w:val="258"/>
        </w:trPr>
        <w:tc>
          <w:tcPr>
            <w:tcW w:w="851" w:type="dxa"/>
          </w:tcPr>
          <w:p w14:paraId="59D171E7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569D98F5" w14:textId="10FCE7B2" w:rsidR="000213BB" w:rsidRPr="00E97DCE" w:rsidRDefault="000213BB" w:rsidP="00E3246D">
            <w:pPr>
              <w:jc w:val="both"/>
            </w:pPr>
          </w:p>
        </w:tc>
      </w:tr>
      <w:tr w:rsidR="000213BB" w:rsidRPr="00E97DCE" w14:paraId="45FB4069" w14:textId="77777777" w:rsidTr="00EF473F">
        <w:tc>
          <w:tcPr>
            <w:tcW w:w="851" w:type="dxa"/>
          </w:tcPr>
          <w:p w14:paraId="1AFE7295" w14:textId="77777777" w:rsidR="000213BB" w:rsidRPr="00E97DCE" w:rsidRDefault="000213BB" w:rsidP="00FD4E84">
            <w:r w:rsidRPr="00E97DCE">
              <w:t xml:space="preserve">6.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2E7E7FD8" w14:textId="77777777" w:rsidR="000213BB" w:rsidRPr="00E97DCE" w:rsidRDefault="000213BB" w:rsidP="00FD4E84">
            <w:pPr>
              <w:jc w:val="both"/>
              <w:rPr>
                <w:b/>
              </w:rPr>
            </w:pPr>
            <w:r w:rsidRPr="00E97DCE">
              <w:rPr>
                <w:b/>
              </w:rPr>
              <w:t>PRILOZI</w:t>
            </w:r>
          </w:p>
        </w:tc>
      </w:tr>
      <w:tr w:rsidR="000213BB" w:rsidRPr="00E97DCE" w14:paraId="69844359" w14:textId="77777777" w:rsidTr="00EF473F">
        <w:tc>
          <w:tcPr>
            <w:tcW w:w="851" w:type="dxa"/>
          </w:tcPr>
          <w:p w14:paraId="52E2C5CC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60CB1227" w14:textId="77777777" w:rsidR="000213BB" w:rsidRPr="00E97DCE" w:rsidRDefault="000213BB" w:rsidP="00FD4E84">
            <w:pPr>
              <w:jc w:val="both"/>
              <w:rPr>
                <w:i/>
              </w:rPr>
            </w:pPr>
          </w:p>
        </w:tc>
      </w:tr>
      <w:tr w:rsidR="000213BB" w:rsidRPr="00E97DCE" w14:paraId="0580AB84" w14:textId="77777777" w:rsidTr="00EF473F">
        <w:tc>
          <w:tcPr>
            <w:tcW w:w="851" w:type="dxa"/>
          </w:tcPr>
          <w:p w14:paraId="12189DBA" w14:textId="77777777" w:rsidR="000213BB" w:rsidRPr="00E97DCE" w:rsidRDefault="000213BB" w:rsidP="00FD4E84">
            <w:r w:rsidRPr="00E97DCE">
              <w:t xml:space="preserve">7. </w:t>
            </w:r>
          </w:p>
        </w:tc>
        <w:tc>
          <w:tcPr>
            <w:tcW w:w="9072" w:type="dxa"/>
            <w:gridSpan w:val="3"/>
            <w:shd w:val="clear" w:color="auto" w:fill="auto"/>
          </w:tcPr>
          <w:p w14:paraId="5567ADBA" w14:textId="77777777" w:rsidR="000213BB" w:rsidRPr="00E97DCE" w:rsidRDefault="000213BB" w:rsidP="00FD4E84">
            <w:pPr>
              <w:rPr>
                <w:b/>
                <w:szCs w:val="24"/>
              </w:rPr>
            </w:pPr>
            <w:r w:rsidRPr="00E97DCE">
              <w:rPr>
                <w:b/>
                <w:szCs w:val="24"/>
              </w:rPr>
              <w:t>POTPIS ČELNIKA TIJELA</w:t>
            </w:r>
          </w:p>
        </w:tc>
      </w:tr>
      <w:tr w:rsidR="000213BB" w:rsidRPr="00E97DCE" w14:paraId="790B183D" w14:textId="77777777" w:rsidTr="003C5260">
        <w:trPr>
          <w:trHeight w:val="561"/>
        </w:trPr>
        <w:tc>
          <w:tcPr>
            <w:tcW w:w="851" w:type="dxa"/>
          </w:tcPr>
          <w:p w14:paraId="34408C7E" w14:textId="77777777" w:rsidR="000213BB" w:rsidRPr="00E97DCE" w:rsidRDefault="000213BB" w:rsidP="00FD4E84"/>
        </w:tc>
        <w:tc>
          <w:tcPr>
            <w:tcW w:w="9072" w:type="dxa"/>
            <w:gridSpan w:val="3"/>
            <w:shd w:val="clear" w:color="auto" w:fill="auto"/>
          </w:tcPr>
          <w:p w14:paraId="4D7A1394" w14:textId="5B99FA6D" w:rsidR="000213BB" w:rsidRPr="00E97DCE" w:rsidRDefault="000213BB" w:rsidP="00FD4E84">
            <w:pPr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>Potpis:</w:t>
            </w:r>
            <w:r w:rsidR="00674434" w:rsidRPr="00E97DCE">
              <w:rPr>
                <w:rFonts w:eastAsia="Times New Roman"/>
                <w:szCs w:val="24"/>
              </w:rPr>
              <w:t xml:space="preserve"> dr.sc. Zdravko Marić</w:t>
            </w:r>
          </w:p>
          <w:p w14:paraId="4B1829DE" w14:textId="5D79B17A" w:rsidR="000213BB" w:rsidRPr="00E97DCE" w:rsidRDefault="000213BB" w:rsidP="003C5260">
            <w:pPr>
              <w:jc w:val="both"/>
              <w:rPr>
                <w:rFonts w:eastAsia="Times New Roman"/>
                <w:szCs w:val="24"/>
              </w:rPr>
            </w:pPr>
            <w:r w:rsidRPr="00E97DCE">
              <w:rPr>
                <w:rFonts w:eastAsia="Times New Roman"/>
                <w:szCs w:val="24"/>
              </w:rPr>
              <w:t>Datum:</w:t>
            </w:r>
            <w:r w:rsidR="00EB2F06" w:rsidRPr="00E97DCE">
              <w:rPr>
                <w:rFonts w:eastAsia="Times New Roman"/>
                <w:szCs w:val="24"/>
              </w:rPr>
              <w:t xml:space="preserve"> </w:t>
            </w:r>
            <w:r w:rsidR="00E97DCE">
              <w:rPr>
                <w:rFonts w:eastAsia="Times New Roman"/>
                <w:szCs w:val="24"/>
              </w:rPr>
              <w:t>7. prosinca</w:t>
            </w:r>
            <w:r w:rsidR="00674434" w:rsidRPr="00E97DCE">
              <w:rPr>
                <w:rFonts w:eastAsia="Times New Roman"/>
                <w:szCs w:val="24"/>
              </w:rPr>
              <w:t xml:space="preserve"> 20</w:t>
            </w:r>
            <w:r w:rsidR="00484B95" w:rsidRPr="00E97DCE">
              <w:rPr>
                <w:rFonts w:eastAsia="Times New Roman"/>
                <w:szCs w:val="24"/>
              </w:rPr>
              <w:t>20</w:t>
            </w:r>
            <w:r w:rsidR="00674434" w:rsidRPr="00E97DCE">
              <w:rPr>
                <w:rFonts w:eastAsia="Times New Roman"/>
                <w:szCs w:val="24"/>
              </w:rPr>
              <w:t>.</w:t>
            </w:r>
          </w:p>
        </w:tc>
      </w:tr>
    </w:tbl>
    <w:p w14:paraId="71071C7A" w14:textId="7B078990" w:rsidR="00E97DCE" w:rsidRDefault="00E97DCE" w:rsidP="00E97DCE">
      <w:pPr>
        <w:suppressAutoHyphens/>
        <w:jc w:val="both"/>
      </w:pPr>
      <w:bookmarkStart w:id="1" w:name="_GoBack"/>
      <w:bookmarkEnd w:id="1"/>
    </w:p>
    <w:sectPr w:rsidR="00E97DCE" w:rsidSect="004A0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0AF2"/>
    <w:multiLevelType w:val="hybridMultilevel"/>
    <w:tmpl w:val="1B82C2A2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969EB"/>
    <w:multiLevelType w:val="hybridMultilevel"/>
    <w:tmpl w:val="72524C30"/>
    <w:lvl w:ilvl="0" w:tplc="041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E25535A"/>
    <w:multiLevelType w:val="hybridMultilevel"/>
    <w:tmpl w:val="F28444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03"/>
    <w:multiLevelType w:val="hybridMultilevel"/>
    <w:tmpl w:val="F0FA4B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72BA8"/>
    <w:multiLevelType w:val="hybridMultilevel"/>
    <w:tmpl w:val="FF4CC48C"/>
    <w:lvl w:ilvl="0" w:tplc="C03413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D3AD3"/>
    <w:multiLevelType w:val="hybridMultilevel"/>
    <w:tmpl w:val="F93028EA"/>
    <w:lvl w:ilvl="0" w:tplc="0BD8D4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96AB3"/>
    <w:multiLevelType w:val="hybridMultilevel"/>
    <w:tmpl w:val="30F22B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51BB6"/>
    <w:multiLevelType w:val="hybridMultilevel"/>
    <w:tmpl w:val="E7FA0424"/>
    <w:lvl w:ilvl="0" w:tplc="E4B6DB9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F682C"/>
    <w:multiLevelType w:val="hybridMultilevel"/>
    <w:tmpl w:val="5F2ED3E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722B2D"/>
    <w:multiLevelType w:val="hybridMultilevel"/>
    <w:tmpl w:val="04E6244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0D97C7D"/>
    <w:multiLevelType w:val="hybridMultilevel"/>
    <w:tmpl w:val="3CC600B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2E5A6E"/>
    <w:multiLevelType w:val="hybridMultilevel"/>
    <w:tmpl w:val="74AA0B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17C19"/>
    <w:multiLevelType w:val="hybridMultilevel"/>
    <w:tmpl w:val="D438F1D0"/>
    <w:lvl w:ilvl="0" w:tplc="C2FA7E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00DEB"/>
    <w:multiLevelType w:val="hybridMultilevel"/>
    <w:tmpl w:val="AC5860E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8F3EE6"/>
    <w:multiLevelType w:val="hybridMultilevel"/>
    <w:tmpl w:val="84E491E0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53186A"/>
    <w:multiLevelType w:val="hybridMultilevel"/>
    <w:tmpl w:val="84AE82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F6B22"/>
    <w:multiLevelType w:val="hybridMultilevel"/>
    <w:tmpl w:val="A754E472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CF527B5"/>
    <w:multiLevelType w:val="hybridMultilevel"/>
    <w:tmpl w:val="2A4A9F9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8"/>
  </w:num>
  <w:num w:numId="4">
    <w:abstractNumId w:val="7"/>
  </w:num>
  <w:num w:numId="5">
    <w:abstractNumId w:val="13"/>
  </w:num>
  <w:num w:numId="6">
    <w:abstractNumId w:val="12"/>
  </w:num>
  <w:num w:numId="7">
    <w:abstractNumId w:val="9"/>
  </w:num>
  <w:num w:numId="8">
    <w:abstractNumId w:val="1"/>
  </w:num>
  <w:num w:numId="9">
    <w:abstractNumId w:val="17"/>
  </w:num>
  <w:num w:numId="10">
    <w:abstractNumId w:val="5"/>
  </w:num>
  <w:num w:numId="11">
    <w:abstractNumId w:val="16"/>
  </w:num>
  <w:num w:numId="12">
    <w:abstractNumId w:val="6"/>
  </w:num>
  <w:num w:numId="13">
    <w:abstractNumId w:val="3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3BB"/>
    <w:rsid w:val="0000413B"/>
    <w:rsid w:val="000213BB"/>
    <w:rsid w:val="0003208E"/>
    <w:rsid w:val="00035044"/>
    <w:rsid w:val="00035F52"/>
    <w:rsid w:val="000477BD"/>
    <w:rsid w:val="00053FE4"/>
    <w:rsid w:val="00060463"/>
    <w:rsid w:val="00072C94"/>
    <w:rsid w:val="00084AF2"/>
    <w:rsid w:val="00091EDF"/>
    <w:rsid w:val="00095C0B"/>
    <w:rsid w:val="000A3748"/>
    <w:rsid w:val="000A7569"/>
    <w:rsid w:val="000B66E0"/>
    <w:rsid w:val="000D5515"/>
    <w:rsid w:val="000E3027"/>
    <w:rsid w:val="000E4126"/>
    <w:rsid w:val="000E41D9"/>
    <w:rsid w:val="000E66D8"/>
    <w:rsid w:val="000F2738"/>
    <w:rsid w:val="000F3324"/>
    <w:rsid w:val="000F4AA0"/>
    <w:rsid w:val="000F77A8"/>
    <w:rsid w:val="00105FA6"/>
    <w:rsid w:val="00117B9F"/>
    <w:rsid w:val="001524DC"/>
    <w:rsid w:val="00156408"/>
    <w:rsid w:val="0016553B"/>
    <w:rsid w:val="0017067D"/>
    <w:rsid w:val="001756F1"/>
    <w:rsid w:val="00183E08"/>
    <w:rsid w:val="00183ED0"/>
    <w:rsid w:val="0019266E"/>
    <w:rsid w:val="00195D1B"/>
    <w:rsid w:val="001B648F"/>
    <w:rsid w:val="001D1492"/>
    <w:rsid w:val="00203CA4"/>
    <w:rsid w:val="0020410B"/>
    <w:rsid w:val="00210102"/>
    <w:rsid w:val="002168C8"/>
    <w:rsid w:val="00220E02"/>
    <w:rsid w:val="00226809"/>
    <w:rsid w:val="002312C0"/>
    <w:rsid w:val="002350A1"/>
    <w:rsid w:val="00270D6B"/>
    <w:rsid w:val="00295DFD"/>
    <w:rsid w:val="002B6435"/>
    <w:rsid w:val="002E5803"/>
    <w:rsid w:val="002F1FA5"/>
    <w:rsid w:val="002F79E9"/>
    <w:rsid w:val="00300D4C"/>
    <w:rsid w:val="0030522C"/>
    <w:rsid w:val="003106C1"/>
    <w:rsid w:val="00317262"/>
    <w:rsid w:val="0032207F"/>
    <w:rsid w:val="00333737"/>
    <w:rsid w:val="003407E3"/>
    <w:rsid w:val="0037538F"/>
    <w:rsid w:val="00376585"/>
    <w:rsid w:val="00377BAA"/>
    <w:rsid w:val="00382038"/>
    <w:rsid w:val="00385996"/>
    <w:rsid w:val="0039370D"/>
    <w:rsid w:val="00394DD3"/>
    <w:rsid w:val="003A561B"/>
    <w:rsid w:val="003A6082"/>
    <w:rsid w:val="003B34FC"/>
    <w:rsid w:val="003C308A"/>
    <w:rsid w:val="003C5260"/>
    <w:rsid w:val="003C7A25"/>
    <w:rsid w:val="003D104A"/>
    <w:rsid w:val="003D4786"/>
    <w:rsid w:val="003D7C57"/>
    <w:rsid w:val="003D7EC9"/>
    <w:rsid w:val="003E5997"/>
    <w:rsid w:val="003E68B0"/>
    <w:rsid w:val="003F7A9C"/>
    <w:rsid w:val="00402453"/>
    <w:rsid w:val="0042294D"/>
    <w:rsid w:val="0043688B"/>
    <w:rsid w:val="004439B6"/>
    <w:rsid w:val="00445795"/>
    <w:rsid w:val="00445D10"/>
    <w:rsid w:val="00453889"/>
    <w:rsid w:val="00460D0A"/>
    <w:rsid w:val="0046760F"/>
    <w:rsid w:val="004743AE"/>
    <w:rsid w:val="00482C7F"/>
    <w:rsid w:val="0048346E"/>
    <w:rsid w:val="00484B95"/>
    <w:rsid w:val="00491172"/>
    <w:rsid w:val="00492215"/>
    <w:rsid w:val="00492C2E"/>
    <w:rsid w:val="004A01A3"/>
    <w:rsid w:val="004A0918"/>
    <w:rsid w:val="004A73E2"/>
    <w:rsid w:val="004A780A"/>
    <w:rsid w:val="004B2540"/>
    <w:rsid w:val="004E54CF"/>
    <w:rsid w:val="00516CD3"/>
    <w:rsid w:val="00520140"/>
    <w:rsid w:val="005260C8"/>
    <w:rsid w:val="00534B95"/>
    <w:rsid w:val="00543DF4"/>
    <w:rsid w:val="0054625B"/>
    <w:rsid w:val="00547E4C"/>
    <w:rsid w:val="0055125E"/>
    <w:rsid w:val="0057048E"/>
    <w:rsid w:val="005839B0"/>
    <w:rsid w:val="00585914"/>
    <w:rsid w:val="00585A59"/>
    <w:rsid w:val="00594E71"/>
    <w:rsid w:val="00595E7F"/>
    <w:rsid w:val="005A45E6"/>
    <w:rsid w:val="005B7E51"/>
    <w:rsid w:val="005C6A17"/>
    <w:rsid w:val="005D54BD"/>
    <w:rsid w:val="005D5A6F"/>
    <w:rsid w:val="005F0005"/>
    <w:rsid w:val="005F319F"/>
    <w:rsid w:val="005F5853"/>
    <w:rsid w:val="00605F99"/>
    <w:rsid w:val="006217B0"/>
    <w:rsid w:val="00622F8B"/>
    <w:rsid w:val="00643768"/>
    <w:rsid w:val="00645CCF"/>
    <w:rsid w:val="00646DDF"/>
    <w:rsid w:val="0065625E"/>
    <w:rsid w:val="00674434"/>
    <w:rsid w:val="006747D5"/>
    <w:rsid w:val="006825A7"/>
    <w:rsid w:val="00692192"/>
    <w:rsid w:val="00695C27"/>
    <w:rsid w:val="0069749F"/>
    <w:rsid w:val="006A530D"/>
    <w:rsid w:val="006A7C49"/>
    <w:rsid w:val="006D0B98"/>
    <w:rsid w:val="006D53D6"/>
    <w:rsid w:val="006D675E"/>
    <w:rsid w:val="006E53F5"/>
    <w:rsid w:val="006E6F00"/>
    <w:rsid w:val="00700C38"/>
    <w:rsid w:val="00703634"/>
    <w:rsid w:val="00714FFC"/>
    <w:rsid w:val="00727B30"/>
    <w:rsid w:val="00734137"/>
    <w:rsid w:val="00735BC2"/>
    <w:rsid w:val="00736B1A"/>
    <w:rsid w:val="00744BE5"/>
    <w:rsid w:val="00776A5F"/>
    <w:rsid w:val="00777A22"/>
    <w:rsid w:val="007828FE"/>
    <w:rsid w:val="0079655B"/>
    <w:rsid w:val="00797A27"/>
    <w:rsid w:val="007A3736"/>
    <w:rsid w:val="007B2454"/>
    <w:rsid w:val="007B379D"/>
    <w:rsid w:val="007D461A"/>
    <w:rsid w:val="007D6481"/>
    <w:rsid w:val="007E59CC"/>
    <w:rsid w:val="008372A0"/>
    <w:rsid w:val="00877E65"/>
    <w:rsid w:val="00892552"/>
    <w:rsid w:val="00894E62"/>
    <w:rsid w:val="008D2428"/>
    <w:rsid w:val="008E5442"/>
    <w:rsid w:val="008E7341"/>
    <w:rsid w:val="008F7DD2"/>
    <w:rsid w:val="009037EB"/>
    <w:rsid w:val="00921932"/>
    <w:rsid w:val="00923E1F"/>
    <w:rsid w:val="0093573D"/>
    <w:rsid w:val="00944AC4"/>
    <w:rsid w:val="00944FB9"/>
    <w:rsid w:val="009503D5"/>
    <w:rsid w:val="009526B2"/>
    <w:rsid w:val="009529DD"/>
    <w:rsid w:val="00953C7A"/>
    <w:rsid w:val="009553B6"/>
    <w:rsid w:val="00955E89"/>
    <w:rsid w:val="00970E05"/>
    <w:rsid w:val="00973092"/>
    <w:rsid w:val="009733A4"/>
    <w:rsid w:val="0098700A"/>
    <w:rsid w:val="0099087B"/>
    <w:rsid w:val="009A15B2"/>
    <w:rsid w:val="009B2060"/>
    <w:rsid w:val="009D10E5"/>
    <w:rsid w:val="009D48C9"/>
    <w:rsid w:val="009D6320"/>
    <w:rsid w:val="009E3B66"/>
    <w:rsid w:val="009E7832"/>
    <w:rsid w:val="009F1E53"/>
    <w:rsid w:val="00A00D03"/>
    <w:rsid w:val="00A0267F"/>
    <w:rsid w:val="00A06303"/>
    <w:rsid w:val="00A06C55"/>
    <w:rsid w:val="00A07BB3"/>
    <w:rsid w:val="00A23D00"/>
    <w:rsid w:val="00A45CA3"/>
    <w:rsid w:val="00A45D4D"/>
    <w:rsid w:val="00A47A26"/>
    <w:rsid w:val="00A57183"/>
    <w:rsid w:val="00A57D87"/>
    <w:rsid w:val="00A614D8"/>
    <w:rsid w:val="00A67F8D"/>
    <w:rsid w:val="00A70780"/>
    <w:rsid w:val="00A742C0"/>
    <w:rsid w:val="00AA6B72"/>
    <w:rsid w:val="00AB699E"/>
    <w:rsid w:val="00AC716D"/>
    <w:rsid w:val="00AD3589"/>
    <w:rsid w:val="00AF45CA"/>
    <w:rsid w:val="00B0074B"/>
    <w:rsid w:val="00B179BD"/>
    <w:rsid w:val="00B22163"/>
    <w:rsid w:val="00B246F6"/>
    <w:rsid w:val="00B31112"/>
    <w:rsid w:val="00B43E76"/>
    <w:rsid w:val="00B471EE"/>
    <w:rsid w:val="00B8322E"/>
    <w:rsid w:val="00B94962"/>
    <w:rsid w:val="00BB24D8"/>
    <w:rsid w:val="00BB65A4"/>
    <w:rsid w:val="00BD2D2B"/>
    <w:rsid w:val="00BE1034"/>
    <w:rsid w:val="00BE34D0"/>
    <w:rsid w:val="00C0378F"/>
    <w:rsid w:val="00C05B1B"/>
    <w:rsid w:val="00C07B93"/>
    <w:rsid w:val="00C12272"/>
    <w:rsid w:val="00C1460A"/>
    <w:rsid w:val="00C14A22"/>
    <w:rsid w:val="00C2697B"/>
    <w:rsid w:val="00C41548"/>
    <w:rsid w:val="00C43711"/>
    <w:rsid w:val="00C4493B"/>
    <w:rsid w:val="00C46F9D"/>
    <w:rsid w:val="00C5630D"/>
    <w:rsid w:val="00C57BF0"/>
    <w:rsid w:val="00C839A6"/>
    <w:rsid w:val="00C846CE"/>
    <w:rsid w:val="00CB4FC7"/>
    <w:rsid w:val="00CC4DFB"/>
    <w:rsid w:val="00CD3FBE"/>
    <w:rsid w:val="00CF7F6A"/>
    <w:rsid w:val="00D1681A"/>
    <w:rsid w:val="00D22B6E"/>
    <w:rsid w:val="00D419B3"/>
    <w:rsid w:val="00D563EB"/>
    <w:rsid w:val="00D60926"/>
    <w:rsid w:val="00D70007"/>
    <w:rsid w:val="00D747D7"/>
    <w:rsid w:val="00D85E58"/>
    <w:rsid w:val="00DA3CF5"/>
    <w:rsid w:val="00DA71BE"/>
    <w:rsid w:val="00DB7167"/>
    <w:rsid w:val="00DC2D13"/>
    <w:rsid w:val="00DC5E1A"/>
    <w:rsid w:val="00DD6830"/>
    <w:rsid w:val="00DE5F20"/>
    <w:rsid w:val="00DE775E"/>
    <w:rsid w:val="00DE7CE0"/>
    <w:rsid w:val="00DF4020"/>
    <w:rsid w:val="00DF6084"/>
    <w:rsid w:val="00E14079"/>
    <w:rsid w:val="00E17DD1"/>
    <w:rsid w:val="00E21F52"/>
    <w:rsid w:val="00E3051F"/>
    <w:rsid w:val="00E3246D"/>
    <w:rsid w:val="00E3415D"/>
    <w:rsid w:val="00E63A28"/>
    <w:rsid w:val="00E709E1"/>
    <w:rsid w:val="00E8393F"/>
    <w:rsid w:val="00E84047"/>
    <w:rsid w:val="00E85CD8"/>
    <w:rsid w:val="00E97DCE"/>
    <w:rsid w:val="00EA7A5D"/>
    <w:rsid w:val="00EA7B12"/>
    <w:rsid w:val="00EB2F06"/>
    <w:rsid w:val="00EB31FB"/>
    <w:rsid w:val="00ED13C5"/>
    <w:rsid w:val="00EE1C05"/>
    <w:rsid w:val="00EF196A"/>
    <w:rsid w:val="00EF3925"/>
    <w:rsid w:val="00EF473F"/>
    <w:rsid w:val="00F01A4C"/>
    <w:rsid w:val="00F064CD"/>
    <w:rsid w:val="00F10EB7"/>
    <w:rsid w:val="00F11659"/>
    <w:rsid w:val="00F42D3D"/>
    <w:rsid w:val="00F63E4B"/>
    <w:rsid w:val="00F804A3"/>
    <w:rsid w:val="00F93216"/>
    <w:rsid w:val="00FA70C5"/>
    <w:rsid w:val="00FA780E"/>
    <w:rsid w:val="00FB3E03"/>
    <w:rsid w:val="00FB55AE"/>
    <w:rsid w:val="00FC49E9"/>
    <w:rsid w:val="00FD33AA"/>
    <w:rsid w:val="00FD4E84"/>
    <w:rsid w:val="00FD7B20"/>
    <w:rsid w:val="00FE0F4E"/>
    <w:rsid w:val="00FE1609"/>
    <w:rsid w:val="00FE7480"/>
    <w:rsid w:val="00FF43A4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B19C"/>
  <w15:docId w15:val="{77ABF31E-AFC4-4550-9C23-180BC194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3BB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467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82038"/>
    <w:pPr>
      <w:keepNext/>
      <w:keepLines/>
      <w:spacing w:before="200" w:line="36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21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1932"/>
    <w:pPr>
      <w:ind w:left="720"/>
      <w:contextualSpacing/>
    </w:pPr>
    <w:rPr>
      <w:rFonts w:ascii="Calibri" w:hAnsi="Calibri"/>
      <w:sz w:val="22"/>
    </w:rPr>
  </w:style>
  <w:style w:type="character" w:styleId="Referencakomentara">
    <w:name w:val="annotation reference"/>
    <w:basedOn w:val="Zadanifontodlomka"/>
    <w:uiPriority w:val="99"/>
    <w:semiHidden/>
    <w:unhideWhenUsed/>
    <w:rsid w:val="00FB55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B55A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B55AE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B55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B55AE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55A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55AE"/>
    <w:rPr>
      <w:rFonts w:ascii="Tahoma" w:eastAsia="Calibri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035F52"/>
    <w:pPr>
      <w:spacing w:after="0" w:line="240" w:lineRule="auto"/>
    </w:pPr>
    <w:rPr>
      <w:rFonts w:ascii="Calibri" w:eastAsiaTheme="minorEastAsia" w:hAnsi="Calibri" w:cs="Times New Roman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3820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staknuto">
    <w:name w:val="Emphasis"/>
    <w:basedOn w:val="Zadanifontodlomka"/>
    <w:uiPriority w:val="20"/>
    <w:qFormat/>
    <w:rsid w:val="00382038"/>
    <w:rPr>
      <w:i/>
      <w:iCs/>
    </w:rPr>
  </w:style>
  <w:style w:type="paragraph" w:customStyle="1" w:styleId="t-12-9-sred">
    <w:name w:val="t-12-9-sred"/>
    <w:basedOn w:val="Normal"/>
    <w:rsid w:val="006E6F00"/>
    <w:pPr>
      <w:spacing w:before="100" w:beforeAutospacing="1" w:after="100" w:afterAutospacing="1"/>
      <w:jc w:val="center"/>
    </w:pPr>
    <w:rPr>
      <w:rFonts w:eastAsia="Times New Roman"/>
      <w:sz w:val="28"/>
      <w:szCs w:val="28"/>
    </w:rPr>
  </w:style>
  <w:style w:type="character" w:customStyle="1" w:styleId="defaultparagraphfont-000018">
    <w:name w:val="defaultparagraphfont-000018"/>
    <w:basedOn w:val="Zadanifontodlomka"/>
    <w:rsid w:val="009D6320"/>
    <w:rPr>
      <w:rFonts w:ascii="Cambria" w:hAnsi="Cambria" w:hint="default"/>
      <w:b w:val="0"/>
      <w:bCs w:val="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4676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A6EC4-CCD8-49DB-8009-165F140DD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2376</Words>
  <Characters>13547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15892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Boris Dominić</cp:lastModifiedBy>
  <cp:revision>3</cp:revision>
  <cp:lastPrinted>2020-12-07T10:19:00Z</cp:lastPrinted>
  <dcterms:created xsi:type="dcterms:W3CDTF">2020-12-07T14:05:00Z</dcterms:created>
  <dcterms:modified xsi:type="dcterms:W3CDTF">2020-12-07T14:19:00Z</dcterms:modified>
</cp:coreProperties>
</file>